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ind w:left="0" w:firstLine="0"/>
        <w:jc w:val="center"/>
        <w:rPr>
          <w:rFonts w:eastAsia="微软雅黑"/>
          <w:position w:val="-1"/>
          <w:sz w:val="84"/>
          <w:szCs w:val="84"/>
          <w:lang w:eastAsia="zh-CN"/>
        </w:rPr>
      </w:pPr>
    </w:p>
    <w:p>
      <w:pPr>
        <w:pStyle w:val="11"/>
        <w:ind w:left="0" w:firstLine="0"/>
        <w:jc w:val="center"/>
        <w:rPr>
          <w:rFonts w:eastAsia="微软雅黑"/>
          <w:position w:val="-1"/>
          <w:sz w:val="56"/>
          <w:szCs w:val="56"/>
          <w:lang w:eastAsia="zh-CN"/>
        </w:rPr>
      </w:pPr>
      <w:r>
        <w:rPr>
          <w:rFonts w:eastAsia="微软雅黑"/>
          <w:position w:val="-1"/>
          <w:sz w:val="56"/>
          <w:szCs w:val="56"/>
          <w:lang w:eastAsia="zh-CN"/>
        </w:rPr>
        <w:t>中国人群肺癌组织</w:t>
      </w:r>
    </w:p>
    <w:p>
      <w:pPr>
        <w:pStyle w:val="11"/>
        <w:ind w:left="0" w:firstLine="0"/>
        <w:jc w:val="center"/>
        <w:rPr>
          <w:rFonts w:eastAsia="微软雅黑"/>
          <w:position w:val="-1"/>
          <w:sz w:val="56"/>
          <w:szCs w:val="56"/>
          <w:lang w:eastAsia="zh-CN"/>
        </w:rPr>
      </w:pPr>
      <w:r>
        <w:rPr>
          <w:rFonts w:hint="eastAsia" w:eastAsia="微软雅黑"/>
          <w:position w:val="-1"/>
          <w:sz w:val="56"/>
          <w:szCs w:val="56"/>
          <w:lang w:eastAsia="zh-CN"/>
        </w:rPr>
        <w:t>60</w:t>
      </w:r>
      <w:r>
        <w:rPr>
          <w:rFonts w:eastAsia="微软雅黑"/>
          <w:position w:val="-1"/>
          <w:sz w:val="56"/>
          <w:szCs w:val="56"/>
          <w:lang w:eastAsia="zh-CN"/>
        </w:rPr>
        <w:t>基因分子分型研究</w:t>
      </w:r>
    </w:p>
    <w:p>
      <w:pPr>
        <w:pStyle w:val="11"/>
        <w:spacing w:before="0" w:after="0" w:line="260" w:lineRule="auto"/>
        <w:ind w:left="629" w:hanging="363"/>
        <w:jc w:val="center"/>
        <w:rPr>
          <w:rFonts w:eastAsia="微软雅黑"/>
          <w:position w:val="-1"/>
          <w:sz w:val="56"/>
          <w:szCs w:val="56"/>
          <w:lang w:eastAsia="zh-CN"/>
        </w:rPr>
      </w:pPr>
    </w:p>
    <w:p>
      <w:pPr>
        <w:pStyle w:val="11"/>
        <w:jc w:val="center"/>
        <w:rPr>
          <w:rFonts w:eastAsia="微软雅黑"/>
          <w:position w:val="-1"/>
          <w:sz w:val="56"/>
          <w:szCs w:val="56"/>
          <w:lang w:eastAsia="zh-CN"/>
        </w:rPr>
      </w:pPr>
      <w:r>
        <w:rPr>
          <w:rFonts w:eastAsia="微软雅黑"/>
          <w:position w:val="-1"/>
          <w:sz w:val="56"/>
          <w:szCs w:val="56"/>
        </w:rPr>
        <w:t>分子病理检测报告</w:t>
      </w:r>
    </w:p>
    <w:p>
      <w:pPr>
        <w:pStyle w:val="11"/>
        <w:jc w:val="center"/>
        <w:rPr>
          <w:rFonts w:eastAsia="微软雅黑"/>
          <w:position w:val="-1"/>
          <w:sz w:val="32"/>
          <w:szCs w:val="32"/>
          <w:lang w:eastAsia="zh-CN"/>
        </w:rPr>
      </w:pPr>
    </w:p>
    <w:tbl>
      <w:tblPr>
        <w:tblStyle w:val="25"/>
        <w:tblpPr w:leftFromText="180" w:rightFromText="180" w:vertAnchor="page" w:horzAnchor="page" w:tblpX="2611" w:tblpY="8418"/>
        <w:tblOverlap w:val="never"/>
        <w:tblW w:w="6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11"/>
              <w:keepNext w:val="0"/>
              <w:keepLines w:val="0"/>
              <w:pageBreakBefore w:val="0"/>
              <w:widowControl w:val="0"/>
              <w:kinsoku/>
              <w:wordWrap/>
              <w:overflowPunct/>
              <w:topLinePunct w:val="0"/>
              <w:autoSpaceDE/>
              <w:autoSpaceDN/>
              <w:bidi w:val="0"/>
              <w:adjustRightInd/>
              <w:snapToGrid/>
              <w:spacing w:after="0" w:line="260" w:lineRule="auto"/>
              <w:ind w:left="629" w:hanging="363"/>
              <w:jc w:val="right"/>
              <w:textAlignment w:val="auto"/>
              <w:rPr>
                <w:rFonts w:eastAsia="微软雅黑"/>
                <w:kern w:val="2"/>
                <w:sz w:val="48"/>
                <w:lang w:eastAsia="zh-CN"/>
              </w:rPr>
            </w:pPr>
            <w:r>
              <w:rPr>
                <w:rFonts w:eastAsia="微软雅黑"/>
                <w:kern w:val="2"/>
                <w:sz w:val="30"/>
                <w:lang w:eastAsia="zh-CN"/>
              </w:rPr>
              <w:t>患者姓名：</w:t>
            </w:r>
          </w:p>
        </w:tc>
        <w:tc>
          <w:tcPr>
            <w:tcW w:w="4471" w:type="dxa"/>
            <w:tcBorders>
              <w:top w:val="nil"/>
              <w:left w:val="nil"/>
              <w:bottom w:val="single" w:color="auto" w:sz="4" w:space="0"/>
              <w:right w:val="nil"/>
            </w:tcBorders>
            <w:vAlign w:val="bottom"/>
          </w:tcPr>
          <w:p>
            <w:pPr>
              <w:pStyle w:val="11"/>
              <w:keepNext w:val="0"/>
              <w:keepLines w:val="0"/>
              <w:pageBreakBefore w:val="0"/>
              <w:widowControl w:val="0"/>
              <w:kinsoku/>
              <w:wordWrap/>
              <w:overflowPunct/>
              <w:topLinePunct w:val="0"/>
              <w:autoSpaceDE/>
              <w:autoSpaceDN/>
              <w:bidi w:val="0"/>
              <w:adjustRightInd/>
              <w:snapToGrid/>
              <w:spacing w:after="0" w:line="260" w:lineRule="auto"/>
              <w:ind w:left="629" w:hanging="363"/>
              <w:jc w:val="center"/>
              <w:textAlignment w:val="auto"/>
              <w:rPr>
                <w:rFonts w:eastAsia="微软雅黑"/>
                <w:kern w:val="2"/>
                <w:sz w:val="48"/>
                <w:lang w:eastAsia="zh-CN"/>
              </w:rPr>
            </w:pPr>
            <w:r>
              <w:rPr>
                <w:rFonts w:eastAsia="微软雅黑"/>
                <w:kern w:val="2"/>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11"/>
              <w:keepNext w:val="0"/>
              <w:keepLines w:val="0"/>
              <w:pageBreakBefore w:val="0"/>
              <w:widowControl w:val="0"/>
              <w:kinsoku/>
              <w:wordWrap/>
              <w:overflowPunct/>
              <w:topLinePunct w:val="0"/>
              <w:autoSpaceDE/>
              <w:autoSpaceDN/>
              <w:bidi w:val="0"/>
              <w:adjustRightInd/>
              <w:snapToGrid/>
              <w:spacing w:after="0" w:line="260" w:lineRule="auto"/>
              <w:ind w:left="629" w:hanging="363"/>
              <w:jc w:val="right"/>
              <w:textAlignment w:val="auto"/>
              <w:rPr>
                <w:rFonts w:eastAsia="微软雅黑"/>
                <w:kern w:val="2"/>
                <w:sz w:val="48"/>
                <w:lang w:eastAsia="zh-CN"/>
              </w:rPr>
            </w:pPr>
            <w:r>
              <w:rPr>
                <w:rFonts w:eastAsia="微软雅黑"/>
                <w:kern w:val="2"/>
                <w:sz w:val="30"/>
                <w:lang w:eastAsia="zh-CN"/>
              </w:rPr>
              <w:t>样本编号：</w:t>
            </w:r>
          </w:p>
        </w:tc>
        <w:tc>
          <w:tcPr>
            <w:tcW w:w="4471" w:type="dxa"/>
            <w:tcBorders>
              <w:top w:val="single" w:color="auto" w:sz="4" w:space="0"/>
              <w:left w:val="nil"/>
              <w:bottom w:val="single" w:color="auto" w:sz="4" w:space="0"/>
              <w:right w:val="nil"/>
            </w:tcBorders>
            <w:vAlign w:val="bottom"/>
          </w:tcPr>
          <w:p>
            <w:pPr>
              <w:pStyle w:val="11"/>
              <w:keepNext w:val="0"/>
              <w:keepLines w:val="0"/>
              <w:pageBreakBefore w:val="0"/>
              <w:widowControl w:val="0"/>
              <w:kinsoku/>
              <w:wordWrap/>
              <w:overflowPunct/>
              <w:topLinePunct w:val="0"/>
              <w:autoSpaceDE/>
              <w:autoSpaceDN/>
              <w:bidi w:val="0"/>
              <w:adjustRightInd/>
              <w:snapToGrid/>
              <w:spacing w:after="0" w:line="260" w:lineRule="auto"/>
              <w:ind w:left="629" w:hanging="363"/>
              <w:jc w:val="center"/>
              <w:textAlignment w:val="auto"/>
              <w:rPr>
                <w:rFonts w:eastAsia="微软雅黑"/>
                <w:kern w:val="2"/>
                <w:sz w:val="48"/>
                <w:lang w:eastAsia="zh-CN"/>
              </w:rPr>
            </w:pPr>
            <w:r>
              <w:rPr>
                <w:rFonts w:eastAsia="微软雅黑"/>
                <w:kern w:val="2"/>
                <w:sz w:val="30"/>
                <w:lang w:eastAsia="zh-CN"/>
              </w:rPr>
              <w:t>{{ 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11"/>
              <w:keepNext w:val="0"/>
              <w:keepLines w:val="0"/>
              <w:pageBreakBefore w:val="0"/>
              <w:widowControl w:val="0"/>
              <w:kinsoku/>
              <w:wordWrap/>
              <w:overflowPunct/>
              <w:topLinePunct w:val="0"/>
              <w:autoSpaceDE/>
              <w:autoSpaceDN/>
              <w:bidi w:val="0"/>
              <w:adjustRightInd/>
              <w:snapToGrid/>
              <w:spacing w:after="0" w:line="260" w:lineRule="auto"/>
              <w:ind w:left="629" w:hanging="363"/>
              <w:jc w:val="right"/>
              <w:textAlignment w:val="auto"/>
              <w:rPr>
                <w:rFonts w:eastAsia="微软雅黑"/>
                <w:kern w:val="2"/>
                <w:sz w:val="30"/>
                <w:lang w:eastAsia="zh-CN"/>
              </w:rPr>
            </w:pPr>
            <w:r>
              <w:rPr>
                <w:rFonts w:eastAsia="微软雅黑"/>
                <w:kern w:val="2"/>
                <w:sz w:val="30"/>
                <w:lang w:eastAsia="zh-CN"/>
              </w:rPr>
              <w:t>报告日期：</w:t>
            </w:r>
          </w:p>
        </w:tc>
        <w:tc>
          <w:tcPr>
            <w:tcW w:w="4471" w:type="dxa"/>
            <w:tcBorders>
              <w:top w:val="single" w:color="auto" w:sz="4" w:space="0"/>
              <w:left w:val="nil"/>
              <w:bottom w:val="single" w:color="auto" w:sz="4" w:space="0"/>
              <w:right w:val="nil"/>
            </w:tcBorders>
            <w:vAlign w:val="bottom"/>
          </w:tcPr>
          <w:p>
            <w:pPr>
              <w:pStyle w:val="11"/>
              <w:keepNext w:val="0"/>
              <w:keepLines w:val="0"/>
              <w:pageBreakBefore w:val="0"/>
              <w:widowControl w:val="0"/>
              <w:kinsoku/>
              <w:wordWrap/>
              <w:overflowPunct/>
              <w:topLinePunct w:val="0"/>
              <w:autoSpaceDE/>
              <w:autoSpaceDN/>
              <w:bidi w:val="0"/>
              <w:adjustRightInd/>
              <w:snapToGrid/>
              <w:spacing w:after="0" w:line="260" w:lineRule="auto"/>
              <w:ind w:left="629" w:hanging="363"/>
              <w:jc w:val="center"/>
              <w:textAlignment w:val="auto"/>
              <w:rPr>
                <w:rFonts w:eastAsia="微软雅黑"/>
                <w:kern w:val="2"/>
                <w:sz w:val="30"/>
                <w:lang w:eastAsia="zh-CN"/>
              </w:rPr>
            </w:pPr>
            <w:r>
              <w:rPr>
                <w:rFonts w:eastAsia="微软雅黑"/>
                <w:kern w:val="2"/>
                <w:sz w:val="30"/>
                <w:lang w:eastAsia="zh-CN"/>
              </w:rPr>
              <w:t>{{ reportdate }}</w:t>
            </w:r>
          </w:p>
        </w:tc>
      </w:tr>
    </w:tbl>
    <w:p>
      <w:pPr>
        <w:jc w:val="center"/>
        <w:rPr>
          <w:rFonts w:eastAsia="微软雅黑"/>
          <w:position w:val="-1"/>
          <w:sz w:val="72"/>
          <w:szCs w:val="72"/>
        </w:rPr>
      </w:pPr>
    </w:p>
    <w:p>
      <w:pPr>
        <w:pStyle w:val="11"/>
        <w:jc w:val="center"/>
        <w:rPr>
          <w:rFonts w:eastAsia="微软雅黑"/>
          <w:position w:val="-1"/>
          <w:sz w:val="32"/>
          <w:szCs w:val="32"/>
          <w:lang w:eastAsia="zh-CN"/>
        </w:rPr>
      </w:pPr>
    </w:p>
    <w:p>
      <w:pPr>
        <w:jc w:val="both"/>
        <w:rPr>
          <w:rFonts w:eastAsia="微软雅黑"/>
          <w:color w:val="FFFFFF"/>
          <w:shd w:val="clear" w:color="auto" w:fill="004271"/>
        </w:rPr>
        <w:sectPr>
          <w:headerReference r:id="rId6" w:type="first"/>
          <w:footerReference r:id="rId8" w:type="first"/>
          <w:headerReference r:id="rId5" w:type="default"/>
          <w:footerReference r:id="rId7" w:type="default"/>
          <w:pgSz w:w="11900" w:h="16840"/>
          <w:pgMar w:top="1440" w:right="1080" w:bottom="1440" w:left="1080" w:header="720" w:footer="720" w:gutter="0"/>
          <w:pgBorders>
            <w:top w:val="none" w:sz="0" w:space="0"/>
            <w:left w:val="none" w:sz="0" w:space="0"/>
            <w:bottom w:val="none" w:sz="0" w:space="0"/>
            <w:right w:val="none" w:sz="0" w:space="0"/>
          </w:pgBorders>
          <w:pgNumType w:start="1"/>
          <w:cols w:space="720" w:num="1"/>
          <w:titlePg/>
          <w:docGrid w:linePitch="326" w:charSpace="0"/>
        </w:sectPr>
      </w:pPr>
    </w:p>
    <w:p>
      <w:pPr>
        <w:rPr>
          <w:rFonts w:eastAsia="微软雅黑"/>
          <w:lang w:val="zh-CN"/>
        </w:rPr>
      </w:pPr>
    </w:p>
    <w:sdt>
      <w:sdtPr>
        <w:rPr>
          <w:rFonts w:ascii="Times New Roman" w:hAnsi="Times New Roman" w:eastAsia="微软雅黑" w:cs="Times New Roman"/>
          <w:color w:val="auto"/>
          <w:sz w:val="24"/>
          <w:szCs w:val="24"/>
          <w:lang w:val="zh-CN"/>
        </w:rPr>
        <w:id w:val="7"/>
      </w:sdtPr>
      <w:sdtEndPr>
        <w:rPr>
          <w:rFonts w:ascii="Times New Roman" w:hAnsi="Times New Roman" w:eastAsia="微软雅黑" w:cs="Times New Roman"/>
          <w:b/>
          <w:bCs/>
          <w:color w:val="auto"/>
          <w:sz w:val="24"/>
          <w:szCs w:val="24"/>
          <w:lang w:val="zh-CN"/>
        </w:rPr>
      </w:sdtEndPr>
      <w:sdtContent>
        <w:p>
          <w:pPr>
            <w:pStyle w:val="62"/>
            <w:jc w:val="center"/>
            <w:rPr>
              <w:rFonts w:ascii="Times New Roman" w:hAnsi="Times New Roman" w:eastAsia="微软雅黑" w:cs="Times New Roman"/>
              <w:bCs/>
              <w:color w:val="auto"/>
              <w:sz w:val="36"/>
              <w:szCs w:val="36"/>
              <w:lang w:val="zh-CN"/>
            </w:rPr>
          </w:pPr>
          <w:r>
            <w:rPr>
              <w:rFonts w:ascii="Times New Roman" w:hAnsi="Times New Roman" w:eastAsia="微软雅黑" w:cs="Times New Roman"/>
              <w:bCs/>
              <w:color w:val="auto"/>
              <w:sz w:val="36"/>
              <w:szCs w:val="36"/>
              <w:lang w:val="zh-CN"/>
            </w:rPr>
            <w:t>目录</w:t>
          </w:r>
        </w:p>
        <w:p>
          <w:pPr>
            <w:rPr>
              <w:rFonts w:eastAsia="微软雅黑"/>
              <w:bCs/>
              <w:lang w:val="zh-CN"/>
            </w:rPr>
          </w:pPr>
        </w:p>
        <w:p>
          <w:pPr>
            <w:rPr>
              <w:rFonts w:eastAsia="微软雅黑"/>
              <w:bCs/>
              <w:lang w:val="zh-CN"/>
            </w:rPr>
          </w:pPr>
        </w:p>
        <w:p>
          <w:pPr>
            <w:rPr>
              <w:rFonts w:ascii="Times New Roman" w:hAnsi="Times New Roman" w:eastAsia="微软雅黑" w:cs="Times New Roman"/>
              <w:bCs/>
              <w:sz w:val="24"/>
              <w:szCs w:val="24"/>
              <w:lang w:val="en-US" w:eastAsia="zh-CN" w:bidi="ar-SA"/>
            </w:rPr>
          </w:pPr>
          <w:r>
            <w:rPr>
              <w:rFonts w:ascii="Times New Roman" w:hAnsi="Times New Roman" w:eastAsia="微软雅黑"/>
              <w:b w:val="0"/>
              <w:bCs/>
            </w:rPr>
            <w:fldChar w:fldCharType="begin"/>
          </w:r>
          <w:r>
            <w:rPr>
              <w:rFonts w:ascii="Times New Roman" w:hAnsi="Times New Roman" w:eastAsia="微软雅黑"/>
              <w:b w:val="0"/>
              <w:bCs/>
            </w:rPr>
            <w:instrText xml:space="preserve"> TOC \o "1-3" \h \z \u </w:instrText>
          </w:r>
          <w:r>
            <w:rPr>
              <w:rFonts w:ascii="Times New Roman" w:hAnsi="Times New Roman" w:eastAsia="微软雅黑"/>
              <w:b w:val="0"/>
              <w:bCs/>
            </w:rPr>
            <w:fldChar w:fldCharType="separate"/>
          </w:r>
        </w:p>
        <w:p>
          <w:pPr>
            <w:pStyle w:val="18"/>
            <w:tabs>
              <w:tab w:val="right" w:leader="dot" w:pos="9740"/>
            </w:tabs>
            <w:rPr>
              <w:rFonts w:hint="default" w:ascii="Times New Roman" w:hAnsi="Times New Roman" w:cs="Times New Roman"/>
              <w:b w:val="0"/>
              <w:bCs/>
            </w:rPr>
          </w:pPr>
          <w:r>
            <w:rPr>
              <w:rFonts w:hint="default" w:ascii="Times New Roman" w:hAnsi="Times New Roman" w:eastAsia="微软雅黑" w:cs="Times New Roman"/>
              <w:b w:val="0"/>
              <w:bCs/>
            </w:rPr>
            <w:fldChar w:fldCharType="begin"/>
          </w:r>
          <w:r>
            <w:rPr>
              <w:rFonts w:hint="default" w:ascii="Times New Roman" w:hAnsi="Times New Roman" w:eastAsia="微软雅黑" w:cs="Times New Roman"/>
              <w:b w:val="0"/>
              <w:bCs/>
            </w:rPr>
            <w:instrText xml:space="preserve"> HYPERLINK \l _Toc29979 </w:instrText>
          </w:r>
          <w:r>
            <w:rPr>
              <w:rFonts w:hint="default" w:ascii="Times New Roman" w:hAnsi="Times New Roman" w:eastAsia="微软雅黑" w:cs="Times New Roman"/>
              <w:b w:val="0"/>
              <w:bCs/>
            </w:rPr>
            <w:fldChar w:fldCharType="separate"/>
          </w:r>
          <w:r>
            <w:rPr>
              <w:rFonts w:hint="default" w:ascii="Times New Roman" w:hAnsi="Times New Roman" w:eastAsia="微软雅黑" w:cs="Times New Roman"/>
              <w:b w:val="0"/>
              <w:bCs/>
              <w:color w:val="FFFFFF" w:themeColor="background1"/>
              <w:szCs w:val="36"/>
              <w:shd w:val="clear" w:color="auto" w:fill="43A5A1"/>
              <w14:textFill>
                <w14:solidFill>
                  <w14:schemeClr w14:val="bg1"/>
                </w14:solidFill>
              </w14:textFill>
            </w:rPr>
            <w:t>样本信息</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_Toc29979 \h </w:instrText>
          </w:r>
          <w:r>
            <w:rPr>
              <w:rFonts w:hint="default" w:ascii="Times New Roman" w:hAnsi="Times New Roman" w:cs="Times New Roman"/>
              <w:b w:val="0"/>
              <w:bCs/>
            </w:rPr>
            <w:fldChar w:fldCharType="separate"/>
          </w:r>
          <w:r>
            <w:rPr>
              <w:rFonts w:hint="default" w:ascii="Times New Roman" w:hAnsi="Times New Roman" w:cs="Times New Roman"/>
              <w:b w:val="0"/>
              <w:bCs/>
            </w:rPr>
            <w:t>1</w:t>
          </w:r>
          <w:r>
            <w:rPr>
              <w:rFonts w:hint="default" w:ascii="Times New Roman" w:hAnsi="Times New Roman" w:cs="Times New Roman"/>
              <w:b w:val="0"/>
              <w:bCs/>
            </w:rPr>
            <w:fldChar w:fldCharType="end"/>
          </w:r>
          <w:r>
            <w:rPr>
              <w:rFonts w:hint="default" w:ascii="Times New Roman" w:hAnsi="Times New Roman" w:eastAsia="微软雅黑" w:cs="Times New Roman"/>
              <w:b w:val="0"/>
              <w:bCs/>
            </w:rPr>
            <w:fldChar w:fldCharType="end"/>
          </w:r>
        </w:p>
        <w:p>
          <w:pPr>
            <w:pStyle w:val="18"/>
            <w:tabs>
              <w:tab w:val="right" w:leader="dot" w:pos="9740"/>
            </w:tabs>
            <w:rPr>
              <w:rFonts w:hint="default" w:ascii="Times New Roman" w:hAnsi="Times New Roman" w:cs="Times New Roman"/>
              <w:b w:val="0"/>
              <w:bCs/>
            </w:rPr>
          </w:pPr>
          <w:r>
            <w:rPr>
              <w:rFonts w:hint="default" w:ascii="Times New Roman" w:hAnsi="Times New Roman" w:eastAsia="微软雅黑" w:cs="Times New Roman"/>
              <w:b w:val="0"/>
              <w:bCs/>
            </w:rPr>
            <w:fldChar w:fldCharType="begin"/>
          </w:r>
          <w:r>
            <w:rPr>
              <w:rFonts w:hint="default" w:ascii="Times New Roman" w:hAnsi="Times New Roman" w:eastAsia="微软雅黑" w:cs="Times New Roman"/>
              <w:b w:val="0"/>
              <w:bCs/>
            </w:rPr>
            <w:instrText xml:space="preserve"> HYPERLINK \l _Toc32417 </w:instrText>
          </w:r>
          <w:r>
            <w:rPr>
              <w:rFonts w:hint="default" w:ascii="Times New Roman" w:hAnsi="Times New Roman" w:eastAsia="微软雅黑" w:cs="Times New Roman"/>
              <w:b w:val="0"/>
              <w:bCs/>
            </w:rPr>
            <w:fldChar w:fldCharType="separate"/>
          </w:r>
          <w:r>
            <w:rPr>
              <w:rFonts w:hint="default" w:ascii="Times New Roman" w:hAnsi="Times New Roman" w:eastAsia="微软雅黑" w:cs="Times New Roman"/>
              <w:b w:val="0"/>
              <w:bCs/>
              <w:color w:val="FFFFFF" w:themeColor="background1"/>
              <w:szCs w:val="36"/>
              <w:shd w:val="clear" w:color="auto" w:fill="43A5A1"/>
              <w14:textFill>
                <w14:solidFill>
                  <w14:schemeClr w14:val="bg1"/>
                </w14:solidFill>
              </w14:textFill>
            </w:rPr>
            <w:t>检测项目</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_Toc32417 \h </w:instrText>
          </w:r>
          <w:r>
            <w:rPr>
              <w:rFonts w:hint="default" w:ascii="Times New Roman" w:hAnsi="Times New Roman" w:cs="Times New Roman"/>
              <w:b w:val="0"/>
              <w:bCs/>
            </w:rPr>
            <w:fldChar w:fldCharType="separate"/>
          </w:r>
          <w:r>
            <w:rPr>
              <w:rFonts w:hint="default" w:ascii="Times New Roman" w:hAnsi="Times New Roman" w:cs="Times New Roman"/>
              <w:b w:val="0"/>
              <w:bCs/>
            </w:rPr>
            <w:t>2</w:t>
          </w:r>
          <w:r>
            <w:rPr>
              <w:rFonts w:hint="default" w:ascii="Times New Roman" w:hAnsi="Times New Roman" w:cs="Times New Roman"/>
              <w:b w:val="0"/>
              <w:bCs/>
            </w:rPr>
            <w:fldChar w:fldCharType="end"/>
          </w:r>
          <w:r>
            <w:rPr>
              <w:rFonts w:hint="default" w:ascii="Times New Roman" w:hAnsi="Times New Roman" w:eastAsia="微软雅黑" w:cs="Times New Roman"/>
              <w:b w:val="0"/>
              <w:bCs/>
            </w:rPr>
            <w:fldChar w:fldCharType="end"/>
          </w:r>
        </w:p>
        <w:p>
          <w:pPr>
            <w:pStyle w:val="18"/>
            <w:tabs>
              <w:tab w:val="right" w:leader="dot" w:pos="9740"/>
            </w:tabs>
            <w:rPr>
              <w:rFonts w:hint="default" w:ascii="Times New Roman" w:hAnsi="Times New Roman" w:cs="Times New Roman"/>
              <w:b w:val="0"/>
              <w:bCs/>
            </w:rPr>
          </w:pPr>
          <w:r>
            <w:rPr>
              <w:rFonts w:hint="default" w:ascii="Times New Roman" w:hAnsi="Times New Roman" w:eastAsia="微软雅黑" w:cs="Times New Roman"/>
              <w:b w:val="0"/>
              <w:bCs/>
            </w:rPr>
            <w:fldChar w:fldCharType="begin"/>
          </w:r>
          <w:r>
            <w:rPr>
              <w:rFonts w:hint="default" w:ascii="Times New Roman" w:hAnsi="Times New Roman" w:eastAsia="微软雅黑" w:cs="Times New Roman"/>
              <w:b w:val="0"/>
              <w:bCs/>
            </w:rPr>
            <w:instrText xml:space="preserve"> HYPERLINK \l _Toc9330 </w:instrText>
          </w:r>
          <w:r>
            <w:rPr>
              <w:rFonts w:hint="default" w:ascii="Times New Roman" w:hAnsi="Times New Roman" w:eastAsia="微软雅黑" w:cs="Times New Roman"/>
              <w:b w:val="0"/>
              <w:bCs/>
            </w:rPr>
            <w:fldChar w:fldCharType="separate"/>
          </w:r>
          <w:r>
            <w:rPr>
              <w:rFonts w:hint="default" w:ascii="Times New Roman" w:hAnsi="Times New Roman" w:eastAsia="微软雅黑" w:cs="Times New Roman"/>
              <w:b w:val="0"/>
              <w:bCs/>
              <w:color w:val="FFFFFF" w:themeColor="background1"/>
              <w:szCs w:val="36"/>
              <w:shd w:val="clear" w:color="auto" w:fill="43A5A1"/>
              <w14:textFill>
                <w14:solidFill>
                  <w14:schemeClr w14:val="bg1"/>
                </w14:solidFill>
              </w14:textFill>
            </w:rPr>
            <w:t>检测结果</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_Toc9330 \h </w:instrText>
          </w:r>
          <w:r>
            <w:rPr>
              <w:rFonts w:hint="default" w:ascii="Times New Roman" w:hAnsi="Times New Roman" w:cs="Times New Roman"/>
              <w:b w:val="0"/>
              <w:bCs/>
            </w:rPr>
            <w:fldChar w:fldCharType="separate"/>
          </w:r>
          <w:r>
            <w:rPr>
              <w:rFonts w:hint="default" w:ascii="Times New Roman" w:hAnsi="Times New Roman" w:cs="Times New Roman"/>
              <w:b w:val="0"/>
              <w:bCs/>
            </w:rPr>
            <w:t>3</w:t>
          </w:r>
          <w:r>
            <w:rPr>
              <w:rFonts w:hint="default" w:ascii="Times New Roman" w:hAnsi="Times New Roman" w:cs="Times New Roman"/>
              <w:b w:val="0"/>
              <w:bCs/>
            </w:rPr>
            <w:fldChar w:fldCharType="end"/>
          </w:r>
          <w:r>
            <w:rPr>
              <w:rFonts w:hint="default" w:ascii="Times New Roman" w:hAnsi="Times New Roman" w:eastAsia="微软雅黑" w:cs="Times New Roman"/>
              <w:b w:val="0"/>
              <w:bCs/>
            </w:rPr>
            <w:fldChar w:fldCharType="end"/>
          </w:r>
        </w:p>
        <w:p>
          <w:pPr>
            <w:pStyle w:val="18"/>
            <w:tabs>
              <w:tab w:val="right" w:leader="dot" w:pos="9740"/>
            </w:tabs>
            <w:rPr>
              <w:rFonts w:hint="default" w:ascii="Times New Roman" w:hAnsi="Times New Roman" w:cs="Times New Roman"/>
              <w:b w:val="0"/>
              <w:bCs/>
            </w:rPr>
          </w:pPr>
          <w:r>
            <w:rPr>
              <w:rFonts w:hint="default" w:ascii="Times New Roman" w:hAnsi="Times New Roman" w:eastAsia="微软雅黑" w:cs="Times New Roman"/>
              <w:b w:val="0"/>
              <w:bCs/>
            </w:rPr>
            <w:fldChar w:fldCharType="begin"/>
          </w:r>
          <w:r>
            <w:rPr>
              <w:rFonts w:hint="default" w:ascii="Times New Roman" w:hAnsi="Times New Roman" w:eastAsia="微软雅黑" w:cs="Times New Roman"/>
              <w:b w:val="0"/>
              <w:bCs/>
            </w:rPr>
            <w:instrText xml:space="preserve"> HYPERLINK \l _Toc16944 </w:instrText>
          </w:r>
          <w:r>
            <w:rPr>
              <w:rFonts w:hint="default" w:ascii="Times New Roman" w:hAnsi="Times New Roman" w:eastAsia="微软雅黑" w:cs="Times New Roman"/>
              <w:b w:val="0"/>
              <w:bCs/>
            </w:rPr>
            <w:fldChar w:fldCharType="separate"/>
          </w:r>
          <w:r>
            <w:rPr>
              <w:rFonts w:hint="default" w:ascii="Times New Roman" w:hAnsi="Times New Roman" w:eastAsia="微软雅黑" w:cs="Times New Roman"/>
              <w:b w:val="0"/>
              <w:bCs/>
              <w:color w:val="FFFFFF" w:themeColor="background1"/>
              <w:szCs w:val="36"/>
              <w:shd w:val="clear" w:color="auto" w:fill="41A5A1"/>
              <w14:textFill>
                <w14:solidFill>
                  <w14:schemeClr w14:val="bg1"/>
                </w14:solidFill>
              </w14:textFill>
            </w:rPr>
            <w:t>附录</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_Toc16944 \h </w:instrText>
          </w:r>
          <w:r>
            <w:rPr>
              <w:rFonts w:hint="default" w:ascii="Times New Roman" w:hAnsi="Times New Roman" w:cs="Times New Roman"/>
              <w:b w:val="0"/>
              <w:bCs/>
            </w:rPr>
            <w:fldChar w:fldCharType="separate"/>
          </w:r>
          <w:r>
            <w:rPr>
              <w:rFonts w:hint="default" w:ascii="Times New Roman" w:hAnsi="Times New Roman" w:cs="Times New Roman"/>
              <w:b w:val="0"/>
              <w:bCs/>
            </w:rPr>
            <w:t>7</w:t>
          </w:r>
          <w:r>
            <w:rPr>
              <w:rFonts w:hint="default" w:ascii="Times New Roman" w:hAnsi="Times New Roman" w:cs="Times New Roman"/>
              <w:b w:val="0"/>
              <w:bCs/>
            </w:rPr>
            <w:fldChar w:fldCharType="end"/>
          </w:r>
          <w:r>
            <w:rPr>
              <w:rFonts w:hint="default" w:ascii="Times New Roman" w:hAnsi="Times New Roman" w:eastAsia="微软雅黑" w:cs="Times New Roman"/>
              <w:b w:val="0"/>
              <w:bCs/>
            </w:rPr>
            <w:fldChar w:fldCharType="end"/>
          </w:r>
        </w:p>
        <w:p>
          <w:pPr>
            <w:pStyle w:val="21"/>
            <w:tabs>
              <w:tab w:val="right" w:leader="dot" w:pos="9740"/>
            </w:tabs>
            <w:rPr>
              <w:rFonts w:hint="default" w:ascii="Times New Roman" w:hAnsi="Times New Roman" w:cs="Times New Roman"/>
              <w:b w:val="0"/>
              <w:bCs/>
            </w:rPr>
          </w:pPr>
          <w:r>
            <w:rPr>
              <w:rFonts w:hint="default" w:ascii="Times New Roman" w:hAnsi="Times New Roman" w:eastAsia="微软雅黑" w:cs="Times New Roman"/>
              <w:b w:val="0"/>
              <w:bCs/>
            </w:rPr>
            <w:fldChar w:fldCharType="begin"/>
          </w:r>
          <w:r>
            <w:rPr>
              <w:rFonts w:hint="default" w:ascii="Times New Roman" w:hAnsi="Times New Roman" w:eastAsia="微软雅黑" w:cs="Times New Roman"/>
              <w:b w:val="0"/>
              <w:bCs/>
            </w:rPr>
            <w:instrText xml:space="preserve"> HYPERLINK \l _Toc12289 </w:instrText>
          </w:r>
          <w:r>
            <w:rPr>
              <w:rFonts w:hint="default" w:ascii="Times New Roman" w:hAnsi="Times New Roman" w:eastAsia="微软雅黑" w:cs="Times New Roman"/>
              <w:b w:val="0"/>
              <w:bCs/>
            </w:rPr>
            <w:fldChar w:fldCharType="separate"/>
          </w:r>
          <w:r>
            <w:rPr>
              <w:rFonts w:hint="default" w:ascii="Times New Roman" w:hAnsi="Times New Roman" w:eastAsia="微软雅黑" w:cs="Times New Roman"/>
              <w:b w:val="0"/>
              <w:bCs/>
              <w:szCs w:val="30"/>
            </w:rPr>
            <w:t>1. 基因变异及靶向药物结果解析</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_Toc12289 \h </w:instrText>
          </w:r>
          <w:r>
            <w:rPr>
              <w:rFonts w:hint="default" w:ascii="Times New Roman" w:hAnsi="Times New Roman" w:cs="Times New Roman"/>
              <w:b w:val="0"/>
              <w:bCs/>
            </w:rPr>
            <w:fldChar w:fldCharType="separate"/>
          </w:r>
          <w:r>
            <w:rPr>
              <w:rFonts w:hint="default" w:ascii="Times New Roman" w:hAnsi="Times New Roman" w:cs="Times New Roman"/>
              <w:b w:val="0"/>
              <w:bCs/>
            </w:rPr>
            <w:t>7</w:t>
          </w:r>
          <w:r>
            <w:rPr>
              <w:rFonts w:hint="default" w:ascii="Times New Roman" w:hAnsi="Times New Roman" w:cs="Times New Roman"/>
              <w:b w:val="0"/>
              <w:bCs/>
            </w:rPr>
            <w:fldChar w:fldCharType="end"/>
          </w:r>
          <w:r>
            <w:rPr>
              <w:rFonts w:hint="default" w:ascii="Times New Roman" w:hAnsi="Times New Roman" w:eastAsia="微软雅黑" w:cs="Times New Roman"/>
              <w:b w:val="0"/>
              <w:bCs/>
            </w:rPr>
            <w:fldChar w:fldCharType="end"/>
          </w:r>
        </w:p>
        <w:p>
          <w:pPr>
            <w:pStyle w:val="21"/>
            <w:tabs>
              <w:tab w:val="right" w:leader="dot" w:pos="9740"/>
            </w:tabs>
            <w:rPr>
              <w:rFonts w:hint="default" w:ascii="Times New Roman" w:hAnsi="Times New Roman" w:cs="Times New Roman"/>
              <w:b w:val="0"/>
              <w:bCs/>
            </w:rPr>
          </w:pPr>
          <w:r>
            <w:rPr>
              <w:rFonts w:hint="default" w:ascii="Times New Roman" w:hAnsi="Times New Roman" w:eastAsia="微软雅黑" w:cs="Times New Roman"/>
              <w:b w:val="0"/>
              <w:bCs/>
            </w:rPr>
            <w:fldChar w:fldCharType="begin"/>
          </w:r>
          <w:r>
            <w:rPr>
              <w:rFonts w:hint="default" w:ascii="Times New Roman" w:hAnsi="Times New Roman" w:eastAsia="微软雅黑" w:cs="Times New Roman"/>
              <w:b w:val="0"/>
              <w:bCs/>
            </w:rPr>
            <w:instrText xml:space="preserve"> HYPERLINK \l _Toc14690 </w:instrText>
          </w:r>
          <w:r>
            <w:rPr>
              <w:rFonts w:hint="default" w:ascii="Times New Roman" w:hAnsi="Times New Roman" w:eastAsia="微软雅黑" w:cs="Times New Roman"/>
              <w:b w:val="0"/>
              <w:bCs/>
            </w:rPr>
            <w:fldChar w:fldCharType="separate"/>
          </w:r>
          <w:r>
            <w:rPr>
              <w:rFonts w:hint="default" w:ascii="Times New Roman" w:hAnsi="Times New Roman" w:eastAsia="微软雅黑" w:cs="Times New Roman"/>
              <w:b w:val="0"/>
              <w:bCs/>
              <w:szCs w:val="30"/>
            </w:rPr>
            <w:t>2. NCCN指南推荐相关基因列表</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_Toc14690 \h </w:instrText>
          </w:r>
          <w:r>
            <w:rPr>
              <w:rFonts w:hint="default" w:ascii="Times New Roman" w:hAnsi="Times New Roman" w:cs="Times New Roman"/>
              <w:b w:val="0"/>
              <w:bCs/>
            </w:rPr>
            <w:fldChar w:fldCharType="separate"/>
          </w:r>
          <w:r>
            <w:rPr>
              <w:rFonts w:hint="default" w:ascii="Times New Roman" w:hAnsi="Times New Roman" w:cs="Times New Roman"/>
              <w:b w:val="0"/>
              <w:bCs/>
            </w:rPr>
            <w:t>11</w:t>
          </w:r>
          <w:r>
            <w:rPr>
              <w:rFonts w:hint="default" w:ascii="Times New Roman" w:hAnsi="Times New Roman" w:cs="Times New Roman"/>
              <w:b w:val="0"/>
              <w:bCs/>
            </w:rPr>
            <w:fldChar w:fldCharType="end"/>
          </w:r>
          <w:r>
            <w:rPr>
              <w:rFonts w:hint="default" w:ascii="Times New Roman" w:hAnsi="Times New Roman" w:eastAsia="微软雅黑" w:cs="Times New Roman"/>
              <w:b w:val="0"/>
              <w:bCs/>
            </w:rPr>
            <w:fldChar w:fldCharType="end"/>
          </w:r>
        </w:p>
        <w:p>
          <w:pPr>
            <w:pStyle w:val="18"/>
            <w:tabs>
              <w:tab w:val="right" w:leader="dot" w:pos="9740"/>
            </w:tabs>
            <w:rPr>
              <w:b w:val="0"/>
              <w:bCs/>
            </w:rPr>
          </w:pPr>
          <w:r>
            <w:rPr>
              <w:rFonts w:hint="default" w:ascii="Times New Roman" w:hAnsi="Times New Roman" w:eastAsia="微软雅黑" w:cs="Times New Roman"/>
              <w:b w:val="0"/>
              <w:bCs/>
            </w:rPr>
            <w:fldChar w:fldCharType="begin"/>
          </w:r>
          <w:r>
            <w:rPr>
              <w:rFonts w:hint="default" w:ascii="Times New Roman" w:hAnsi="Times New Roman" w:eastAsia="微软雅黑" w:cs="Times New Roman"/>
              <w:b w:val="0"/>
              <w:bCs/>
            </w:rPr>
            <w:instrText xml:space="preserve"> HYPERLINK \l _Toc5811 </w:instrText>
          </w:r>
          <w:r>
            <w:rPr>
              <w:rFonts w:hint="default" w:ascii="Times New Roman" w:hAnsi="Times New Roman" w:eastAsia="微软雅黑" w:cs="Times New Roman"/>
              <w:b w:val="0"/>
              <w:bCs/>
            </w:rPr>
            <w:fldChar w:fldCharType="separate"/>
          </w:r>
          <w:r>
            <w:rPr>
              <w:rFonts w:hint="default" w:ascii="Times New Roman" w:hAnsi="Times New Roman" w:eastAsia="微软雅黑" w:cs="Times New Roman"/>
              <w:b w:val="0"/>
              <w:bCs/>
              <w:color w:val="FFFFFF" w:themeColor="background1"/>
              <w:szCs w:val="36"/>
              <w:shd w:val="clear" w:color="auto" w:fill="41A5A1"/>
              <w:lang w:eastAsia="zh-CN"/>
              <w14:textFill>
                <w14:solidFill>
                  <w14:schemeClr w14:val="bg1"/>
                </w14:solidFill>
              </w14:textFill>
            </w:rPr>
            <w:t>参考文献</w:t>
          </w:r>
          <w:r>
            <w:rPr>
              <w:rFonts w:hint="default" w:ascii="Times New Roman" w:hAnsi="Times New Roman" w:cs="Times New Roman"/>
              <w:b w:val="0"/>
              <w:bCs/>
            </w:rPr>
            <w:tab/>
          </w:r>
          <w:r>
            <w:rPr>
              <w:rFonts w:hint="default" w:ascii="Times New Roman" w:hAnsi="Times New Roman" w:cs="Times New Roman"/>
              <w:b w:val="0"/>
              <w:bCs/>
            </w:rPr>
            <w:fldChar w:fldCharType="begin"/>
          </w:r>
          <w:r>
            <w:rPr>
              <w:rFonts w:hint="default" w:ascii="Times New Roman" w:hAnsi="Times New Roman" w:cs="Times New Roman"/>
              <w:b w:val="0"/>
              <w:bCs/>
            </w:rPr>
            <w:instrText xml:space="preserve"> PAGEREF _Toc5811 \h </w:instrText>
          </w:r>
          <w:r>
            <w:rPr>
              <w:rFonts w:hint="default" w:ascii="Times New Roman" w:hAnsi="Times New Roman" w:cs="Times New Roman"/>
              <w:b w:val="0"/>
              <w:bCs/>
            </w:rPr>
            <w:fldChar w:fldCharType="separate"/>
          </w:r>
          <w:r>
            <w:rPr>
              <w:rFonts w:hint="default" w:ascii="Times New Roman" w:hAnsi="Times New Roman" w:cs="Times New Roman"/>
              <w:b w:val="0"/>
              <w:bCs/>
            </w:rPr>
            <w:t>17</w:t>
          </w:r>
          <w:r>
            <w:rPr>
              <w:rFonts w:hint="default" w:ascii="Times New Roman" w:hAnsi="Times New Roman" w:cs="Times New Roman"/>
              <w:b w:val="0"/>
              <w:bCs/>
            </w:rPr>
            <w:fldChar w:fldCharType="end"/>
          </w:r>
          <w:r>
            <w:rPr>
              <w:rFonts w:hint="default" w:ascii="Times New Roman" w:hAnsi="Times New Roman" w:eastAsia="微软雅黑" w:cs="Times New Roman"/>
              <w:b w:val="0"/>
              <w:bCs/>
            </w:rPr>
            <w:fldChar w:fldCharType="end"/>
          </w:r>
        </w:p>
        <w:p>
          <w:pPr>
            <w:pStyle w:val="18"/>
            <w:tabs>
              <w:tab w:val="right" w:leader="dot" w:pos="9900"/>
            </w:tabs>
            <w:rPr>
              <w:rFonts w:eastAsia="微软雅黑"/>
            </w:rPr>
          </w:pPr>
          <w:r>
            <w:rPr>
              <w:rFonts w:eastAsia="微软雅黑"/>
              <w:bCs/>
            </w:rPr>
            <w:fldChar w:fldCharType="end"/>
          </w:r>
        </w:p>
      </w:sdtContent>
    </w:sdt>
    <w:p>
      <w:pPr>
        <w:spacing w:line="360" w:lineRule="auto"/>
        <w:jc w:val="center"/>
        <w:rPr>
          <w:rFonts w:eastAsia="微软雅黑"/>
          <w:b/>
          <w:bCs/>
          <w:color w:val="000000"/>
          <w:sz w:val="36"/>
          <w:lang w:val="zh-CN"/>
        </w:rPr>
      </w:pPr>
    </w:p>
    <w:p>
      <w:pPr>
        <w:spacing w:line="360" w:lineRule="auto"/>
        <w:jc w:val="center"/>
        <w:rPr>
          <w:rFonts w:eastAsia="微软雅黑"/>
          <w:b/>
          <w:sz w:val="44"/>
          <w:szCs w:val="44"/>
        </w:rPr>
        <w:sectPr>
          <w:footerReference r:id="rId9" w:type="default"/>
          <w:pgSz w:w="11900" w:h="16840"/>
          <w:pgMar w:top="1440" w:right="1080" w:bottom="1440" w:left="1080" w:header="567" w:footer="720" w:gutter="0"/>
          <w:pgBorders>
            <w:top w:val="none" w:sz="0" w:space="0"/>
            <w:left w:val="none" w:sz="0" w:space="0"/>
            <w:bottom w:val="none" w:sz="0" w:space="0"/>
            <w:right w:val="none" w:sz="0" w:space="0"/>
          </w:pgBorders>
          <w:pgNumType w:start="1"/>
          <w:cols w:space="720" w:num="1"/>
        </w:sectPr>
      </w:pPr>
      <w:bookmarkStart w:id="0" w:name="_Toc17326_WPSOffice_Level1"/>
      <w:bookmarkEnd w:id="0"/>
    </w:p>
    <w:p>
      <w:pPr>
        <w:spacing w:line="360" w:lineRule="auto"/>
        <w:rPr>
          <w:rFonts w:eastAsia="微软雅黑"/>
          <w:b/>
          <w:sz w:val="44"/>
          <w:szCs w:val="44"/>
        </w:rPr>
      </w:pPr>
      <w:bookmarkStart w:id="1" w:name="_Toc20399_WPSOffice_Level1"/>
      <w:bookmarkEnd w:id="1"/>
    </w:p>
    <w:p>
      <w:pPr>
        <w:jc w:val="center"/>
        <w:rPr>
          <w:rFonts w:eastAsia="微软雅黑"/>
          <w:b/>
          <w:sz w:val="36"/>
          <w:szCs w:val="36"/>
        </w:rPr>
      </w:pPr>
    </w:p>
    <w:p>
      <w:pPr>
        <w:pStyle w:val="11"/>
        <w:jc w:val="center"/>
        <w:rPr>
          <w:rFonts w:eastAsia="微软雅黑"/>
          <w:b/>
          <w:sz w:val="52"/>
          <w:szCs w:val="52"/>
          <w:lang w:eastAsia="zh-CN"/>
        </w:rPr>
      </w:pPr>
      <w:bookmarkStart w:id="2" w:name="_Toc18968_WPSOffice_Level2"/>
      <w:bookmarkStart w:id="3" w:name="_Toc19554_WPSOffice_Level2"/>
      <w:r>
        <w:rPr>
          <w:rFonts w:eastAsia="微软雅黑"/>
          <w:b/>
          <w:sz w:val="52"/>
          <w:szCs w:val="52"/>
          <w:lang w:eastAsia="zh-CN"/>
        </w:rPr>
        <w:t>肺癌组织</w:t>
      </w:r>
      <w:r>
        <w:rPr>
          <w:rFonts w:hint="eastAsia" w:eastAsia="微软雅黑"/>
          <w:b/>
          <w:sz w:val="52"/>
          <w:szCs w:val="52"/>
          <w:lang w:eastAsia="zh-CN"/>
        </w:rPr>
        <w:t>60</w:t>
      </w:r>
      <w:r>
        <w:rPr>
          <w:rFonts w:eastAsia="微软雅黑"/>
          <w:b/>
          <w:sz w:val="52"/>
          <w:szCs w:val="52"/>
          <w:lang w:eastAsia="zh-CN"/>
        </w:rPr>
        <w:t>基因检测报告</w:t>
      </w:r>
      <w:bookmarkEnd w:id="2"/>
      <w:bookmarkEnd w:id="3"/>
    </w:p>
    <w:p>
      <w:pPr>
        <w:jc w:val="center"/>
        <w:rPr>
          <w:rFonts w:eastAsia="微软雅黑"/>
          <w:b/>
          <w:sz w:val="44"/>
          <w:szCs w:val="44"/>
        </w:rPr>
      </w:pPr>
    </w:p>
    <w:p>
      <w:pPr>
        <w:jc w:val="center"/>
        <w:rPr>
          <w:rFonts w:eastAsia="微软雅黑"/>
          <w:b/>
          <w:sz w:val="44"/>
          <w:szCs w:val="44"/>
        </w:rPr>
      </w:pPr>
    </w:p>
    <w:p>
      <w:pPr>
        <w:jc w:val="both"/>
        <w:rPr>
          <w:rFonts w:eastAsia="微软雅黑"/>
          <w:b/>
          <w:sz w:val="44"/>
          <w:szCs w:val="44"/>
        </w:rPr>
      </w:pPr>
    </w:p>
    <w:p>
      <w:pPr>
        <w:jc w:val="center"/>
        <w:rPr>
          <w:rFonts w:eastAsia="微软雅黑"/>
          <w:b/>
          <w:sz w:val="44"/>
          <w:szCs w:val="44"/>
        </w:rPr>
      </w:pPr>
    </w:p>
    <w:p>
      <w:pPr>
        <w:jc w:val="center"/>
        <w:outlineLvl w:val="0"/>
        <w:rPr>
          <w:rFonts w:eastAsia="微软雅黑"/>
          <w:color w:val="FFFFFF"/>
          <w:shd w:val="clear" w:color="auto" w:fill="004271"/>
        </w:rPr>
      </w:pPr>
      <w:bookmarkStart w:id="4" w:name="_Toc29979"/>
      <w:bookmarkStart w:id="5" w:name="_Toc22658_WPSOffice_Level1"/>
      <w:r>
        <w:rPr>
          <w:rFonts w:eastAsia="微软雅黑"/>
          <w:b/>
          <w:color w:val="FFFFFF"/>
          <w:sz w:val="36"/>
          <w:szCs w:val="36"/>
          <w:shd w:val="clear" w:color="auto" w:fill="43A5A1"/>
        </w:rPr>
        <w:t>样本信息</w:t>
      </w:r>
      <w:bookmarkEnd w:id="4"/>
      <w:bookmarkEnd w:id="5"/>
    </w:p>
    <w:p>
      <w:pPr>
        <w:tabs>
          <w:tab w:val="left" w:pos="676"/>
        </w:tabs>
        <w:spacing w:line="461" w:lineRule="exact"/>
        <w:ind w:right="4073"/>
        <w:rPr>
          <w:rFonts w:eastAsia="微软雅黑"/>
          <w:color w:val="FFFFFF"/>
          <w:shd w:val="clear" w:color="auto" w:fill="004271"/>
        </w:rPr>
      </w:pPr>
    </w:p>
    <w:tbl>
      <w:tblPr>
        <w:tblStyle w:val="25"/>
        <w:tblpPr w:leftFromText="180" w:rightFromText="180" w:vertAnchor="text" w:horzAnchor="page" w:tblpX="1228" w:tblpY="116"/>
        <w:tblOverlap w:val="never"/>
        <w:tblW w:w="9855" w:type="dxa"/>
        <w:tblInd w:w="0" w:type="dxa"/>
        <w:tblBorders>
          <w:top w:val="none" w:color="auto" w:sz="0"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510"/>
        <w:gridCol w:w="1191"/>
        <w:gridCol w:w="2796"/>
        <w:gridCol w:w="549"/>
        <w:gridCol w:w="1785"/>
        <w:gridCol w:w="3024"/>
      </w:tblGrid>
      <w:tr>
        <w:tblPrEx>
          <w:tblBorders>
            <w:top w:val="none" w:color="auto" w:sz="0"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restart"/>
            <w:shd w:val="clear" w:color="auto" w:fill="auto"/>
            <w:vAlign w:val="center"/>
          </w:tcPr>
          <w:p>
            <w:pPr>
              <w:widowControl w:val="0"/>
              <w:rPr>
                <w:rFonts w:eastAsia="微软雅黑"/>
                <w:kern w:val="2"/>
                <w:sz w:val="28"/>
                <w:szCs w:val="28"/>
              </w:rPr>
            </w:pPr>
          </w:p>
        </w:tc>
        <w:tc>
          <w:tcPr>
            <w:tcW w:w="1191" w:type="dxa"/>
            <w:shd w:val="clear" w:color="auto" w:fill="auto"/>
            <w:vAlign w:val="center"/>
          </w:tcPr>
          <w:p>
            <w:pPr>
              <w:widowControl w:val="0"/>
              <w:rPr>
                <w:rFonts w:eastAsia="微软雅黑"/>
                <w:kern w:val="2"/>
                <w:sz w:val="28"/>
                <w:szCs w:val="28"/>
              </w:rPr>
            </w:pPr>
            <w:r>
              <w:rPr>
                <w:rFonts w:eastAsia="微软雅黑"/>
                <w:kern w:val="2"/>
                <w:sz w:val="28"/>
                <w:szCs w:val="28"/>
              </w:rPr>
              <w:t>姓名：</w:t>
            </w:r>
          </w:p>
        </w:tc>
        <w:tc>
          <w:tcPr>
            <w:tcW w:w="2796" w:type="dxa"/>
            <w:shd w:val="clear" w:color="auto" w:fill="auto"/>
            <w:vAlign w:val="center"/>
          </w:tcPr>
          <w:p>
            <w:pPr>
              <w:widowControl w:val="0"/>
              <w:rPr>
                <w:rFonts w:eastAsia="微软雅黑"/>
                <w:kern w:val="2"/>
                <w:sz w:val="28"/>
                <w:szCs w:val="28"/>
              </w:rPr>
            </w:pPr>
            <w:r>
              <w:rPr>
                <w:rFonts w:eastAsia="微软雅黑"/>
                <w:kern w:val="2"/>
                <w:sz w:val="28"/>
                <w:szCs w:val="28"/>
              </w:rPr>
              <w:t>{{ client }}</w:t>
            </w:r>
          </w:p>
        </w:tc>
        <w:tc>
          <w:tcPr>
            <w:tcW w:w="549" w:type="dxa"/>
            <w:vMerge w:val="restart"/>
            <w:shd w:val="clear" w:color="auto" w:fill="auto"/>
            <w:vAlign w:val="center"/>
          </w:tcPr>
          <w:p>
            <w:pPr>
              <w:widowControl w:val="0"/>
              <w:rPr>
                <w:rFonts w:eastAsia="微软雅黑"/>
                <w:kern w:val="2"/>
                <w:sz w:val="28"/>
                <w:szCs w:val="28"/>
              </w:rPr>
            </w:pPr>
          </w:p>
        </w:tc>
        <w:tc>
          <w:tcPr>
            <w:tcW w:w="1785" w:type="dxa"/>
            <w:shd w:val="clear" w:color="auto" w:fill="auto"/>
            <w:vAlign w:val="center"/>
          </w:tcPr>
          <w:p>
            <w:pPr>
              <w:widowControl w:val="0"/>
              <w:rPr>
                <w:rFonts w:eastAsia="微软雅黑"/>
                <w:kern w:val="2"/>
                <w:sz w:val="28"/>
                <w:szCs w:val="28"/>
              </w:rPr>
            </w:pPr>
            <w:r>
              <w:rPr>
                <w:rFonts w:eastAsia="微软雅黑"/>
                <w:kern w:val="2"/>
                <w:sz w:val="28"/>
                <w:szCs w:val="28"/>
              </w:rPr>
              <w:t>住院号：</w:t>
            </w:r>
          </w:p>
        </w:tc>
        <w:tc>
          <w:tcPr>
            <w:tcW w:w="3024" w:type="dxa"/>
            <w:shd w:val="clear" w:color="auto" w:fill="auto"/>
            <w:vAlign w:val="center"/>
          </w:tcPr>
          <w:p>
            <w:pPr>
              <w:widowControl w:val="0"/>
              <w:rPr>
                <w:rFonts w:eastAsia="微软雅黑"/>
                <w:kern w:val="2"/>
                <w:sz w:val="28"/>
                <w:szCs w:val="28"/>
              </w:rPr>
            </w:pPr>
            <w:r>
              <w:rPr>
                <w:rFonts w:eastAsia="微软雅黑"/>
                <w:kern w:val="2"/>
                <w:sz w:val="28"/>
                <w:szCs w:val="28"/>
              </w:rPr>
              <w:t>{{ room }}</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continue"/>
            <w:shd w:val="clear" w:color="auto" w:fill="auto"/>
            <w:vAlign w:val="center"/>
          </w:tcPr>
          <w:p>
            <w:pPr>
              <w:widowControl w:val="0"/>
              <w:rPr>
                <w:rFonts w:eastAsia="微软雅黑"/>
                <w:kern w:val="2"/>
                <w:sz w:val="28"/>
                <w:szCs w:val="28"/>
              </w:rPr>
            </w:pPr>
          </w:p>
        </w:tc>
        <w:tc>
          <w:tcPr>
            <w:tcW w:w="1191" w:type="dxa"/>
            <w:shd w:val="clear" w:color="auto" w:fill="auto"/>
            <w:vAlign w:val="center"/>
          </w:tcPr>
          <w:p>
            <w:pPr>
              <w:widowControl w:val="0"/>
              <w:rPr>
                <w:rFonts w:eastAsia="微软雅黑"/>
                <w:kern w:val="2"/>
                <w:sz w:val="28"/>
                <w:szCs w:val="28"/>
              </w:rPr>
            </w:pPr>
            <w:r>
              <w:rPr>
                <w:rFonts w:eastAsia="微软雅黑"/>
                <w:kern w:val="2"/>
                <w:sz w:val="28"/>
                <w:szCs w:val="28"/>
              </w:rPr>
              <w:t>性别：</w:t>
            </w:r>
          </w:p>
        </w:tc>
        <w:tc>
          <w:tcPr>
            <w:tcW w:w="2796" w:type="dxa"/>
            <w:shd w:val="clear" w:color="auto" w:fill="auto"/>
            <w:vAlign w:val="center"/>
          </w:tcPr>
          <w:p>
            <w:pPr>
              <w:widowControl w:val="0"/>
              <w:rPr>
                <w:rFonts w:eastAsia="微软雅黑"/>
                <w:kern w:val="2"/>
                <w:sz w:val="28"/>
                <w:szCs w:val="28"/>
              </w:rPr>
            </w:pPr>
            <w:r>
              <w:rPr>
                <w:rFonts w:eastAsia="微软雅黑"/>
                <w:kern w:val="2"/>
                <w:sz w:val="28"/>
                <w:szCs w:val="28"/>
              </w:rPr>
              <w:t>{{ sex }}</w:t>
            </w:r>
          </w:p>
        </w:tc>
        <w:tc>
          <w:tcPr>
            <w:tcW w:w="549" w:type="dxa"/>
            <w:vMerge w:val="continue"/>
            <w:shd w:val="clear" w:color="auto" w:fill="auto"/>
            <w:vAlign w:val="center"/>
          </w:tcPr>
          <w:p>
            <w:pPr>
              <w:widowControl w:val="0"/>
              <w:rPr>
                <w:rFonts w:eastAsia="微软雅黑"/>
                <w:kern w:val="2"/>
                <w:sz w:val="28"/>
                <w:szCs w:val="28"/>
              </w:rPr>
            </w:pPr>
          </w:p>
        </w:tc>
        <w:tc>
          <w:tcPr>
            <w:tcW w:w="1785" w:type="dxa"/>
            <w:shd w:val="clear" w:color="auto" w:fill="auto"/>
            <w:vAlign w:val="center"/>
          </w:tcPr>
          <w:p>
            <w:pPr>
              <w:widowControl w:val="0"/>
              <w:rPr>
                <w:rFonts w:eastAsia="微软雅黑"/>
                <w:kern w:val="2"/>
                <w:sz w:val="28"/>
                <w:szCs w:val="28"/>
              </w:rPr>
            </w:pPr>
            <w:r>
              <w:rPr>
                <w:rFonts w:eastAsia="微软雅黑"/>
                <w:kern w:val="2"/>
                <w:sz w:val="28"/>
                <w:szCs w:val="28"/>
              </w:rPr>
              <w:t>病理编号：</w:t>
            </w:r>
          </w:p>
        </w:tc>
        <w:tc>
          <w:tcPr>
            <w:tcW w:w="3024" w:type="dxa"/>
            <w:shd w:val="clear" w:color="auto" w:fill="auto"/>
            <w:vAlign w:val="center"/>
          </w:tcPr>
          <w:p>
            <w:pPr>
              <w:widowControl w:val="0"/>
              <w:rPr>
                <w:rFonts w:eastAsia="微软雅黑"/>
                <w:kern w:val="2"/>
                <w:sz w:val="28"/>
                <w:szCs w:val="28"/>
              </w:rPr>
            </w:pPr>
            <w:r>
              <w:rPr>
                <w:rFonts w:eastAsia="微软雅黑"/>
                <w:kern w:val="2"/>
                <w:sz w:val="28"/>
                <w:szCs w:val="28"/>
              </w:rPr>
              <w:t>{{ template_subbarcode }}</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continue"/>
            <w:shd w:val="clear" w:color="auto" w:fill="auto"/>
            <w:vAlign w:val="center"/>
          </w:tcPr>
          <w:p>
            <w:pPr>
              <w:widowControl w:val="0"/>
              <w:rPr>
                <w:rFonts w:eastAsia="微软雅黑"/>
                <w:kern w:val="2"/>
                <w:sz w:val="28"/>
                <w:szCs w:val="28"/>
              </w:rPr>
            </w:pPr>
          </w:p>
        </w:tc>
        <w:tc>
          <w:tcPr>
            <w:tcW w:w="1191" w:type="dxa"/>
            <w:shd w:val="clear" w:color="auto" w:fill="auto"/>
            <w:vAlign w:val="center"/>
          </w:tcPr>
          <w:p>
            <w:pPr>
              <w:widowControl w:val="0"/>
              <w:rPr>
                <w:rFonts w:eastAsia="微软雅黑"/>
                <w:kern w:val="2"/>
                <w:sz w:val="28"/>
                <w:szCs w:val="28"/>
              </w:rPr>
            </w:pPr>
            <w:r>
              <w:rPr>
                <w:rFonts w:eastAsia="微软雅黑"/>
                <w:kern w:val="2"/>
                <w:sz w:val="28"/>
                <w:szCs w:val="28"/>
              </w:rPr>
              <w:t>年龄：</w:t>
            </w:r>
          </w:p>
        </w:tc>
        <w:tc>
          <w:tcPr>
            <w:tcW w:w="2796" w:type="dxa"/>
            <w:shd w:val="clear" w:color="auto" w:fill="auto"/>
            <w:vAlign w:val="center"/>
          </w:tcPr>
          <w:p>
            <w:pPr>
              <w:widowControl w:val="0"/>
              <w:rPr>
                <w:rFonts w:eastAsia="微软雅黑"/>
                <w:kern w:val="2"/>
                <w:sz w:val="28"/>
                <w:szCs w:val="28"/>
              </w:rPr>
            </w:pPr>
            <w:r>
              <w:rPr>
                <w:rFonts w:eastAsia="微软雅黑"/>
                <w:kern w:val="2"/>
                <w:sz w:val="28"/>
                <w:szCs w:val="28"/>
              </w:rPr>
              <w:t>{{ age }}岁</w:t>
            </w:r>
          </w:p>
        </w:tc>
        <w:tc>
          <w:tcPr>
            <w:tcW w:w="549" w:type="dxa"/>
            <w:vMerge w:val="continue"/>
            <w:shd w:val="clear" w:color="auto" w:fill="auto"/>
            <w:vAlign w:val="center"/>
          </w:tcPr>
          <w:p>
            <w:pPr>
              <w:widowControl w:val="0"/>
              <w:rPr>
                <w:rFonts w:eastAsia="微软雅黑"/>
                <w:kern w:val="2"/>
                <w:sz w:val="28"/>
                <w:szCs w:val="28"/>
              </w:rPr>
            </w:pPr>
          </w:p>
        </w:tc>
        <w:tc>
          <w:tcPr>
            <w:tcW w:w="1785" w:type="dxa"/>
            <w:shd w:val="clear" w:color="auto" w:fill="auto"/>
            <w:vAlign w:val="center"/>
          </w:tcPr>
          <w:p>
            <w:pPr>
              <w:widowControl w:val="0"/>
              <w:rPr>
                <w:rFonts w:eastAsia="微软雅黑"/>
                <w:kern w:val="2"/>
                <w:sz w:val="28"/>
                <w:szCs w:val="28"/>
              </w:rPr>
            </w:pPr>
            <w:r>
              <w:rPr>
                <w:rFonts w:eastAsia="微软雅黑"/>
                <w:kern w:val="2"/>
                <w:sz w:val="28"/>
                <w:szCs w:val="28"/>
              </w:rPr>
              <w:t>病理诊断：</w:t>
            </w:r>
          </w:p>
        </w:tc>
        <w:tc>
          <w:tcPr>
            <w:tcW w:w="3024" w:type="dxa"/>
            <w:shd w:val="clear" w:color="auto" w:fill="auto"/>
            <w:vAlign w:val="center"/>
          </w:tcPr>
          <w:p>
            <w:pPr>
              <w:widowControl w:val="0"/>
              <w:rPr>
                <w:rFonts w:eastAsia="微软雅黑"/>
                <w:kern w:val="2"/>
                <w:sz w:val="28"/>
                <w:szCs w:val="28"/>
              </w:rPr>
            </w:pPr>
            <w:r>
              <w:rPr>
                <w:rFonts w:eastAsia="微软雅黑"/>
                <w:kern w:val="2"/>
                <w:sz w:val="28"/>
                <w:szCs w:val="28"/>
              </w:rPr>
              <w:t>{{ diseaseName }}</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continue"/>
            <w:shd w:val="clear" w:color="auto" w:fill="auto"/>
            <w:vAlign w:val="center"/>
          </w:tcPr>
          <w:p>
            <w:pPr>
              <w:widowControl w:val="0"/>
              <w:rPr>
                <w:rFonts w:eastAsia="微软雅黑"/>
                <w:kern w:val="2"/>
                <w:sz w:val="28"/>
                <w:szCs w:val="28"/>
              </w:rPr>
            </w:pPr>
          </w:p>
        </w:tc>
        <w:tc>
          <w:tcPr>
            <w:tcW w:w="1191" w:type="dxa"/>
            <w:shd w:val="clear" w:color="auto" w:fill="auto"/>
            <w:vAlign w:val="center"/>
          </w:tcPr>
          <w:p>
            <w:pPr>
              <w:widowControl w:val="0"/>
              <w:rPr>
                <w:rFonts w:eastAsia="微软雅黑"/>
                <w:kern w:val="2"/>
                <w:sz w:val="28"/>
                <w:szCs w:val="28"/>
              </w:rPr>
            </w:pPr>
            <w:r>
              <w:rPr>
                <w:rFonts w:eastAsia="微软雅黑"/>
                <w:kern w:val="2"/>
                <w:sz w:val="28"/>
                <w:szCs w:val="28"/>
              </w:rPr>
              <w:t>科室：</w:t>
            </w:r>
          </w:p>
        </w:tc>
        <w:tc>
          <w:tcPr>
            <w:tcW w:w="2796" w:type="dxa"/>
            <w:shd w:val="clear" w:color="auto" w:fill="auto"/>
            <w:vAlign w:val="center"/>
          </w:tcPr>
          <w:p>
            <w:pPr>
              <w:widowControl w:val="0"/>
              <w:rPr>
                <w:rFonts w:eastAsia="微软雅黑"/>
                <w:kern w:val="2"/>
                <w:sz w:val="28"/>
                <w:szCs w:val="28"/>
              </w:rPr>
            </w:pPr>
            <w:r>
              <w:rPr>
                <w:rFonts w:eastAsia="微软雅黑"/>
                <w:kern w:val="2"/>
                <w:sz w:val="28"/>
                <w:szCs w:val="28"/>
              </w:rPr>
              <w:t>{{ locationname }}</w:t>
            </w:r>
          </w:p>
        </w:tc>
        <w:tc>
          <w:tcPr>
            <w:tcW w:w="549" w:type="dxa"/>
            <w:vMerge w:val="continue"/>
            <w:shd w:val="clear" w:color="auto" w:fill="auto"/>
            <w:vAlign w:val="center"/>
          </w:tcPr>
          <w:p>
            <w:pPr>
              <w:widowControl w:val="0"/>
              <w:rPr>
                <w:rFonts w:eastAsia="微软雅黑"/>
                <w:kern w:val="2"/>
                <w:sz w:val="28"/>
                <w:szCs w:val="28"/>
              </w:rPr>
            </w:pPr>
          </w:p>
        </w:tc>
        <w:tc>
          <w:tcPr>
            <w:tcW w:w="1785" w:type="dxa"/>
            <w:shd w:val="clear" w:color="auto" w:fill="auto"/>
            <w:vAlign w:val="center"/>
          </w:tcPr>
          <w:p>
            <w:pPr>
              <w:widowControl w:val="0"/>
              <w:rPr>
                <w:rFonts w:eastAsia="微软雅黑"/>
                <w:kern w:val="2"/>
                <w:sz w:val="28"/>
                <w:szCs w:val="28"/>
              </w:rPr>
            </w:pPr>
            <w:r>
              <w:rPr>
                <w:rFonts w:eastAsia="微软雅黑"/>
                <w:kern w:val="2"/>
                <w:sz w:val="28"/>
                <w:szCs w:val="28"/>
              </w:rPr>
              <w:t>样本类型：</w:t>
            </w:r>
          </w:p>
        </w:tc>
        <w:tc>
          <w:tcPr>
            <w:tcW w:w="3024" w:type="dxa"/>
            <w:shd w:val="clear" w:color="auto" w:fill="auto"/>
            <w:vAlign w:val="center"/>
          </w:tcPr>
          <w:p>
            <w:pPr>
              <w:widowControl w:val="0"/>
              <w:rPr>
                <w:rFonts w:eastAsia="微软雅黑"/>
                <w:kern w:val="2"/>
                <w:sz w:val="28"/>
                <w:szCs w:val="28"/>
              </w:rPr>
            </w:pPr>
            <w:r>
              <w:rPr>
                <w:rFonts w:eastAsia="微软雅黑"/>
                <w:kern w:val="2"/>
                <w:sz w:val="28"/>
                <w:szCs w:val="28"/>
              </w:rPr>
              <w:t>{{ specimentype }}</w:t>
            </w:r>
          </w:p>
        </w:tc>
      </w:tr>
      <w:tr>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39" w:hRule="atLeast"/>
        </w:trPr>
        <w:tc>
          <w:tcPr>
            <w:tcW w:w="510" w:type="dxa"/>
            <w:vMerge w:val="continue"/>
            <w:shd w:val="clear" w:color="auto" w:fill="auto"/>
            <w:vAlign w:val="center"/>
          </w:tcPr>
          <w:p>
            <w:pPr>
              <w:widowControl w:val="0"/>
              <w:rPr>
                <w:rFonts w:eastAsia="微软雅黑"/>
                <w:kern w:val="2"/>
                <w:sz w:val="28"/>
                <w:szCs w:val="28"/>
              </w:rPr>
            </w:pPr>
          </w:p>
        </w:tc>
        <w:tc>
          <w:tcPr>
            <w:tcW w:w="1191" w:type="dxa"/>
            <w:shd w:val="clear" w:color="auto" w:fill="auto"/>
            <w:vAlign w:val="center"/>
          </w:tcPr>
          <w:p>
            <w:pPr>
              <w:widowControl w:val="0"/>
              <w:rPr>
                <w:rFonts w:eastAsia="微软雅黑"/>
                <w:kern w:val="2"/>
                <w:sz w:val="28"/>
                <w:szCs w:val="28"/>
              </w:rPr>
            </w:pPr>
            <w:r>
              <w:rPr>
                <w:rFonts w:eastAsia="微软雅黑"/>
                <w:kern w:val="2"/>
                <w:sz w:val="28"/>
                <w:szCs w:val="28"/>
              </w:rPr>
              <w:t>床号：</w:t>
            </w:r>
          </w:p>
        </w:tc>
        <w:tc>
          <w:tcPr>
            <w:tcW w:w="2796" w:type="dxa"/>
            <w:shd w:val="clear" w:color="auto" w:fill="auto"/>
            <w:vAlign w:val="center"/>
          </w:tcPr>
          <w:p>
            <w:pPr>
              <w:widowControl w:val="0"/>
              <w:rPr>
                <w:rFonts w:eastAsia="微软雅黑"/>
                <w:kern w:val="2"/>
                <w:sz w:val="28"/>
                <w:szCs w:val="28"/>
              </w:rPr>
            </w:pPr>
            <w:r>
              <w:rPr>
                <w:rFonts w:eastAsia="微软雅黑"/>
                <w:kern w:val="2"/>
                <w:sz w:val="28"/>
                <w:szCs w:val="28"/>
              </w:rPr>
              <w:t>/</w:t>
            </w:r>
          </w:p>
        </w:tc>
        <w:tc>
          <w:tcPr>
            <w:tcW w:w="549" w:type="dxa"/>
            <w:vMerge w:val="continue"/>
            <w:shd w:val="clear" w:color="auto" w:fill="auto"/>
            <w:vAlign w:val="center"/>
          </w:tcPr>
          <w:p>
            <w:pPr>
              <w:widowControl w:val="0"/>
              <w:rPr>
                <w:rFonts w:eastAsia="微软雅黑"/>
                <w:kern w:val="2"/>
                <w:sz w:val="28"/>
                <w:szCs w:val="28"/>
              </w:rPr>
            </w:pPr>
          </w:p>
        </w:tc>
        <w:tc>
          <w:tcPr>
            <w:tcW w:w="1785" w:type="dxa"/>
            <w:shd w:val="clear" w:color="auto" w:fill="auto"/>
            <w:vAlign w:val="center"/>
          </w:tcPr>
          <w:p>
            <w:pPr>
              <w:widowControl w:val="0"/>
              <w:rPr>
                <w:rFonts w:eastAsia="微软雅黑"/>
                <w:kern w:val="2"/>
                <w:sz w:val="28"/>
                <w:szCs w:val="28"/>
              </w:rPr>
            </w:pPr>
            <w:r>
              <w:rPr>
                <w:rFonts w:eastAsia="微软雅黑"/>
                <w:kern w:val="2"/>
                <w:sz w:val="28"/>
                <w:szCs w:val="28"/>
              </w:rPr>
              <w:t>送检日期：</w:t>
            </w:r>
          </w:p>
        </w:tc>
        <w:tc>
          <w:tcPr>
            <w:tcW w:w="3024" w:type="dxa"/>
            <w:shd w:val="clear" w:color="auto" w:fill="auto"/>
            <w:vAlign w:val="center"/>
          </w:tcPr>
          <w:p>
            <w:pPr>
              <w:widowControl w:val="0"/>
              <w:rPr>
                <w:rFonts w:eastAsia="微软雅黑"/>
                <w:kern w:val="2"/>
                <w:sz w:val="28"/>
                <w:szCs w:val="28"/>
              </w:rPr>
            </w:pPr>
            <w:r>
              <w:rPr>
                <w:rFonts w:eastAsia="微软雅黑"/>
                <w:kern w:val="2"/>
                <w:sz w:val="28"/>
                <w:szCs w:val="28"/>
              </w:rPr>
              <w:t>{{ commission_date }}</w:t>
            </w:r>
          </w:p>
        </w:tc>
      </w:tr>
    </w:tbl>
    <w:p>
      <w:pPr>
        <w:rPr>
          <w:rFonts w:eastAsia="微软雅黑"/>
          <w:color w:val="FFFFFF"/>
          <w:shd w:val="clear" w:color="auto" w:fill="004271"/>
        </w:rPr>
      </w:pPr>
      <w:r>
        <w:rPr>
          <w:rFonts w:eastAsia="微软雅黑"/>
          <w:kern w:val="2"/>
          <w:sz w:val="21"/>
        </w:rPr>
        <mc:AlternateContent>
          <mc:Choice Requires="wpg">
            <w:drawing>
              <wp:anchor distT="0" distB="0" distL="114300" distR="114300" simplePos="0" relativeHeight="251659264" behindDoc="0" locked="0" layoutInCell="1" allowOverlap="1">
                <wp:simplePos x="0" y="0"/>
                <wp:positionH relativeFrom="column">
                  <wp:posOffset>295910</wp:posOffset>
                </wp:positionH>
                <wp:positionV relativeFrom="paragraph">
                  <wp:posOffset>113665</wp:posOffset>
                </wp:positionV>
                <wp:extent cx="2879725" cy="2150110"/>
                <wp:effectExtent l="12700" t="0" r="3175" b="0"/>
                <wp:wrapNone/>
                <wp:docPr id="20" name="组合 9"/>
                <wp:cNvGraphicFramePr/>
                <a:graphic xmlns:a="http://schemas.openxmlformats.org/drawingml/2006/main">
                  <a:graphicData uri="http://schemas.microsoft.com/office/word/2010/wordprocessingGroup">
                    <wpg:wgp>
                      <wpg:cNvGrpSpPr/>
                      <wpg:grpSpPr>
                        <a:xfrm>
                          <a:off x="0" y="0"/>
                          <a:ext cx="2879725" cy="2150110"/>
                          <a:chOff x="12875" y="0"/>
                          <a:chExt cx="2584910" cy="1314450"/>
                        </a:xfrm>
                      </wpg:grpSpPr>
                      <wpg:grpSp>
                        <wpg:cNvPr id="10" name="组合 10"/>
                        <wpg:cNvGrpSpPr/>
                        <wpg:grpSpPr>
                          <a:xfrm>
                            <a:off x="12875" y="19459"/>
                            <a:ext cx="28339" cy="1275532"/>
                            <a:chOff x="1972" y="52"/>
                            <a:chExt cx="44" cy="1311"/>
                          </a:xfrm>
                        </wpg:grpSpPr>
                        <wps:wsp>
                          <wps:cNvPr id="2" name="直线 11"/>
                          <wps:cNvCnPr/>
                          <wps:spPr>
                            <a:xfrm flipV="1">
                              <a:off x="1972" y="52"/>
                              <a:ext cx="0" cy="328"/>
                            </a:xfrm>
                            <a:prstGeom prst="line">
                              <a:avLst/>
                            </a:prstGeom>
                            <a:ln w="25311" cap="flat" cmpd="sng">
                              <a:solidFill>
                                <a:srgbClr val="43A5A1"/>
                              </a:solidFill>
                              <a:prstDash val="solid"/>
                              <a:round/>
                              <a:headEnd type="none" w="med" len="med"/>
                              <a:tailEnd type="none" w="med" len="med"/>
                            </a:ln>
                          </wps:spPr>
                          <wps:bodyPr/>
                        </wps:wsp>
                        <wps:wsp>
                          <wps:cNvPr id="3" name="直线 12"/>
                          <wps:cNvCnPr/>
                          <wps:spPr>
                            <a:xfrm flipV="1">
                              <a:off x="2016" y="52"/>
                              <a:ext cx="0" cy="328"/>
                            </a:xfrm>
                            <a:prstGeom prst="line">
                              <a:avLst/>
                            </a:prstGeom>
                            <a:ln w="6325" cap="flat" cmpd="sng">
                              <a:solidFill>
                                <a:srgbClr val="43A5A1"/>
                              </a:solidFill>
                              <a:prstDash val="solid"/>
                              <a:round/>
                              <a:headEnd type="none" w="med" len="med"/>
                              <a:tailEnd type="none" w="med" len="med"/>
                            </a:ln>
                          </wps:spPr>
                          <wps:bodyPr/>
                        </wps:wsp>
                        <wps:wsp>
                          <wps:cNvPr id="4" name="直线 13"/>
                          <wps:cNvCnPr/>
                          <wps:spPr>
                            <a:xfrm flipV="1">
                              <a:off x="1972" y="380"/>
                              <a:ext cx="0" cy="327"/>
                            </a:xfrm>
                            <a:prstGeom prst="line">
                              <a:avLst/>
                            </a:prstGeom>
                            <a:ln w="25311" cap="flat" cmpd="sng">
                              <a:solidFill>
                                <a:srgbClr val="43A5A1"/>
                              </a:solidFill>
                              <a:prstDash val="solid"/>
                              <a:round/>
                              <a:headEnd type="none" w="med" len="med"/>
                              <a:tailEnd type="none" w="med" len="med"/>
                            </a:ln>
                          </wps:spPr>
                          <wps:bodyPr/>
                        </wps:wsp>
                        <wps:wsp>
                          <wps:cNvPr id="5" name="直线 14"/>
                          <wps:cNvCnPr/>
                          <wps:spPr>
                            <a:xfrm flipV="1">
                              <a:off x="2016" y="380"/>
                              <a:ext cx="0" cy="327"/>
                            </a:xfrm>
                            <a:prstGeom prst="line">
                              <a:avLst/>
                            </a:prstGeom>
                            <a:ln w="6325" cap="flat" cmpd="sng">
                              <a:solidFill>
                                <a:srgbClr val="43A5A1"/>
                              </a:solidFill>
                              <a:prstDash val="solid"/>
                              <a:round/>
                              <a:headEnd type="none" w="med" len="med"/>
                              <a:tailEnd type="none" w="med" len="med"/>
                            </a:ln>
                          </wps:spPr>
                          <wps:bodyPr/>
                        </wps:wsp>
                        <wps:wsp>
                          <wps:cNvPr id="6" name="直线 15"/>
                          <wps:cNvCnPr/>
                          <wps:spPr>
                            <a:xfrm flipV="1">
                              <a:off x="1972" y="707"/>
                              <a:ext cx="0" cy="328"/>
                            </a:xfrm>
                            <a:prstGeom prst="line">
                              <a:avLst/>
                            </a:prstGeom>
                            <a:ln w="25311" cap="flat" cmpd="sng">
                              <a:solidFill>
                                <a:srgbClr val="43A5A1"/>
                              </a:solidFill>
                              <a:prstDash val="solid"/>
                              <a:round/>
                              <a:headEnd type="none" w="med" len="med"/>
                              <a:tailEnd type="none" w="med" len="med"/>
                            </a:ln>
                          </wps:spPr>
                          <wps:bodyPr/>
                        </wps:wsp>
                        <wps:wsp>
                          <wps:cNvPr id="7" name="直线 16"/>
                          <wps:cNvCnPr/>
                          <wps:spPr>
                            <a:xfrm flipV="1">
                              <a:off x="2016" y="707"/>
                              <a:ext cx="0" cy="328"/>
                            </a:xfrm>
                            <a:prstGeom prst="line">
                              <a:avLst/>
                            </a:prstGeom>
                            <a:ln w="6325" cap="flat" cmpd="sng">
                              <a:solidFill>
                                <a:srgbClr val="43A5A1"/>
                              </a:solidFill>
                              <a:prstDash val="solid"/>
                              <a:round/>
                              <a:headEnd type="none" w="med" len="med"/>
                              <a:tailEnd type="none" w="med" len="med"/>
                            </a:ln>
                          </wps:spPr>
                          <wps:bodyPr/>
                        </wps:wsp>
                        <wps:wsp>
                          <wps:cNvPr id="8" name="直线 17"/>
                          <wps:cNvCnPr/>
                          <wps:spPr>
                            <a:xfrm flipV="1">
                              <a:off x="1972" y="1035"/>
                              <a:ext cx="0" cy="328"/>
                            </a:xfrm>
                            <a:prstGeom prst="line">
                              <a:avLst/>
                            </a:prstGeom>
                            <a:ln w="25311" cap="flat" cmpd="sng">
                              <a:solidFill>
                                <a:srgbClr val="43A5A1"/>
                              </a:solidFill>
                              <a:prstDash val="solid"/>
                              <a:round/>
                              <a:headEnd type="none" w="med" len="med"/>
                              <a:tailEnd type="none" w="med" len="med"/>
                            </a:ln>
                          </wps:spPr>
                          <wps:bodyPr/>
                        </wps:wsp>
                        <wps:wsp>
                          <wps:cNvPr id="9" name="直线 18"/>
                          <wps:cNvCnPr/>
                          <wps:spPr>
                            <a:xfrm flipV="1">
                              <a:off x="2016" y="1035"/>
                              <a:ext cx="0" cy="328"/>
                            </a:xfrm>
                            <a:prstGeom prst="line">
                              <a:avLst/>
                            </a:prstGeom>
                            <a:ln w="6325" cap="flat" cmpd="sng">
                              <a:solidFill>
                                <a:srgbClr val="43A5A1"/>
                              </a:solidFill>
                              <a:prstDash val="solid"/>
                              <a:round/>
                              <a:headEnd type="none" w="med" len="med"/>
                              <a:tailEnd type="none" w="med" len="med"/>
                            </a:ln>
                          </wps:spPr>
                          <wps:bodyPr/>
                        </wps:wsp>
                      </wpg:grpSp>
                      <wpg:grpSp>
                        <wpg:cNvPr id="19" name="组合 19"/>
                        <wpg:cNvGrpSpPr/>
                        <wpg:grpSpPr>
                          <a:xfrm>
                            <a:off x="2552700" y="0"/>
                            <a:ext cx="45085" cy="1314450"/>
                            <a:chOff x="1952" y="32"/>
                            <a:chExt cx="70" cy="1351"/>
                          </a:xfrm>
                        </wpg:grpSpPr>
                        <wps:wsp>
                          <wps:cNvPr id="11" name="直线 20"/>
                          <wps:cNvCnPr/>
                          <wps:spPr>
                            <a:xfrm flipV="1">
                              <a:off x="1972" y="52"/>
                              <a:ext cx="0" cy="328"/>
                            </a:xfrm>
                            <a:prstGeom prst="line">
                              <a:avLst/>
                            </a:prstGeom>
                            <a:ln w="25311" cap="flat" cmpd="sng">
                              <a:solidFill>
                                <a:srgbClr val="43A5A1"/>
                              </a:solidFill>
                              <a:prstDash val="solid"/>
                              <a:round/>
                              <a:headEnd type="none" w="med" len="med"/>
                              <a:tailEnd type="none" w="med" len="med"/>
                            </a:ln>
                          </wps:spPr>
                          <wps:bodyPr/>
                        </wps:wsp>
                        <wps:wsp>
                          <wps:cNvPr id="12" name="直线 21"/>
                          <wps:cNvCnPr/>
                          <wps:spPr>
                            <a:xfrm flipV="1">
                              <a:off x="2016" y="52"/>
                              <a:ext cx="0" cy="328"/>
                            </a:xfrm>
                            <a:prstGeom prst="line">
                              <a:avLst/>
                            </a:prstGeom>
                            <a:ln w="6325" cap="flat" cmpd="sng">
                              <a:solidFill>
                                <a:srgbClr val="43A5A1"/>
                              </a:solidFill>
                              <a:prstDash val="solid"/>
                              <a:round/>
                              <a:headEnd type="none" w="med" len="med"/>
                              <a:tailEnd type="none" w="med" len="med"/>
                            </a:ln>
                          </wps:spPr>
                          <wps:bodyPr/>
                        </wps:wsp>
                        <wps:wsp>
                          <wps:cNvPr id="13" name="直线 22"/>
                          <wps:cNvCnPr/>
                          <wps:spPr>
                            <a:xfrm flipV="1">
                              <a:off x="1972" y="380"/>
                              <a:ext cx="0" cy="327"/>
                            </a:xfrm>
                            <a:prstGeom prst="line">
                              <a:avLst/>
                            </a:prstGeom>
                            <a:ln w="25311" cap="flat" cmpd="sng">
                              <a:solidFill>
                                <a:srgbClr val="43A5A1"/>
                              </a:solidFill>
                              <a:prstDash val="solid"/>
                              <a:round/>
                              <a:headEnd type="none" w="med" len="med"/>
                              <a:tailEnd type="none" w="med" len="med"/>
                            </a:ln>
                          </wps:spPr>
                          <wps:bodyPr/>
                        </wps:wsp>
                        <wps:wsp>
                          <wps:cNvPr id="14" name="直线 23"/>
                          <wps:cNvCnPr/>
                          <wps:spPr>
                            <a:xfrm flipV="1">
                              <a:off x="2016" y="380"/>
                              <a:ext cx="0" cy="327"/>
                            </a:xfrm>
                            <a:prstGeom prst="line">
                              <a:avLst/>
                            </a:prstGeom>
                            <a:ln w="6325" cap="flat" cmpd="sng">
                              <a:solidFill>
                                <a:srgbClr val="43A5A1"/>
                              </a:solidFill>
                              <a:prstDash val="solid"/>
                              <a:round/>
                              <a:headEnd type="none" w="med" len="med"/>
                              <a:tailEnd type="none" w="med" len="med"/>
                            </a:ln>
                          </wps:spPr>
                          <wps:bodyPr/>
                        </wps:wsp>
                        <wps:wsp>
                          <wps:cNvPr id="15" name="直线 24"/>
                          <wps:cNvCnPr/>
                          <wps:spPr>
                            <a:xfrm flipV="1">
                              <a:off x="1972" y="707"/>
                              <a:ext cx="0" cy="328"/>
                            </a:xfrm>
                            <a:prstGeom prst="line">
                              <a:avLst/>
                            </a:prstGeom>
                            <a:ln w="25311" cap="flat" cmpd="sng">
                              <a:solidFill>
                                <a:srgbClr val="43A5A1"/>
                              </a:solidFill>
                              <a:prstDash val="solid"/>
                              <a:round/>
                              <a:headEnd type="none" w="med" len="med"/>
                              <a:tailEnd type="none" w="med" len="med"/>
                            </a:ln>
                          </wps:spPr>
                          <wps:bodyPr/>
                        </wps:wsp>
                        <wps:wsp>
                          <wps:cNvPr id="16" name="直线 25"/>
                          <wps:cNvCnPr/>
                          <wps:spPr>
                            <a:xfrm flipV="1">
                              <a:off x="2016" y="707"/>
                              <a:ext cx="0" cy="328"/>
                            </a:xfrm>
                            <a:prstGeom prst="line">
                              <a:avLst/>
                            </a:prstGeom>
                            <a:ln w="6325" cap="flat" cmpd="sng">
                              <a:solidFill>
                                <a:srgbClr val="43A5A1"/>
                              </a:solidFill>
                              <a:prstDash val="solid"/>
                              <a:round/>
                              <a:headEnd type="none" w="med" len="med"/>
                              <a:tailEnd type="none" w="med" len="med"/>
                            </a:ln>
                          </wps:spPr>
                          <wps:bodyPr/>
                        </wps:wsp>
                        <wps:wsp>
                          <wps:cNvPr id="17" name="直线 26"/>
                          <wps:cNvCnPr/>
                          <wps:spPr>
                            <a:xfrm flipV="1">
                              <a:off x="1972" y="1035"/>
                              <a:ext cx="0" cy="328"/>
                            </a:xfrm>
                            <a:prstGeom prst="line">
                              <a:avLst/>
                            </a:prstGeom>
                            <a:ln w="25311" cap="flat" cmpd="sng">
                              <a:solidFill>
                                <a:srgbClr val="43A5A1"/>
                              </a:solidFill>
                              <a:prstDash val="solid"/>
                              <a:round/>
                              <a:headEnd type="none" w="med" len="med"/>
                              <a:tailEnd type="none" w="med" len="med"/>
                            </a:ln>
                          </wps:spPr>
                          <wps:bodyPr/>
                        </wps:wsp>
                        <wps:wsp>
                          <wps:cNvPr id="18" name="直线 27"/>
                          <wps:cNvCnPr/>
                          <wps:spPr>
                            <a:xfrm flipV="1">
                              <a:off x="2016" y="1035"/>
                              <a:ext cx="0" cy="328"/>
                            </a:xfrm>
                            <a:prstGeom prst="line">
                              <a:avLst/>
                            </a:prstGeom>
                            <a:ln w="6325" cap="flat" cmpd="sng">
                              <a:solidFill>
                                <a:srgbClr val="43A5A1"/>
                              </a:solidFill>
                              <a:prstDash val="solid"/>
                              <a:round/>
                              <a:headEnd type="none" w="med" len="med"/>
                              <a:tailEnd type="none" w="med" len="med"/>
                            </a:ln>
                          </wps:spPr>
                          <wps:bodyPr/>
                        </wps:wsp>
                      </wpg:grpSp>
                    </wpg:wgp>
                  </a:graphicData>
                </a:graphic>
              </wp:anchor>
            </w:drawing>
          </mc:Choice>
          <mc:Fallback>
            <w:pict>
              <v:group id="组合 9" o:spid="_x0000_s1026" o:spt="203" style="position:absolute;left:0pt;margin-left:23.3pt;margin-top:8.95pt;height:169.3pt;width:226.75pt;z-index:251659264;mso-width-relative:page;mso-height-relative:page;" coordorigin="12875,0" coordsize="2584910,1314450" o:gfxdata="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">
                <o:lock v:ext="edit" aspectratio="f"/>
                <v:group id="_x0000_s1026" o:spid="_x0000_s1026" o:spt="203" style="position:absolute;left:12875;top:19459;height:1275532;width:28339;" coordorigin="1972,52" coordsize="44,1311"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line id="直线 11" o:spid="_x0000_s1026" o:spt="20" style="position:absolute;left:1972;top:52;flip:y;height:328;width:0;" filled="f" stroked="t" coordsize="21600,21600" o:gfxdata="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sKY+8AAAA&#10;2gAAAA8AAAAAAAAAAQAgAAAAIgAAAGRycy9kb3ducmV2LnhtbFBLAQIUABQAAAAIAIdO4kAzLwWe&#10;OwAAADkAAAAQAAAAAAAAAAEAIAAAAAsBAABkcnMvc2hhcGV4bWwueG1sUEsFBgAAAAAGAAYAWwEA&#10;ALUDAAAAAA==&#10;">
                    <v:fill on="f" focussize="0,0"/>
                    <v:stroke weight="1.99299212598425pt" color="#43A5A1" joinstyle="round"/>
                    <v:imagedata o:title=""/>
                    <o:lock v:ext="edit" aspectratio="f"/>
                  </v:line>
                  <v:line id="直线 12" o:spid="_x0000_s1026" o:spt="20" style="position:absolute;left:2016;top:52;flip:y;height:328;width:0;" filled="f" stroked="t" coordsize="21600,21600" o:gfxdata="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ElWRvQAA&#10;ANoAAAAPAAAAAAAAAAEAIAAAACIAAABkcnMvZG93bnJldi54bWxQSwECFAAUAAAACACHTuJAMy8F&#10;njsAAAA5AAAAEAAAAAAAAAABACAAAAAMAQAAZHJzL3NoYXBleG1sLnhtbFBLBQYAAAAABgAGAFsB&#10;AAC2AwAAAAA=&#10;">
                    <v:fill on="f" focussize="0,0"/>
                    <v:stroke weight="0.498031496062992pt" color="#43A5A1" joinstyle="round"/>
                    <v:imagedata o:title=""/>
                    <o:lock v:ext="edit" aspectratio="f"/>
                  </v:line>
                  <v:line id="直线 13" o:spid="_x0000_s1026" o:spt="20" style="position:absolute;left:1972;top:380;flip:y;height:327;width:0;" filled="f" stroked="t" coordsize="21600,21600" o:gfxdata="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QkUYLsAAADa&#10;AAAADwAAAAAAAAABACAAAAAiAAAAZHJzL2Rvd25yZXYueG1sUEsBAhQAFAAAAAgAh07iQDMvBZ47&#10;AAAAOQAAABAAAAAAAAAAAQAgAAAACgEAAGRycy9zaGFwZXhtbC54bWxQSwUGAAAAAAYABgBbAQAA&#10;tAMAAAAA&#10;">
                    <v:fill on="f" focussize="0,0"/>
                    <v:stroke weight="1.99299212598425pt" color="#43A5A1" joinstyle="round"/>
                    <v:imagedata o:title=""/>
                    <o:lock v:ext="edit" aspectratio="f"/>
                  </v:line>
                  <v:line id="直线 14" o:spid="_x0000_s1026" o:spt="20" style="position:absolute;left:2016;top:380;flip:y;height:327;width:0;" filled="f" stroked="t" coordsize="21600,21600" o:gfxdata="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t2h+vQAA&#10;ANoAAAAPAAAAAAAAAAEAIAAAACIAAABkcnMvZG93bnJldi54bWxQSwECFAAUAAAACACHTuJAMy8F&#10;njsAAAA5AAAAEAAAAAAAAAABACAAAAAMAQAAZHJzL3NoYXBleG1sLnhtbFBLBQYAAAAABgAGAFsB&#10;AAC2AwAAAAA=&#10;">
                    <v:fill on="f" focussize="0,0"/>
                    <v:stroke weight="0.498031496062992pt" color="#43A5A1" joinstyle="round"/>
                    <v:imagedata o:title=""/>
                    <o:lock v:ext="edit" aspectratio="f"/>
                  </v:line>
                  <v:line id="直线 15" o:spid="_x0000_s1026" o:spt="20" style="position:absolute;left:1972;top:707;flip:y;height:328;width:0;" filled="f" stroked="t" coordsize="21600,21600" o:gfxdata="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pcvjLsAAADa&#10;AAAADwAAAAAAAAABACAAAAAiAAAAZHJzL2Rvd25yZXYueG1sUEsBAhQAFAAAAAgAh07iQDMvBZ47&#10;AAAAOQAAABAAAAAAAAAAAQAgAAAACgEAAGRycy9zaGFwZXhtbC54bWxQSwUGAAAAAAYABgBbAQAA&#10;tAMAAAAA&#10;">
                    <v:fill on="f" focussize="0,0"/>
                    <v:stroke weight="1.99299212598425pt" color="#43A5A1" joinstyle="round"/>
                    <v:imagedata o:title=""/>
                    <o:lock v:ext="edit" aspectratio="f"/>
                  </v:line>
                  <v:line id="直线 16" o:spid="_x0000_s1026" o:spt="20" style="position:absolute;left:2016;top:707;flip:y;height:328;width:0;" filled="f" stroked="t" coordsize="21600,21600" o:gfxdata="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KVOSvQAA&#10;ANoAAAAPAAAAAAAAAAEAIAAAACIAAABkcnMvZG93bnJldi54bWxQSwECFAAUAAAACACHTuJAMy8F&#10;njsAAAA5AAAAEAAAAAAAAAABACAAAAAMAQAAZHJzL3NoYXBleG1sLnhtbFBLBQYAAAAABgAGAFsB&#10;AAC2AwAAAAA=&#10;">
                    <v:fill on="f" focussize="0,0"/>
                    <v:stroke weight="0.498031496062992pt" color="#43A5A1" joinstyle="round"/>
                    <v:imagedata o:title=""/>
                    <o:lock v:ext="edit" aspectratio="f"/>
                  </v:line>
                  <v:line id="直线 17" o:spid="_x0000_s1026" o:spt="20" style="position:absolute;left:1972;top:1035;flip:y;height:328;width:0;" filled="f" stroked="t" coordsize="21600,21600" o:gfxdata="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REHmW5AAAA2gAA&#10;AA8AAAAAAAAAAQAgAAAAIgAAAGRycy9kb3ducmV2LnhtbFBLAQIUABQAAAAIAIdO4kAzLwWeOwAA&#10;ADkAAAAQAAAAAAAAAAEAIAAAAAgBAABkcnMvc2hhcGV4bWwueG1sUEsFBgAAAAAGAAYAWwEAALID&#10;AAAAAA==&#10;">
                    <v:fill on="f" focussize="0,0"/>
                    <v:stroke weight="1.99299212598425pt" color="#43A5A1" joinstyle="round"/>
                    <v:imagedata o:title=""/>
                    <o:lock v:ext="edit" aspectratio="f"/>
                  </v:line>
                  <v:line id="直线 18" o:spid="_x0000_s1026" o:spt="20" style="position:absolute;left:2016;top:1035;flip:y;height:328;width:0;" filled="f" stroked="t" coordsize="21600,21600" o:gfxdata="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fpie74A&#10;AADaAAAADwAAAAAAAAABACAAAAAiAAAAZHJzL2Rvd25yZXYueG1sUEsBAhQAFAAAAAgAh07iQDMv&#10;BZ47AAAAOQAAABAAAAAAAAAAAQAgAAAADQEAAGRycy9zaGFwZXhtbC54bWxQSwUGAAAAAAYABgBb&#10;AQAAtwMAAAAA&#10;">
                    <v:fill on="f" focussize="0,0"/>
                    <v:stroke weight="0.498031496062992pt" color="#43A5A1" joinstyle="round"/>
                    <v:imagedata o:title=""/>
                    <o:lock v:ext="edit" aspectratio="f"/>
                  </v:line>
                </v:group>
                <v:group id="_x0000_s1026" o:spid="_x0000_s1026" o:spt="203" style="position:absolute;left:2552700;top:0;height:1314450;width:45085;" coordorigin="1952,32" coordsize="70,1351"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line id="直线 20" o:spid="_x0000_s1026" o:spt="20" style="position:absolute;left:1972;top:52;flip:y;height:328;width:0;" filled="f" stroked="t" coordsize="21600,21600" o:gfxdata="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BAOZvQAA&#10;ANsAAAAPAAAAAAAAAAEAIAAAACIAAABkcnMvZG93bnJldi54bWxQSwECFAAUAAAACACHTuJAMy8F&#10;njsAAAA5AAAAEAAAAAAAAAABACAAAAAMAQAAZHJzL3NoYXBleG1sLnhtbFBLBQYAAAAABgAGAFsB&#10;AAC2AwAAAAA=&#10;">
                    <v:fill on="f" focussize="0,0"/>
                    <v:stroke weight="1.99299212598425pt" color="#43A5A1" joinstyle="round"/>
                    <v:imagedata o:title=""/>
                    <o:lock v:ext="edit" aspectratio="f"/>
                  </v:line>
                  <v:line id="直线 21" o:spid="_x0000_s1026" o:spt="20" style="position:absolute;left:2016;top:52;flip:y;height:328;width:0;" filled="f" stroked="t" coordsize="21600,21600" o:gfxdata="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rHKbvQAA&#10;ANsAAAAPAAAAAAAAAAEAIAAAACIAAABkcnMvZG93bnJldi54bWxQSwECFAAUAAAACACHTuJAMy8F&#10;njsAAAA5AAAAEAAAAAAAAAABACAAAAAMAQAAZHJzL3NoYXBleG1sLnhtbFBLBQYAAAAABgAGAFsB&#10;AAC2AwAAAAA=&#10;">
                    <v:fill on="f" focussize="0,0"/>
                    <v:stroke weight="0.498031496062992pt" color="#43A5A1" joinstyle="round"/>
                    <v:imagedata o:title=""/>
                    <o:lock v:ext="edit" aspectratio="f"/>
                  </v:line>
                  <v:line id="直线 22" o:spid="_x0000_s1026" o:spt="20" style="position:absolute;left:1972;top:380;flip:y;height:327;width:0;" filled="f" stroked="t" coordsize="21600,21600" o:gfxdata="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po4db4A&#10;AADbAAAADwAAAAAAAAABACAAAAAiAAAAZHJzL2Rvd25yZXYueG1sUEsBAhQAFAAAAAgAh07iQDMv&#10;BZ47AAAAOQAAABAAAAAAAAAAAQAgAAAADQEAAGRycy9zaGFwZXhtbC54bWxQSwUGAAAAAAYABgBb&#10;AQAAtwMAAAAA&#10;">
                    <v:fill on="f" focussize="0,0"/>
                    <v:stroke weight="1.99299212598425pt" color="#43A5A1" joinstyle="round"/>
                    <v:imagedata o:title=""/>
                    <o:lock v:ext="edit" aspectratio="f"/>
                  </v:line>
                  <v:line id="直线 23" o:spid="_x0000_s1026" o:spt="20" style="position:absolute;left:2016;top:380;flip:y;height:327;width:0;" filled="f" stroked="t" coordsize="21600,21600" o:gfxdata="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CU90vQAA&#10;ANsAAAAPAAAAAAAAAAEAIAAAACIAAABkcnMvZG93bnJldi54bWxQSwECFAAUAAAACACHTuJAMy8F&#10;njsAAAA5AAAAEAAAAAAAAAABACAAAAAMAQAAZHJzL3NoYXBleG1sLnhtbFBLBQYAAAAABgAGAFsB&#10;AAC2AwAAAAA=&#10;">
                    <v:fill on="f" focussize="0,0"/>
                    <v:stroke weight="0.498031496062992pt" color="#43A5A1" joinstyle="round"/>
                    <v:imagedata o:title=""/>
                    <o:lock v:ext="edit" aspectratio="f"/>
                  </v:line>
                  <v:line id="直线 24" o:spid="_x0000_s1026" o:spt="20" style="position:absolute;left:1972;top:707;flip:y;height:328;width:0;" filled="f" stroked="t" coordsize="21600,21600" o:gfxdata="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j8Fmr4A&#10;AADbAAAADwAAAAAAAAABACAAAAAiAAAAZHJzL2Rvd25yZXYueG1sUEsBAhQAFAAAAAgAh07iQDMv&#10;BZ47AAAAOQAAABAAAAAAAAAAAQAgAAAADQEAAGRycy9zaGFwZXhtbC54bWxQSwUGAAAAAAYABgBb&#10;AQAAtwMAAAAA&#10;">
                    <v:fill on="f" focussize="0,0"/>
                    <v:stroke weight="1.99299212598425pt" color="#43A5A1" joinstyle="round"/>
                    <v:imagedata o:title=""/>
                    <o:lock v:ext="edit" aspectratio="f"/>
                  </v:line>
                  <v:line id="直线 25" o:spid="_x0000_s1026" o:spt="20" style="position:absolute;left:2016;top:707;flip:y;height:328;width:0;" filled="f" stroked="t" coordsize="21600,21600" o:gfxdata="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Jd0mL4A&#10;AADbAAAADwAAAAAAAAABACAAAAAiAAAAZHJzL2Rvd25yZXYueG1sUEsBAhQAFAAAAAgAh07iQDMv&#10;BZ47AAAAOQAAABAAAAAAAAAAAQAgAAAADQEAAGRycy9zaGFwZXhtbC54bWxQSwUGAAAAAAYABgBb&#10;AQAAtwMAAAAA&#10;">
                    <v:fill on="f" focussize="0,0"/>
                    <v:stroke weight="0.498031496062992pt" color="#43A5A1" joinstyle="round"/>
                    <v:imagedata o:title=""/>
                    <o:lock v:ext="edit" aspectratio="f"/>
                  </v:line>
                  <v:line id="直线 26" o:spid="_x0000_s1026" o:spt="20" style="position:absolute;left:1972;top:1035;flip:y;height:328;width:0;" filled="f" stroked="t" coordsize="21600,21600" o:gfxdata="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aE+dr4A&#10;AADbAAAADwAAAAAAAAABACAAAAAiAAAAZHJzL2Rvd25yZXYueG1sUEsBAhQAFAAAAAgAh07iQDMv&#10;BZ47AAAAOQAAABAAAAAAAAAAAQAgAAAADQEAAGRycy9zaGFwZXhtbC54bWxQSwUGAAAAAAYABgBb&#10;AQAAtwMAAAAA&#10;">
                    <v:fill on="f" focussize="0,0"/>
                    <v:stroke weight="1.99299212598425pt" color="#43A5A1" joinstyle="round"/>
                    <v:imagedata o:title=""/>
                    <o:lock v:ext="edit" aspectratio="f"/>
                  </v:line>
                  <v:line id="直线 27" o:spid="_x0000_s1026" o:spt="20" style="position:absolute;left:2016;top:1035;flip:y;height:328;width:0;" filled="f" stroked="t" coordsize="21600,21600" o:gfxdata="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kRFcb4A&#10;AADbAAAADwAAAAAAAAABACAAAAAiAAAAZHJzL2Rvd25yZXYueG1sUEsBAhQAFAAAAAgAh07iQDMv&#10;BZ47AAAAOQAAABAAAAAAAAAAAQAgAAAADQEAAGRycy9zaGFwZXhtbC54bWxQSwUGAAAAAAYABgBb&#10;AQAAtwMAAAAA&#10;">
                    <v:fill on="f" focussize="0,0"/>
                    <v:stroke weight="0.498031496062992pt" color="#43A5A1" joinstyle="round"/>
                    <v:imagedata o:title=""/>
                    <o:lock v:ext="edit" aspectratio="f"/>
                  </v:line>
                </v:group>
              </v:group>
            </w:pict>
          </mc:Fallback>
        </mc:AlternateContent>
      </w:r>
    </w:p>
    <w:p>
      <w:pPr>
        <w:spacing w:before="35"/>
        <w:rPr>
          <w:rFonts w:eastAsia="微软雅黑"/>
          <w:sz w:val="21"/>
        </w:rPr>
      </w:pPr>
    </w:p>
    <w:p>
      <w:pPr>
        <w:rPr>
          <w:rFonts w:eastAsia="微软雅黑"/>
          <w:b/>
          <w:color w:val="FFFFFF"/>
          <w:sz w:val="36"/>
          <w:szCs w:val="36"/>
          <w:shd w:val="clear" w:color="auto" w:fill="43A5A1"/>
        </w:rPr>
      </w:pPr>
      <w:r>
        <w:rPr>
          <w:rFonts w:eastAsia="微软雅黑"/>
          <w:sz w:val="21"/>
        </w:rPr>
        <w:br w:type="page"/>
      </w:r>
      <w:bookmarkStart w:id="6" w:name="_Toc26493_WPSOffice_Level1"/>
    </w:p>
    <w:p>
      <w:pPr>
        <w:jc w:val="center"/>
        <w:outlineLvl w:val="0"/>
        <w:rPr>
          <w:rFonts w:eastAsia="微软雅黑"/>
          <w:b/>
          <w:sz w:val="28"/>
          <w:szCs w:val="28"/>
        </w:rPr>
      </w:pPr>
      <w:bookmarkStart w:id="7" w:name="_Toc32417"/>
      <w:r>
        <w:rPr>
          <w:rFonts w:eastAsia="微软雅黑"/>
          <w:b/>
          <w:color w:val="FFFFFF"/>
          <w:sz w:val="36"/>
          <w:szCs w:val="36"/>
          <w:shd w:val="clear" w:color="auto" w:fill="43A5A1"/>
        </w:rPr>
        <w:t>检测项目</w:t>
      </w:r>
      <w:bookmarkEnd w:id="6"/>
      <w:bookmarkEnd w:id="7"/>
    </w:p>
    <w:p>
      <w:pPr>
        <w:pStyle w:val="32"/>
        <w:numPr>
          <w:ilvl w:val="0"/>
          <w:numId w:val="1"/>
        </w:numPr>
        <w:tabs>
          <w:tab w:val="left" w:pos="312"/>
        </w:tabs>
        <w:rPr>
          <w:rFonts w:ascii="Times New Roman" w:hAnsi="Times New Roman" w:eastAsia="微软雅黑"/>
          <w:b/>
          <w:sz w:val="28"/>
          <w:szCs w:val="28"/>
          <w:lang w:eastAsia="zh-CN"/>
        </w:rPr>
      </w:pPr>
      <w:r>
        <w:rPr>
          <w:rFonts w:ascii="Times New Roman" w:hAnsi="Times New Roman" w:eastAsia="微软雅黑"/>
          <w:b/>
          <w:sz w:val="28"/>
          <w:szCs w:val="28"/>
          <w:lang w:eastAsia="zh-CN"/>
        </w:rPr>
        <w:t>检测内容：</w:t>
      </w:r>
    </w:p>
    <w:p>
      <w:pPr>
        <w:pStyle w:val="55"/>
        <w:spacing w:before="80" w:after="80" w:line="260" w:lineRule="auto"/>
        <w:ind w:firstLine="560"/>
        <w:jc w:val="both"/>
        <w:rPr>
          <w:rFonts w:ascii="Times New Roman" w:hAnsi="Times New Roman" w:eastAsia="微软雅黑"/>
          <w:sz w:val="28"/>
          <w:szCs w:val="28"/>
          <w:lang w:eastAsia="zh-CN"/>
        </w:rPr>
      </w:pPr>
      <w:r>
        <w:rPr>
          <w:rFonts w:ascii="Times New Roman" w:hAnsi="Times New Roman" w:eastAsia="微软雅黑"/>
          <w:sz w:val="28"/>
          <w:szCs w:val="28"/>
          <w:lang w:eastAsia="zh-CN"/>
        </w:rPr>
        <w:t>本产品对与肺癌密切相关的</w:t>
      </w:r>
      <w:r>
        <w:rPr>
          <w:rFonts w:hint="eastAsia" w:ascii="Times New Roman" w:hAnsi="Times New Roman" w:eastAsia="微软雅黑"/>
          <w:sz w:val="28"/>
          <w:szCs w:val="28"/>
          <w:lang w:eastAsia="zh-CN"/>
        </w:rPr>
        <w:t>60</w:t>
      </w:r>
      <w:r>
        <w:rPr>
          <w:rFonts w:ascii="Times New Roman" w:hAnsi="Times New Roman" w:eastAsia="微软雅黑"/>
          <w:sz w:val="28"/>
          <w:szCs w:val="28"/>
          <w:lang w:eastAsia="zh-CN"/>
        </w:rPr>
        <w:t>个基因进行高通量测序，分别在</w:t>
      </w:r>
      <w:r>
        <w:rPr>
          <w:rFonts w:hint="eastAsia" w:ascii="Times New Roman" w:hAnsi="Times New Roman" w:eastAsia="微软雅黑"/>
          <w:sz w:val="28"/>
          <w:szCs w:val="28"/>
          <w:lang w:eastAsia="zh-CN"/>
        </w:rPr>
        <w:t>49</w:t>
      </w:r>
      <w:r>
        <w:rPr>
          <w:rFonts w:ascii="Times New Roman" w:hAnsi="Times New Roman" w:eastAsia="微软雅黑"/>
          <w:sz w:val="28"/>
          <w:szCs w:val="28"/>
          <w:lang w:eastAsia="zh-CN"/>
        </w:rPr>
        <w:t>个基因的DNA水平及</w:t>
      </w:r>
      <w:r>
        <w:rPr>
          <w:rFonts w:hint="eastAsia" w:ascii="Times New Roman" w:hAnsi="Times New Roman" w:eastAsia="微软雅黑"/>
          <w:sz w:val="28"/>
          <w:szCs w:val="28"/>
          <w:lang w:eastAsia="zh-CN"/>
        </w:rPr>
        <w:t>23</w:t>
      </w:r>
      <w:r>
        <w:rPr>
          <w:rFonts w:ascii="Times New Roman" w:hAnsi="Times New Roman" w:eastAsia="微软雅黑"/>
          <w:sz w:val="28"/>
          <w:szCs w:val="28"/>
          <w:lang w:eastAsia="zh-CN"/>
        </w:rPr>
        <w:t>个基因的RNA水平检测突变，检测突变形式为点突变（SNV）、小片段插入缺失（INDEL）</w:t>
      </w:r>
      <w:r>
        <w:rPr>
          <w:rFonts w:hint="eastAsia" w:ascii="Times New Roman" w:hAnsi="Times New Roman" w:eastAsia="微软雅黑"/>
          <w:sz w:val="28"/>
          <w:szCs w:val="28"/>
          <w:lang w:eastAsia="zh-CN"/>
        </w:rPr>
        <w:t>、拷贝数变异</w:t>
      </w:r>
      <w:r>
        <w:rPr>
          <w:rFonts w:ascii="Times New Roman" w:hAnsi="Times New Roman" w:eastAsia="微软雅黑"/>
          <w:sz w:val="28"/>
          <w:szCs w:val="28"/>
          <w:lang w:eastAsia="zh-CN"/>
        </w:rPr>
        <w:t>（</w:t>
      </w:r>
      <w:r>
        <w:rPr>
          <w:rFonts w:hint="eastAsia" w:ascii="Times New Roman" w:hAnsi="Times New Roman" w:eastAsia="微软雅黑"/>
          <w:sz w:val="28"/>
          <w:szCs w:val="28"/>
          <w:lang w:eastAsia="zh-CN"/>
        </w:rPr>
        <w:t>CNV</w:t>
      </w:r>
      <w:r>
        <w:rPr>
          <w:rFonts w:ascii="Times New Roman" w:hAnsi="Times New Roman" w:eastAsia="微软雅黑"/>
          <w:sz w:val="28"/>
          <w:szCs w:val="28"/>
          <w:lang w:eastAsia="zh-CN"/>
        </w:rPr>
        <w:t>）</w:t>
      </w:r>
      <w:r>
        <w:rPr>
          <w:rFonts w:hint="eastAsia" w:ascii="Times New Roman" w:hAnsi="Times New Roman" w:eastAsia="微软雅黑"/>
          <w:sz w:val="28"/>
          <w:szCs w:val="28"/>
          <w:lang w:eastAsia="zh-CN"/>
        </w:rPr>
        <w:t>以及</w:t>
      </w:r>
      <w:r>
        <w:rPr>
          <w:rFonts w:ascii="Times New Roman" w:hAnsi="Times New Roman" w:eastAsia="微软雅黑"/>
          <w:sz w:val="28"/>
          <w:szCs w:val="28"/>
          <w:lang w:eastAsia="zh-CN"/>
        </w:rPr>
        <w:t>融合（FUSION）。</w:t>
      </w:r>
    </w:p>
    <w:p>
      <w:pPr>
        <w:pStyle w:val="55"/>
        <w:spacing w:before="80" w:after="200" w:line="260" w:lineRule="auto"/>
        <w:ind w:firstLine="560"/>
        <w:jc w:val="both"/>
        <w:rPr>
          <w:rFonts w:ascii="Times New Roman" w:hAnsi="Times New Roman" w:eastAsia="微软雅黑"/>
          <w:sz w:val="28"/>
          <w:szCs w:val="28"/>
          <w:lang w:eastAsia="zh-CN"/>
        </w:rPr>
      </w:pPr>
      <w:r>
        <w:rPr>
          <w:rFonts w:ascii="Times New Roman" w:hAnsi="Times New Roman" w:eastAsia="微软雅黑"/>
          <w:sz w:val="28"/>
          <w:szCs w:val="28"/>
          <w:lang w:eastAsia="zh-CN"/>
        </w:rPr>
        <w:t>本报告分析基因变异与靶向药物的相关性，给出靶向药物（FDA/NMPA批准药物、临床试验药物等），从而为临床制定治疗方案提供参考信息。</w:t>
      </w:r>
    </w:p>
    <w:p>
      <w:pPr>
        <w:pStyle w:val="55"/>
        <w:spacing w:before="80" w:after="0" w:line="260" w:lineRule="auto"/>
        <w:ind w:firstLine="0" w:firstLineChars="0"/>
        <w:rPr>
          <w:rFonts w:ascii="Times New Roman" w:hAnsi="Times New Roman" w:eastAsia="微软雅黑"/>
          <w:sz w:val="28"/>
          <w:szCs w:val="28"/>
          <w:lang w:eastAsia="zh-CN"/>
        </w:rPr>
      </w:pPr>
      <w:r>
        <w:rPr>
          <w:rFonts w:hint="eastAsia" w:ascii="Times New Roman" w:hAnsi="Times New Roman" w:eastAsia="微软雅黑"/>
          <w:sz w:val="28"/>
          <w:szCs w:val="28"/>
          <w:lang w:eastAsia="zh-CN"/>
        </w:rPr>
        <w:t>DNA 测序基因分析列表</w:t>
      </w:r>
    </w:p>
    <w:tbl>
      <w:tblPr>
        <w:tblStyle w:val="24"/>
        <w:tblW w:w="4858"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027"/>
        <w:gridCol w:w="890"/>
        <w:gridCol w:w="959"/>
        <w:gridCol w:w="813"/>
        <w:gridCol w:w="916"/>
        <w:gridCol w:w="1050"/>
        <w:gridCol w:w="947"/>
        <w:gridCol w:w="1050"/>
        <w:gridCol w:w="994"/>
        <w:gridCol w:w="102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AKT1</w:t>
            </w:r>
          </w:p>
        </w:tc>
        <w:tc>
          <w:tcPr>
            <w:tcW w:w="916"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ALK</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AR</w:t>
            </w:r>
          </w:p>
        </w:tc>
        <w:tc>
          <w:tcPr>
            <w:tcW w:w="8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BRAF</w:t>
            </w:r>
          </w:p>
        </w:tc>
        <w:tc>
          <w:tcPr>
            <w:tcW w:w="8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CCND1</w:t>
            </w:r>
          </w:p>
        </w:tc>
        <w:tc>
          <w:tcPr>
            <w:tcW w:w="905"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CDK4</w:t>
            </w:r>
          </w:p>
        </w:tc>
        <w:tc>
          <w:tcPr>
            <w:tcW w:w="102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CDK6</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CTNNB1</w:t>
            </w:r>
          </w:p>
        </w:tc>
        <w:tc>
          <w:tcPr>
            <w:tcW w:w="9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DDR2</w:t>
            </w:r>
          </w:p>
        </w:tc>
        <w:tc>
          <w:tcPr>
            <w:tcW w:w="9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EGFR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ERBB2</w:t>
            </w:r>
          </w:p>
        </w:tc>
        <w:tc>
          <w:tcPr>
            <w:tcW w:w="916"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ERBB3</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ERBB4</w:t>
            </w:r>
          </w:p>
        </w:tc>
        <w:tc>
          <w:tcPr>
            <w:tcW w:w="8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ESR1</w:t>
            </w:r>
          </w:p>
        </w:tc>
        <w:tc>
          <w:tcPr>
            <w:tcW w:w="8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FBXW7</w:t>
            </w:r>
          </w:p>
        </w:tc>
        <w:tc>
          <w:tcPr>
            <w:tcW w:w="905"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FGFR1</w:t>
            </w:r>
          </w:p>
        </w:tc>
        <w:tc>
          <w:tcPr>
            <w:tcW w:w="102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FGFR2</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FGFR3</w:t>
            </w:r>
          </w:p>
        </w:tc>
        <w:tc>
          <w:tcPr>
            <w:tcW w:w="9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FGFR4</w:t>
            </w:r>
          </w:p>
        </w:tc>
        <w:tc>
          <w:tcPr>
            <w:tcW w:w="9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GNA11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GNAQ</w:t>
            </w:r>
          </w:p>
        </w:tc>
        <w:tc>
          <w:tcPr>
            <w:tcW w:w="916"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HRAS</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IDH1</w:t>
            </w:r>
          </w:p>
        </w:tc>
        <w:tc>
          <w:tcPr>
            <w:tcW w:w="8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IDH2</w:t>
            </w:r>
          </w:p>
        </w:tc>
        <w:tc>
          <w:tcPr>
            <w:tcW w:w="8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JAK1</w:t>
            </w:r>
          </w:p>
        </w:tc>
        <w:tc>
          <w:tcPr>
            <w:tcW w:w="905"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JAK2</w:t>
            </w:r>
          </w:p>
        </w:tc>
        <w:tc>
          <w:tcPr>
            <w:tcW w:w="102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JAK3</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KIT</w:t>
            </w:r>
          </w:p>
        </w:tc>
        <w:tc>
          <w:tcPr>
            <w:tcW w:w="9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KRAS</w:t>
            </w:r>
          </w:p>
        </w:tc>
        <w:tc>
          <w:tcPr>
            <w:tcW w:w="9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MAP2K1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MAP2K2</w:t>
            </w:r>
          </w:p>
        </w:tc>
        <w:tc>
          <w:tcPr>
            <w:tcW w:w="916"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MET</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MTOR</w:t>
            </w:r>
          </w:p>
        </w:tc>
        <w:tc>
          <w:tcPr>
            <w:tcW w:w="8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MYC</w:t>
            </w:r>
          </w:p>
        </w:tc>
        <w:tc>
          <w:tcPr>
            <w:tcW w:w="8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MYCN</w:t>
            </w:r>
          </w:p>
        </w:tc>
        <w:tc>
          <w:tcPr>
            <w:tcW w:w="905"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NOTCH1</w:t>
            </w:r>
          </w:p>
        </w:tc>
        <w:tc>
          <w:tcPr>
            <w:tcW w:w="102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NRAS</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PDGFRA</w:t>
            </w:r>
          </w:p>
        </w:tc>
        <w:tc>
          <w:tcPr>
            <w:tcW w:w="9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PIK3CA</w:t>
            </w:r>
          </w:p>
        </w:tc>
        <w:tc>
          <w:tcPr>
            <w:tcW w:w="9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PTEN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RAF1</w:t>
            </w:r>
          </w:p>
        </w:tc>
        <w:tc>
          <w:tcPr>
            <w:tcW w:w="916"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RB1</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RET</w:t>
            </w:r>
          </w:p>
        </w:tc>
        <w:tc>
          <w:tcPr>
            <w:tcW w:w="8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ROS1</w:t>
            </w:r>
          </w:p>
        </w:tc>
        <w:tc>
          <w:tcPr>
            <w:tcW w:w="8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SMAD4</w:t>
            </w:r>
          </w:p>
        </w:tc>
        <w:tc>
          <w:tcPr>
            <w:tcW w:w="905"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SMO</w:t>
            </w:r>
          </w:p>
        </w:tc>
        <w:tc>
          <w:tcPr>
            <w:tcW w:w="102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STK11</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TP53</w:t>
            </w:r>
          </w:p>
        </w:tc>
        <w:tc>
          <w:tcPr>
            <w:tcW w:w="9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UGT1A1</w:t>
            </w:r>
          </w:p>
        </w:tc>
        <w:tc>
          <w:tcPr>
            <w:tcW w:w="9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p>
        </w:tc>
      </w:tr>
    </w:tbl>
    <w:p>
      <w:pPr>
        <w:pStyle w:val="55"/>
        <w:spacing w:before="80" w:after="0" w:line="260" w:lineRule="auto"/>
        <w:ind w:firstLine="0" w:firstLineChars="0"/>
        <w:rPr>
          <w:rFonts w:ascii="Times New Roman" w:hAnsi="Times New Roman" w:eastAsia="微软雅黑"/>
          <w:sz w:val="28"/>
          <w:szCs w:val="28"/>
          <w:lang w:eastAsia="zh-CN"/>
        </w:rPr>
      </w:pPr>
      <w:r>
        <w:rPr>
          <w:rFonts w:hint="eastAsia" w:ascii="Times New Roman" w:hAnsi="Times New Roman" w:eastAsia="微软雅黑"/>
          <w:sz w:val="28"/>
          <w:szCs w:val="28"/>
          <w:lang w:eastAsia="zh-CN"/>
        </w:rPr>
        <w:t>RNA 测序基因分析列表</w:t>
      </w:r>
    </w:p>
    <w:tbl>
      <w:tblPr>
        <w:tblStyle w:val="24"/>
        <w:tblW w:w="485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987"/>
        <w:gridCol w:w="910"/>
        <w:gridCol w:w="1031"/>
        <w:gridCol w:w="861"/>
        <w:gridCol w:w="881"/>
        <w:gridCol w:w="904"/>
        <w:gridCol w:w="1014"/>
        <w:gridCol w:w="1034"/>
        <w:gridCol w:w="1050"/>
        <w:gridCol w:w="98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ABL1</w:t>
            </w:r>
          </w:p>
        </w:tc>
        <w:tc>
          <w:tcPr>
            <w:tcW w:w="916"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AKT3</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ALK</w:t>
            </w:r>
          </w:p>
        </w:tc>
        <w:tc>
          <w:tcPr>
            <w:tcW w:w="8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AXL</w:t>
            </w:r>
          </w:p>
        </w:tc>
        <w:tc>
          <w:tcPr>
            <w:tcW w:w="8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BRAF</w:t>
            </w:r>
          </w:p>
        </w:tc>
        <w:tc>
          <w:tcPr>
            <w:tcW w:w="905"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EGFR</w:t>
            </w:r>
          </w:p>
        </w:tc>
        <w:tc>
          <w:tcPr>
            <w:tcW w:w="102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ERBB2</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ERG</w:t>
            </w:r>
          </w:p>
        </w:tc>
        <w:tc>
          <w:tcPr>
            <w:tcW w:w="9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ETV1</w:t>
            </w:r>
          </w:p>
        </w:tc>
        <w:tc>
          <w:tcPr>
            <w:tcW w:w="9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ETV4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ETV5</w:t>
            </w:r>
          </w:p>
        </w:tc>
        <w:tc>
          <w:tcPr>
            <w:tcW w:w="916"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FGFR1</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FGFR2</w:t>
            </w:r>
          </w:p>
        </w:tc>
        <w:tc>
          <w:tcPr>
            <w:tcW w:w="8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FGFR3</w:t>
            </w:r>
          </w:p>
        </w:tc>
        <w:tc>
          <w:tcPr>
            <w:tcW w:w="8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MET</w:t>
            </w:r>
          </w:p>
        </w:tc>
        <w:tc>
          <w:tcPr>
            <w:tcW w:w="905"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NTRK1</w:t>
            </w:r>
          </w:p>
        </w:tc>
        <w:tc>
          <w:tcPr>
            <w:tcW w:w="102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NTRK2</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NTRK3</w:t>
            </w:r>
          </w:p>
        </w:tc>
        <w:tc>
          <w:tcPr>
            <w:tcW w:w="9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PDGFRA</w:t>
            </w:r>
          </w:p>
        </w:tc>
        <w:tc>
          <w:tcPr>
            <w:tcW w:w="9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PPARG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23" w:hRule="atLeast"/>
          <w:jc w:val="center"/>
        </w:trPr>
        <w:tc>
          <w:tcPr>
            <w:tcW w:w="101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RAF1</w:t>
            </w:r>
          </w:p>
        </w:tc>
        <w:tc>
          <w:tcPr>
            <w:tcW w:w="916"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RET</w:t>
            </w: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r>
              <w:rPr>
                <w:rFonts w:hint="eastAsia" w:ascii="Times New Roman" w:hAnsi="Times New Roman" w:eastAsia="微软雅黑" w:cs="Times New Roman"/>
                <w:b/>
                <w:bCs/>
                <w:sz w:val="20"/>
                <w:szCs w:val="20"/>
              </w:rPr>
              <w:t>ROS1</w:t>
            </w:r>
          </w:p>
        </w:tc>
        <w:tc>
          <w:tcPr>
            <w:tcW w:w="8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p>
        </w:tc>
        <w:tc>
          <w:tcPr>
            <w:tcW w:w="8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p>
        </w:tc>
        <w:tc>
          <w:tcPr>
            <w:tcW w:w="905"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p>
        </w:tc>
        <w:tc>
          <w:tcPr>
            <w:tcW w:w="1027"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p>
        </w:tc>
        <w:tc>
          <w:tcPr>
            <w:tcW w:w="1050"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p>
        </w:tc>
        <w:tc>
          <w:tcPr>
            <w:tcW w:w="961"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p>
        </w:tc>
        <w:tc>
          <w:tcPr>
            <w:tcW w:w="994" w:type="dxa"/>
            <w:tcBorders>
              <w:tl2br w:val="nil"/>
              <w:tr2bl w:val="nil"/>
            </w:tcBorders>
            <w:shd w:val="clear" w:color="auto" w:fill="auto"/>
            <w:vAlign w:val="center"/>
          </w:tcPr>
          <w:p>
            <w:pPr>
              <w:pStyle w:val="23"/>
              <w:jc w:val="center"/>
              <w:rPr>
                <w:rFonts w:ascii="Times New Roman" w:hAnsi="Times New Roman" w:eastAsia="微软雅黑" w:cs="Times New Roman"/>
                <w:b/>
                <w:bCs/>
                <w:sz w:val="20"/>
                <w:szCs w:val="20"/>
              </w:rPr>
            </w:pPr>
          </w:p>
        </w:tc>
      </w:tr>
    </w:tbl>
    <w:p>
      <w:pPr>
        <w:pStyle w:val="55"/>
        <w:spacing w:before="87"/>
        <w:ind w:firstLine="0" w:firstLineChars="0"/>
        <w:rPr>
          <w:rFonts w:ascii="Times New Roman" w:hAnsi="Times New Roman" w:eastAsia="微软雅黑"/>
          <w:bCs/>
          <w:sz w:val="24"/>
          <w:szCs w:val="24"/>
          <w:lang w:eastAsia="zh-CN"/>
        </w:rPr>
      </w:pPr>
    </w:p>
    <w:p>
      <w:pPr>
        <w:pStyle w:val="32"/>
        <w:numPr>
          <w:ilvl w:val="0"/>
          <w:numId w:val="1"/>
        </w:numPr>
        <w:tabs>
          <w:tab w:val="left" w:pos="312"/>
        </w:tabs>
        <w:rPr>
          <w:rFonts w:ascii="Times New Roman" w:hAnsi="Times New Roman" w:eastAsia="微软雅黑"/>
          <w:b/>
          <w:sz w:val="28"/>
          <w:szCs w:val="28"/>
          <w:lang w:eastAsia="zh-CN"/>
        </w:rPr>
      </w:pPr>
      <w:r>
        <w:rPr>
          <w:rFonts w:ascii="Times New Roman" w:hAnsi="Times New Roman" w:eastAsia="微软雅黑"/>
          <w:b/>
          <w:sz w:val="28"/>
          <w:szCs w:val="28"/>
          <w:lang w:eastAsia="zh-CN"/>
        </w:rPr>
        <w:t>质量控制：</w:t>
      </w:r>
    </w:p>
    <w:p>
      <w:pPr>
        <w:pStyle w:val="11"/>
        <w:spacing w:before="7"/>
        <w:rPr>
          <w:rFonts w:eastAsia="微软雅黑"/>
          <w:b/>
          <w:sz w:val="9"/>
        </w:rPr>
      </w:pPr>
    </w:p>
    <w:tbl>
      <w:tblPr>
        <w:tblStyle w:val="31"/>
        <w:tblW w:w="8529" w:type="dxa"/>
        <w:jc w:val="center"/>
        <w:tblLayout w:type="fixed"/>
        <w:tblCellMar>
          <w:top w:w="0" w:type="dxa"/>
          <w:left w:w="0" w:type="dxa"/>
          <w:bottom w:w="0" w:type="dxa"/>
          <w:right w:w="0" w:type="dxa"/>
        </w:tblCellMar>
      </w:tblPr>
      <w:tblGrid>
        <w:gridCol w:w="5552"/>
        <w:gridCol w:w="567"/>
        <w:gridCol w:w="1134"/>
        <w:gridCol w:w="1276"/>
      </w:tblGrid>
      <w:tr>
        <w:tblPrEx>
          <w:tblCellMar>
            <w:top w:w="0" w:type="dxa"/>
            <w:left w:w="0" w:type="dxa"/>
            <w:bottom w:w="0" w:type="dxa"/>
            <w:right w:w="0" w:type="dxa"/>
          </w:tblCellMar>
        </w:tblPrEx>
        <w:trPr>
          <w:trHeight w:val="567" w:hRule="exact"/>
          <w:jc w:val="center"/>
        </w:trPr>
        <w:tc>
          <w:tcPr>
            <w:tcW w:w="5552" w:type="dxa"/>
            <w:shd w:val="clear" w:color="auto" w:fill="auto"/>
            <w:vAlign w:val="center"/>
          </w:tcPr>
          <w:p>
            <w:pPr>
              <w:pStyle w:val="33"/>
              <w:spacing w:after="0"/>
              <w:ind w:left="35"/>
              <w:rPr>
                <w:rFonts w:ascii="Times New Roman" w:hAnsi="Times New Roman" w:eastAsia="微软雅黑"/>
                <w:bCs/>
                <w:sz w:val="28"/>
                <w:szCs w:val="28"/>
              </w:rPr>
            </w:pPr>
            <w:r>
              <w:rPr>
                <w:rFonts w:ascii="Times New Roman" w:hAnsi="Times New Roman" w:eastAsia="微软雅黑"/>
                <w:bCs/>
                <w:sz w:val="28"/>
                <w:szCs w:val="28"/>
              </w:rPr>
              <w:t xml:space="preserve">1. </w:t>
            </w:r>
            <w:r>
              <w:rPr>
                <w:rFonts w:ascii="Times New Roman" w:hAnsi="Times New Roman" w:eastAsia="微软雅黑"/>
                <w:bCs/>
                <w:sz w:val="28"/>
                <w:szCs w:val="28"/>
                <w:lang w:eastAsia="zh-CN"/>
              </w:rPr>
              <w:t>核酸</w:t>
            </w:r>
            <w:r>
              <w:rPr>
                <w:rFonts w:ascii="Times New Roman" w:hAnsi="Times New Roman" w:eastAsia="微软雅黑"/>
                <w:bCs/>
                <w:sz w:val="28"/>
                <w:szCs w:val="28"/>
              </w:rPr>
              <w:t>提取与质量控制</w:t>
            </w:r>
          </w:p>
        </w:tc>
        <w:tc>
          <w:tcPr>
            <w:tcW w:w="567" w:type="dxa"/>
            <w:shd w:val="clear" w:color="auto" w:fill="auto"/>
            <w:vAlign w:val="center"/>
          </w:tcPr>
          <w:p>
            <w:pPr>
              <w:pStyle w:val="33"/>
              <w:spacing w:after="0" w:line="303" w:lineRule="exact"/>
              <w:ind w:left="102"/>
              <w:jc w:val="center"/>
              <w:rPr>
                <w:rFonts w:ascii="Times New Roman" w:hAnsi="Times New Roman" w:eastAsia="微软雅黑"/>
                <w:bCs/>
                <w:sz w:val="28"/>
                <w:szCs w:val="28"/>
              </w:rPr>
            </w:pPr>
            <w:r>
              <w:rPr>
                <w:rFonts w:ascii="Times New Roman" w:hAnsi="Times New Roman" w:eastAsia="微软雅黑"/>
                <w:bCs/>
                <w:spacing w:val="-143"/>
                <w:w w:val="129"/>
                <w:sz w:val="28"/>
                <w:szCs w:val="28"/>
              </w:rPr>
              <w:t>□</w:t>
            </w:r>
            <w:r>
              <w:rPr>
                <w:rFonts w:ascii="Times New Roman" w:hAnsi="Times New Roman" w:eastAsia="微软雅黑"/>
                <w:bCs/>
                <w:w w:val="110"/>
                <w:position w:val="1"/>
                <w:sz w:val="28"/>
                <w:szCs w:val="28"/>
              </w:rPr>
              <w:t>✓</w:t>
            </w:r>
          </w:p>
        </w:tc>
        <w:tc>
          <w:tcPr>
            <w:tcW w:w="1134" w:type="dxa"/>
            <w:shd w:val="clear" w:color="auto" w:fill="auto"/>
            <w:vAlign w:val="center"/>
          </w:tcPr>
          <w:p>
            <w:pPr>
              <w:pStyle w:val="33"/>
              <w:spacing w:after="0"/>
              <w:ind w:right="207"/>
              <w:jc w:val="center"/>
              <w:rPr>
                <w:rFonts w:ascii="Times New Roman" w:hAnsi="Times New Roman" w:eastAsia="微软雅黑"/>
                <w:bCs/>
                <w:sz w:val="28"/>
                <w:szCs w:val="28"/>
              </w:rPr>
            </w:pPr>
            <w:r>
              <w:rPr>
                <w:rFonts w:ascii="Times New Roman" w:hAnsi="Times New Roman" w:eastAsia="微软雅黑"/>
                <w:bCs/>
                <w:w w:val="95"/>
                <w:sz w:val="28"/>
                <w:szCs w:val="28"/>
              </w:rPr>
              <w:t>通过</w:t>
            </w:r>
          </w:p>
        </w:tc>
        <w:tc>
          <w:tcPr>
            <w:tcW w:w="1276" w:type="dxa"/>
            <w:shd w:val="clear" w:color="auto" w:fill="auto"/>
            <w:vAlign w:val="center"/>
          </w:tcPr>
          <w:p>
            <w:pPr>
              <w:pStyle w:val="33"/>
              <w:tabs>
                <w:tab w:val="left" w:pos="583"/>
              </w:tabs>
              <w:spacing w:after="0" w:line="303" w:lineRule="exact"/>
              <w:ind w:right="34"/>
              <w:jc w:val="center"/>
              <w:rPr>
                <w:rFonts w:ascii="Times New Roman" w:hAnsi="Times New Roman" w:eastAsia="微软雅黑"/>
                <w:bCs/>
                <w:sz w:val="28"/>
                <w:szCs w:val="28"/>
              </w:rPr>
            </w:pPr>
            <w:r>
              <w:rPr>
                <w:rFonts w:ascii="Times New Roman" w:hAnsi="Times New Roman" w:eastAsia="微软雅黑"/>
                <w:bCs/>
                <w:w w:val="115"/>
                <w:sz w:val="28"/>
                <w:szCs w:val="28"/>
              </w:rPr>
              <w:t>□</w:t>
            </w:r>
            <w:r>
              <w:rPr>
                <w:rFonts w:ascii="Times New Roman" w:hAnsi="Times New Roman" w:eastAsia="微软雅黑"/>
                <w:bCs/>
                <w:w w:val="95"/>
                <w:sz w:val="28"/>
                <w:szCs w:val="28"/>
              </w:rPr>
              <w:t>不通过</w:t>
            </w:r>
          </w:p>
        </w:tc>
      </w:tr>
      <w:tr>
        <w:tblPrEx>
          <w:tblCellMar>
            <w:top w:w="0" w:type="dxa"/>
            <w:left w:w="0" w:type="dxa"/>
            <w:bottom w:w="0" w:type="dxa"/>
            <w:right w:w="0" w:type="dxa"/>
          </w:tblCellMar>
        </w:tblPrEx>
        <w:trPr>
          <w:trHeight w:val="567" w:hRule="exact"/>
          <w:jc w:val="center"/>
        </w:trPr>
        <w:tc>
          <w:tcPr>
            <w:tcW w:w="5552" w:type="dxa"/>
            <w:shd w:val="clear" w:color="auto" w:fill="auto"/>
            <w:vAlign w:val="center"/>
          </w:tcPr>
          <w:p>
            <w:pPr>
              <w:pStyle w:val="33"/>
              <w:spacing w:after="0"/>
              <w:ind w:left="35"/>
              <w:rPr>
                <w:rFonts w:ascii="Times New Roman" w:hAnsi="Times New Roman" w:eastAsia="微软雅黑"/>
                <w:bCs/>
                <w:sz w:val="28"/>
                <w:szCs w:val="28"/>
              </w:rPr>
            </w:pPr>
            <w:r>
              <w:rPr>
                <w:rFonts w:ascii="Times New Roman" w:hAnsi="Times New Roman" w:eastAsia="微软雅黑"/>
                <w:bCs/>
                <w:sz w:val="28"/>
                <w:szCs w:val="28"/>
              </w:rPr>
              <w:t>2. 文库构建与质量控制</w:t>
            </w:r>
          </w:p>
        </w:tc>
        <w:tc>
          <w:tcPr>
            <w:tcW w:w="567" w:type="dxa"/>
            <w:shd w:val="clear" w:color="auto" w:fill="auto"/>
            <w:vAlign w:val="center"/>
          </w:tcPr>
          <w:p>
            <w:pPr>
              <w:pStyle w:val="33"/>
              <w:spacing w:after="0" w:line="303" w:lineRule="exact"/>
              <w:ind w:left="102"/>
              <w:jc w:val="center"/>
              <w:rPr>
                <w:rFonts w:ascii="Times New Roman" w:hAnsi="Times New Roman" w:eastAsia="微软雅黑"/>
                <w:bCs/>
                <w:sz w:val="28"/>
                <w:szCs w:val="28"/>
              </w:rPr>
            </w:pPr>
            <w:r>
              <w:rPr>
                <w:rFonts w:ascii="Times New Roman" w:hAnsi="Times New Roman" w:eastAsia="微软雅黑"/>
                <w:bCs/>
                <w:spacing w:val="-143"/>
                <w:w w:val="129"/>
                <w:sz w:val="28"/>
                <w:szCs w:val="28"/>
              </w:rPr>
              <w:t>□</w:t>
            </w:r>
            <w:r>
              <w:rPr>
                <w:rFonts w:ascii="Times New Roman" w:hAnsi="Times New Roman" w:eastAsia="微软雅黑"/>
                <w:bCs/>
                <w:w w:val="110"/>
                <w:position w:val="1"/>
                <w:sz w:val="28"/>
                <w:szCs w:val="28"/>
              </w:rPr>
              <w:t>✓</w:t>
            </w:r>
          </w:p>
        </w:tc>
        <w:tc>
          <w:tcPr>
            <w:tcW w:w="1134" w:type="dxa"/>
            <w:shd w:val="clear" w:color="auto" w:fill="auto"/>
            <w:vAlign w:val="center"/>
          </w:tcPr>
          <w:p>
            <w:pPr>
              <w:pStyle w:val="33"/>
              <w:spacing w:after="0"/>
              <w:ind w:right="207"/>
              <w:jc w:val="center"/>
              <w:rPr>
                <w:rFonts w:ascii="Times New Roman" w:hAnsi="Times New Roman" w:eastAsia="微软雅黑"/>
                <w:bCs/>
                <w:sz w:val="28"/>
                <w:szCs w:val="28"/>
              </w:rPr>
            </w:pPr>
            <w:r>
              <w:rPr>
                <w:rFonts w:ascii="Times New Roman" w:hAnsi="Times New Roman" w:eastAsia="微软雅黑"/>
                <w:bCs/>
                <w:w w:val="95"/>
                <w:sz w:val="28"/>
                <w:szCs w:val="28"/>
              </w:rPr>
              <w:t>通过</w:t>
            </w:r>
          </w:p>
        </w:tc>
        <w:tc>
          <w:tcPr>
            <w:tcW w:w="1276" w:type="dxa"/>
            <w:shd w:val="clear" w:color="auto" w:fill="auto"/>
            <w:vAlign w:val="center"/>
          </w:tcPr>
          <w:p>
            <w:pPr>
              <w:pStyle w:val="33"/>
              <w:tabs>
                <w:tab w:val="left" w:pos="583"/>
              </w:tabs>
              <w:spacing w:after="0" w:line="303" w:lineRule="exact"/>
              <w:ind w:right="34"/>
              <w:jc w:val="center"/>
              <w:rPr>
                <w:rFonts w:ascii="Times New Roman" w:hAnsi="Times New Roman" w:eastAsia="微软雅黑"/>
                <w:bCs/>
                <w:sz w:val="28"/>
                <w:szCs w:val="28"/>
              </w:rPr>
            </w:pPr>
            <w:r>
              <w:rPr>
                <w:rFonts w:ascii="Times New Roman" w:hAnsi="Times New Roman" w:eastAsia="微软雅黑"/>
                <w:bCs/>
                <w:w w:val="115"/>
                <w:sz w:val="28"/>
                <w:szCs w:val="28"/>
              </w:rPr>
              <w:t>□</w:t>
            </w:r>
            <w:r>
              <w:rPr>
                <w:rFonts w:ascii="Times New Roman" w:hAnsi="Times New Roman" w:eastAsia="微软雅黑"/>
                <w:bCs/>
                <w:w w:val="95"/>
                <w:sz w:val="28"/>
                <w:szCs w:val="28"/>
              </w:rPr>
              <w:t>不通过</w:t>
            </w:r>
          </w:p>
        </w:tc>
      </w:tr>
      <w:tr>
        <w:tblPrEx>
          <w:tblCellMar>
            <w:top w:w="0" w:type="dxa"/>
            <w:left w:w="0" w:type="dxa"/>
            <w:bottom w:w="0" w:type="dxa"/>
            <w:right w:w="0" w:type="dxa"/>
          </w:tblCellMar>
        </w:tblPrEx>
        <w:trPr>
          <w:trHeight w:val="567" w:hRule="exact"/>
          <w:jc w:val="center"/>
        </w:trPr>
        <w:tc>
          <w:tcPr>
            <w:tcW w:w="5552" w:type="dxa"/>
            <w:shd w:val="clear" w:color="auto" w:fill="auto"/>
            <w:vAlign w:val="center"/>
          </w:tcPr>
          <w:p>
            <w:pPr>
              <w:pStyle w:val="33"/>
              <w:spacing w:after="0"/>
              <w:ind w:left="35"/>
              <w:rPr>
                <w:rFonts w:ascii="Times New Roman" w:hAnsi="Times New Roman" w:eastAsia="微软雅黑"/>
                <w:bCs/>
                <w:sz w:val="28"/>
                <w:szCs w:val="28"/>
              </w:rPr>
            </w:pPr>
            <w:r>
              <w:rPr>
                <w:rFonts w:ascii="Times New Roman" w:hAnsi="Times New Roman" w:eastAsia="微软雅黑"/>
                <w:bCs/>
                <w:sz w:val="28"/>
                <w:szCs w:val="28"/>
              </w:rPr>
              <w:t>3. 上机测序与质量控制</w:t>
            </w:r>
          </w:p>
        </w:tc>
        <w:tc>
          <w:tcPr>
            <w:tcW w:w="567" w:type="dxa"/>
            <w:shd w:val="clear" w:color="auto" w:fill="auto"/>
            <w:vAlign w:val="center"/>
          </w:tcPr>
          <w:p>
            <w:pPr>
              <w:pStyle w:val="33"/>
              <w:spacing w:after="0" w:line="303" w:lineRule="exact"/>
              <w:ind w:left="102"/>
              <w:jc w:val="center"/>
              <w:rPr>
                <w:rFonts w:ascii="Times New Roman" w:hAnsi="Times New Roman" w:eastAsia="微软雅黑"/>
                <w:bCs/>
                <w:sz w:val="28"/>
                <w:szCs w:val="28"/>
              </w:rPr>
            </w:pPr>
            <w:r>
              <w:rPr>
                <w:rFonts w:ascii="Times New Roman" w:hAnsi="Times New Roman" w:eastAsia="微软雅黑"/>
                <w:bCs/>
                <w:spacing w:val="-143"/>
                <w:w w:val="129"/>
                <w:sz w:val="28"/>
                <w:szCs w:val="28"/>
              </w:rPr>
              <w:t>□</w:t>
            </w:r>
            <w:r>
              <w:rPr>
                <w:rFonts w:ascii="Times New Roman" w:hAnsi="Times New Roman" w:eastAsia="微软雅黑"/>
                <w:bCs/>
                <w:w w:val="110"/>
                <w:position w:val="1"/>
                <w:sz w:val="28"/>
                <w:szCs w:val="28"/>
              </w:rPr>
              <w:t>✓</w:t>
            </w:r>
          </w:p>
        </w:tc>
        <w:tc>
          <w:tcPr>
            <w:tcW w:w="1134" w:type="dxa"/>
            <w:shd w:val="clear" w:color="auto" w:fill="auto"/>
            <w:vAlign w:val="center"/>
          </w:tcPr>
          <w:p>
            <w:pPr>
              <w:pStyle w:val="33"/>
              <w:spacing w:after="0"/>
              <w:ind w:right="207"/>
              <w:jc w:val="center"/>
              <w:rPr>
                <w:rFonts w:ascii="Times New Roman" w:hAnsi="Times New Roman" w:eastAsia="微软雅黑"/>
                <w:bCs/>
                <w:sz w:val="28"/>
                <w:szCs w:val="28"/>
              </w:rPr>
            </w:pPr>
            <w:r>
              <w:rPr>
                <w:rFonts w:ascii="Times New Roman" w:hAnsi="Times New Roman" w:eastAsia="微软雅黑"/>
                <w:bCs/>
                <w:w w:val="95"/>
                <w:sz w:val="28"/>
                <w:szCs w:val="28"/>
              </w:rPr>
              <w:t>通过</w:t>
            </w:r>
          </w:p>
        </w:tc>
        <w:tc>
          <w:tcPr>
            <w:tcW w:w="1276" w:type="dxa"/>
            <w:shd w:val="clear" w:color="auto" w:fill="auto"/>
            <w:vAlign w:val="center"/>
          </w:tcPr>
          <w:p>
            <w:pPr>
              <w:pStyle w:val="33"/>
              <w:tabs>
                <w:tab w:val="left" w:pos="583"/>
              </w:tabs>
              <w:spacing w:after="0" w:line="303" w:lineRule="exact"/>
              <w:ind w:right="34"/>
              <w:jc w:val="center"/>
              <w:rPr>
                <w:rFonts w:ascii="Times New Roman" w:hAnsi="Times New Roman" w:eastAsia="微软雅黑"/>
                <w:bCs/>
                <w:sz w:val="28"/>
                <w:szCs w:val="28"/>
              </w:rPr>
            </w:pPr>
            <w:r>
              <w:rPr>
                <w:rFonts w:ascii="Times New Roman" w:hAnsi="Times New Roman" w:eastAsia="微软雅黑"/>
                <w:bCs/>
                <w:w w:val="115"/>
                <w:sz w:val="28"/>
                <w:szCs w:val="28"/>
              </w:rPr>
              <w:t>□</w:t>
            </w:r>
            <w:r>
              <w:rPr>
                <w:rFonts w:ascii="Times New Roman" w:hAnsi="Times New Roman" w:eastAsia="微软雅黑"/>
                <w:bCs/>
                <w:w w:val="95"/>
                <w:sz w:val="28"/>
                <w:szCs w:val="28"/>
              </w:rPr>
              <w:t>不通过</w:t>
            </w:r>
          </w:p>
        </w:tc>
      </w:tr>
      <w:tr>
        <w:tblPrEx>
          <w:tblCellMar>
            <w:top w:w="0" w:type="dxa"/>
            <w:left w:w="0" w:type="dxa"/>
            <w:bottom w:w="0" w:type="dxa"/>
            <w:right w:w="0" w:type="dxa"/>
          </w:tblCellMar>
        </w:tblPrEx>
        <w:trPr>
          <w:trHeight w:val="567" w:hRule="exact"/>
          <w:jc w:val="center"/>
        </w:trPr>
        <w:tc>
          <w:tcPr>
            <w:tcW w:w="5552" w:type="dxa"/>
            <w:shd w:val="clear" w:color="auto" w:fill="auto"/>
            <w:vAlign w:val="center"/>
          </w:tcPr>
          <w:p>
            <w:pPr>
              <w:pStyle w:val="33"/>
              <w:spacing w:after="0"/>
              <w:ind w:left="35"/>
              <w:rPr>
                <w:rFonts w:ascii="Times New Roman" w:hAnsi="Times New Roman" w:eastAsia="微软雅黑"/>
                <w:bCs/>
                <w:sz w:val="28"/>
                <w:szCs w:val="28"/>
              </w:rPr>
            </w:pPr>
            <w:r>
              <w:rPr>
                <w:rFonts w:ascii="Times New Roman" w:hAnsi="Times New Roman" w:eastAsia="微软雅黑"/>
                <w:bCs/>
                <w:sz w:val="28"/>
                <w:szCs w:val="28"/>
              </w:rPr>
              <w:t>4. 数据分析与质量控制</w:t>
            </w:r>
          </w:p>
        </w:tc>
        <w:tc>
          <w:tcPr>
            <w:tcW w:w="567" w:type="dxa"/>
            <w:shd w:val="clear" w:color="auto" w:fill="auto"/>
            <w:vAlign w:val="center"/>
          </w:tcPr>
          <w:p>
            <w:pPr>
              <w:pStyle w:val="33"/>
              <w:spacing w:after="0" w:line="303" w:lineRule="exact"/>
              <w:ind w:left="102"/>
              <w:jc w:val="center"/>
              <w:rPr>
                <w:rFonts w:ascii="Times New Roman" w:hAnsi="Times New Roman" w:eastAsia="微软雅黑"/>
                <w:bCs/>
                <w:sz w:val="28"/>
                <w:szCs w:val="28"/>
              </w:rPr>
            </w:pPr>
            <w:r>
              <w:rPr>
                <w:rFonts w:ascii="Times New Roman" w:hAnsi="Times New Roman" w:eastAsia="微软雅黑"/>
                <w:bCs/>
                <w:spacing w:val="-143"/>
                <w:w w:val="129"/>
                <w:sz w:val="28"/>
                <w:szCs w:val="28"/>
              </w:rPr>
              <w:t>□</w:t>
            </w:r>
            <w:r>
              <w:rPr>
                <w:rFonts w:ascii="Times New Roman" w:hAnsi="Times New Roman" w:eastAsia="微软雅黑"/>
                <w:bCs/>
                <w:w w:val="110"/>
                <w:position w:val="1"/>
                <w:sz w:val="28"/>
                <w:szCs w:val="28"/>
              </w:rPr>
              <w:t>✓</w:t>
            </w:r>
          </w:p>
        </w:tc>
        <w:tc>
          <w:tcPr>
            <w:tcW w:w="1134" w:type="dxa"/>
            <w:shd w:val="clear" w:color="auto" w:fill="auto"/>
            <w:vAlign w:val="center"/>
          </w:tcPr>
          <w:p>
            <w:pPr>
              <w:pStyle w:val="33"/>
              <w:spacing w:after="0"/>
              <w:ind w:right="207"/>
              <w:jc w:val="center"/>
              <w:rPr>
                <w:rFonts w:ascii="Times New Roman" w:hAnsi="Times New Roman" w:eastAsia="微软雅黑"/>
                <w:bCs/>
                <w:sz w:val="28"/>
                <w:szCs w:val="28"/>
              </w:rPr>
            </w:pPr>
            <w:r>
              <w:rPr>
                <w:rFonts w:ascii="Times New Roman" w:hAnsi="Times New Roman" w:eastAsia="微软雅黑"/>
                <w:bCs/>
                <w:w w:val="95"/>
                <w:sz w:val="28"/>
                <w:szCs w:val="28"/>
              </w:rPr>
              <w:t>通过</w:t>
            </w:r>
          </w:p>
        </w:tc>
        <w:tc>
          <w:tcPr>
            <w:tcW w:w="1276" w:type="dxa"/>
            <w:shd w:val="clear" w:color="auto" w:fill="auto"/>
            <w:vAlign w:val="center"/>
          </w:tcPr>
          <w:p>
            <w:pPr>
              <w:pStyle w:val="33"/>
              <w:tabs>
                <w:tab w:val="left" w:pos="583"/>
              </w:tabs>
              <w:spacing w:after="0" w:line="303" w:lineRule="exact"/>
              <w:ind w:right="34"/>
              <w:jc w:val="center"/>
              <w:rPr>
                <w:rFonts w:ascii="Times New Roman" w:hAnsi="Times New Roman" w:eastAsia="微软雅黑"/>
                <w:bCs/>
                <w:sz w:val="28"/>
                <w:szCs w:val="28"/>
              </w:rPr>
            </w:pPr>
            <w:r>
              <w:rPr>
                <w:rFonts w:ascii="Times New Roman" w:hAnsi="Times New Roman" w:eastAsia="微软雅黑"/>
                <w:bCs/>
                <w:w w:val="115"/>
                <w:sz w:val="28"/>
                <w:szCs w:val="28"/>
              </w:rPr>
              <w:t>□</w:t>
            </w:r>
            <w:r>
              <w:rPr>
                <w:rFonts w:ascii="Times New Roman" w:hAnsi="Times New Roman" w:eastAsia="微软雅黑"/>
                <w:bCs/>
                <w:w w:val="95"/>
                <w:sz w:val="28"/>
                <w:szCs w:val="28"/>
              </w:rPr>
              <w:t>不通过</w:t>
            </w:r>
          </w:p>
        </w:tc>
      </w:tr>
    </w:tbl>
    <w:p>
      <w:pPr>
        <w:spacing w:before="35" w:after="0" w:line="260" w:lineRule="auto"/>
        <w:ind w:left="153"/>
        <w:rPr>
          <w:rFonts w:eastAsia="微软雅黑"/>
          <w:sz w:val="21"/>
        </w:rPr>
      </w:pPr>
      <w:bookmarkStart w:id="8" w:name="_Toc32457_WPSOffice_Level2"/>
      <w:bookmarkStart w:id="9" w:name="_Toc15716_WPSOffice_Level2"/>
      <w:r>
        <w:rPr>
          <w:rFonts w:eastAsia="微软雅黑"/>
          <w:sz w:val="21"/>
        </w:rPr>
        <w:t>注：</w:t>
      </w:r>
      <w:bookmarkEnd w:id="8"/>
      <w:bookmarkEnd w:id="9"/>
    </w:p>
    <w:p>
      <w:pPr>
        <w:spacing w:before="35" w:after="0" w:line="260" w:lineRule="auto"/>
        <w:ind w:left="153"/>
        <w:rPr>
          <w:rFonts w:eastAsia="微软雅黑"/>
          <w:sz w:val="21"/>
        </w:rPr>
      </w:pPr>
      <w:r>
        <w:rPr>
          <w:rFonts w:eastAsia="微软雅黑"/>
          <w:sz w:val="21"/>
        </w:rPr>
        <w:t>1. 检测结果仅供医生参考，不作为临床诊疗的依据。</w:t>
      </w:r>
    </w:p>
    <w:p>
      <w:pPr>
        <w:spacing w:before="35" w:after="0" w:line="260" w:lineRule="auto"/>
        <w:ind w:left="153"/>
        <w:rPr>
          <w:rFonts w:eastAsia="微软雅黑"/>
          <w:sz w:val="21"/>
        </w:rPr>
      </w:pPr>
      <w:r>
        <w:rPr>
          <w:rFonts w:eastAsia="微软雅黑"/>
          <w:sz w:val="21"/>
        </w:rPr>
        <w:t>2. 检测结果仅对本样本负责。</w:t>
      </w:r>
    </w:p>
    <w:p>
      <w:pPr>
        <w:adjustRightInd w:val="0"/>
        <w:snapToGrid w:val="0"/>
        <w:spacing w:after="0" w:line="260" w:lineRule="auto"/>
        <w:rPr>
          <w:rFonts w:eastAsia="微软雅黑"/>
          <w:sz w:val="18"/>
          <w:szCs w:val="18"/>
        </w:rPr>
        <w:sectPr>
          <w:footerReference r:id="rId10" w:type="default"/>
          <w:pgSz w:w="11900" w:h="16840"/>
          <w:pgMar w:top="1440" w:right="1080" w:bottom="1440" w:left="1080" w:header="567" w:footer="720" w:gutter="0"/>
          <w:pgBorders>
            <w:top w:val="none" w:sz="0" w:space="0"/>
            <w:left w:val="none" w:sz="0" w:space="0"/>
            <w:bottom w:val="none" w:sz="0" w:space="0"/>
            <w:right w:val="none" w:sz="0" w:space="0"/>
          </w:pgBorders>
          <w:pgNumType w:start="1"/>
          <w:cols w:space="720" w:num="1"/>
        </w:sectPr>
      </w:pPr>
    </w:p>
    <w:p>
      <w:pPr>
        <w:adjustRightInd w:val="0"/>
        <w:snapToGrid w:val="0"/>
        <w:jc w:val="center"/>
        <w:outlineLvl w:val="0"/>
        <w:rPr>
          <w:rFonts w:eastAsia="微软雅黑"/>
          <w:sz w:val="28"/>
          <w:szCs w:val="28"/>
        </w:rPr>
      </w:pPr>
      <w:bookmarkStart w:id="10" w:name="_Toc9330"/>
      <w:bookmarkStart w:id="11" w:name="_Toc120_WPSOffice_Level1"/>
      <w:r>
        <w:rPr>
          <w:rFonts w:eastAsia="微软雅黑"/>
          <w:b/>
          <w:color w:val="FFFFFF"/>
          <w:sz w:val="36"/>
          <w:szCs w:val="36"/>
          <w:shd w:val="clear" w:color="auto" w:fill="43A5A1"/>
        </w:rPr>
        <w:t>检测结果</w:t>
      </w:r>
      <w:bookmarkEnd w:id="10"/>
      <w:bookmarkEnd w:id="11"/>
    </w:p>
    <w:p>
      <w:pPr>
        <w:adjustRightInd w:val="0"/>
        <w:snapToGrid w:val="0"/>
        <w:rPr>
          <w:rFonts w:eastAsia="微软雅黑"/>
        </w:rPr>
      </w:pPr>
      <w:bookmarkStart w:id="12" w:name="_Toc13794_WPSOffice_Level1"/>
      <w:bookmarkStart w:id="13" w:name="_Toc15541"/>
      <w:bookmarkStart w:id="14" w:name="_Toc25853_WPSOffice_Level1"/>
      <w:bookmarkStart w:id="15" w:name="_Toc10474_WPSOffice_Level1"/>
      <w:r>
        <w:rPr>
          <w:rFonts w:hint="eastAsia" w:eastAsia="微软雅黑"/>
        </w:rPr>
        <w:t>本次样本共检出{{ summaryOfRresults.thisGeneticmarkerVwListSize }}个变异位点，其中{{summaryOfRresults.somaticDrugCount}}个与靶向药物相关。</w:t>
      </w:r>
      <w:r>
        <w:rPr>
          <w:rFonts w:eastAsia="微软雅黑"/>
        </w:rPr>
        <w:t>具体信息详见“附录1：基因变异及靶向药物结果解析”。</w:t>
      </w:r>
    </w:p>
    <w:p>
      <w:pPr>
        <w:adjustRightInd w:val="0"/>
        <w:snapToGrid w:val="0"/>
        <w:rPr>
          <w:rFonts w:eastAsia="微软雅黑"/>
        </w:rPr>
      </w:pPr>
      <w:r>
        <w:rPr>
          <w:rFonts w:eastAsia="微软雅黑"/>
        </w:rPr>
        <w:t>若样本同时检出敏感突变和耐药突变，用药时请综合考虑。</w:t>
      </w:r>
      <w:bookmarkEnd w:id="12"/>
      <w:bookmarkEnd w:id="13"/>
      <w:bookmarkEnd w:id="14"/>
      <w:bookmarkEnd w:id="15"/>
    </w:p>
    <w:p>
      <w:pPr>
        <w:pStyle w:val="3"/>
        <w:numPr>
          <w:ilvl w:val="0"/>
          <w:numId w:val="2"/>
        </w:numPr>
        <w:ind w:left="0"/>
        <w:rPr>
          <w:rFonts w:ascii="Times New Roman" w:hAnsi="Times New Roman" w:eastAsia="微软雅黑"/>
          <w:lang w:eastAsia="zh-CN"/>
        </w:rPr>
      </w:pPr>
      <w:bookmarkStart w:id="16" w:name="_Toc92381254"/>
      <w:bookmarkStart w:id="17" w:name="_Toc27011"/>
      <w:r>
        <w:rPr>
          <w:rFonts w:ascii="Times New Roman" w:hAnsi="Times New Roman" w:eastAsia="微软雅黑"/>
          <w:lang w:eastAsia="zh-CN"/>
        </w:rPr>
        <w:t>靶向药物提示汇总</w:t>
      </w:r>
      <w:bookmarkEnd w:id="16"/>
      <w:bookmarkEnd w:id="17"/>
    </w:p>
    <w:tbl>
      <w:tblPr>
        <w:tblStyle w:val="31"/>
        <w:tblW w:w="5000" w:type="pct"/>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0" w:type="dxa"/>
          <w:bottom w:w="0" w:type="dxa"/>
          <w:right w:w="0" w:type="dxa"/>
        </w:tblCellMar>
      </w:tblPr>
      <w:tblGrid>
        <w:gridCol w:w="969"/>
        <w:gridCol w:w="1147"/>
        <w:gridCol w:w="1649"/>
        <w:gridCol w:w="1143"/>
        <w:gridCol w:w="2392"/>
        <w:gridCol w:w="2400"/>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510" w:hRule="atLeast"/>
          <w:tblHeader/>
          <w:jc w:val="center"/>
        </w:trPr>
        <w:tc>
          <w:tcPr>
            <w:tcW w:w="500" w:type="pct"/>
            <w:tcBorders>
              <w:tl2br w:val="nil"/>
              <w:tr2bl w:val="nil"/>
            </w:tcBorders>
            <w:shd w:val="clear" w:color="auto" w:fill="43A5A1"/>
            <w:vAlign w:val="center"/>
          </w:tcPr>
          <w:p>
            <w:pPr>
              <w:pStyle w:val="33"/>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91" w:type="pct"/>
            <w:tcBorders>
              <w:tl2br w:val="nil"/>
              <w:tr2bl w:val="nil"/>
            </w:tcBorders>
            <w:shd w:val="clear" w:color="auto" w:fill="43A5A1"/>
            <w:vAlign w:val="center"/>
          </w:tcPr>
          <w:p>
            <w:pPr>
              <w:pStyle w:val="33"/>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50" w:type="pct"/>
            <w:tcBorders>
              <w:tl2br w:val="nil"/>
              <w:tr2bl w:val="nil"/>
            </w:tcBorders>
            <w:shd w:val="clear" w:color="auto" w:fill="43A5A1"/>
            <w:vAlign w:val="center"/>
          </w:tcPr>
          <w:p>
            <w:pPr>
              <w:pStyle w:val="33"/>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589" w:type="pct"/>
            <w:tcBorders>
              <w:tl2br w:val="nil"/>
              <w:tr2bl w:val="nil"/>
            </w:tcBorders>
            <w:shd w:val="clear" w:color="auto" w:fill="43A5A1"/>
            <w:vAlign w:val="center"/>
          </w:tcPr>
          <w:p>
            <w:pPr>
              <w:pStyle w:val="33"/>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NDF值</w:t>
            </w:r>
          </w:p>
        </w:tc>
        <w:tc>
          <w:tcPr>
            <w:tcW w:w="1233" w:type="pct"/>
            <w:tcBorders>
              <w:tl2br w:val="nil"/>
              <w:tr2bl w:val="nil"/>
            </w:tcBorders>
            <w:shd w:val="clear" w:color="auto" w:fill="43A5A1"/>
            <w:vAlign w:val="center"/>
          </w:tcPr>
          <w:p>
            <w:pPr>
              <w:pStyle w:val="33"/>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233" w:type="pct"/>
            <w:tcBorders>
              <w:tl2br w:val="nil"/>
              <w:tr2bl w:val="nil"/>
            </w:tcBorders>
            <w:shd w:val="clear" w:color="auto" w:fill="43A5A1"/>
            <w:vAlign w:val="center"/>
          </w:tcPr>
          <w:p>
            <w:pPr>
              <w:pStyle w:val="33"/>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797" w:hRule="atLeast"/>
          <w:jc w:val="center"/>
        </w:trPr>
        <w:tc>
          <w:tcPr>
            <w:tcW w:w="5000" w:type="pct"/>
            <w:gridSpan w:val="6"/>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797" w:hRule="atLeast"/>
          <w:jc w:val="center"/>
        </w:trPr>
        <w:tc>
          <w:tcPr>
            <w:tcW w:w="5000" w:type="pct"/>
            <w:gridSpan w:val="6"/>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438" w:hRule="atLeast"/>
          <w:jc w:val="center"/>
        </w:trPr>
        <w:tc>
          <w:tcPr>
            <w:tcW w:w="500"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62" w:right="163"/>
              <w:jc w:val="center"/>
              <w:textAlignment w:val="auto"/>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91"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62" w:right="163"/>
              <w:jc w:val="center"/>
              <w:textAlignment w:val="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850"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16" w:right="116"/>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589"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33"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233"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025" w:hRule="atLeast"/>
          <w:jc w:val="center"/>
        </w:trPr>
        <w:tc>
          <w:tcPr>
            <w:tcW w:w="5000" w:type="pct"/>
            <w:gridSpan w:val="6"/>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752" w:hRule="atLeast"/>
          <w:jc w:val="center"/>
        </w:trPr>
        <w:tc>
          <w:tcPr>
            <w:tcW w:w="5000" w:type="pct"/>
            <w:gridSpan w:val="6"/>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404" w:hRule="atLeast"/>
          <w:jc w:val="center"/>
        </w:trPr>
        <w:tc>
          <w:tcPr>
            <w:tcW w:w="500"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62" w:right="163"/>
              <w:jc w:val="center"/>
              <w:textAlignment w:val="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91"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62" w:right="163"/>
              <w:jc w:val="center"/>
              <w:textAlignment w:val="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850"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16" w:right="116"/>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589"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jc w:val="center"/>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33"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233"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790" w:hRule="atLeast"/>
          <w:jc w:val="center"/>
        </w:trPr>
        <w:tc>
          <w:tcPr>
            <w:tcW w:w="5000" w:type="pct"/>
            <w:gridSpan w:val="6"/>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764" w:hRule="atLeast"/>
          <w:jc w:val="center"/>
        </w:trPr>
        <w:tc>
          <w:tcPr>
            <w:tcW w:w="5000" w:type="pct"/>
            <w:gridSpan w:val="6"/>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404" w:hRule="atLeast"/>
          <w:jc w:val="center"/>
        </w:trPr>
        <w:tc>
          <w:tcPr>
            <w:tcW w:w="500"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62" w:right="163"/>
              <w:jc w:val="center"/>
              <w:textAlignment w:val="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91"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62" w:right="163"/>
              <w:jc w:val="center"/>
              <w:textAlignment w:val="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850"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16" w:right="116"/>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589"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233"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233"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keepNext w:val="0"/>
              <w:keepLines w:val="0"/>
              <w:pageBreakBefore w:val="0"/>
              <w:widowControl w:val="0"/>
              <w:kinsoku/>
              <w:wordWrap/>
              <w:overflowPunct/>
              <w:topLinePunct w:val="0"/>
              <w:autoSpaceDE/>
              <w:autoSpaceDN/>
              <w:bidi w:val="0"/>
              <w:adjustRightInd/>
              <w:snapToGrid/>
              <w:spacing w:after="0"/>
              <w:jc w:val="center"/>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729" w:hRule="atLeast"/>
          <w:jc w:val="center"/>
        </w:trPr>
        <w:tc>
          <w:tcPr>
            <w:tcW w:w="5000" w:type="pct"/>
            <w:gridSpan w:val="6"/>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774" w:hRule="atLeast"/>
          <w:jc w:val="center"/>
        </w:trPr>
        <w:tc>
          <w:tcPr>
            <w:tcW w:w="5000" w:type="pct"/>
            <w:gridSpan w:val="6"/>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1404" w:hRule="atLeast"/>
          <w:jc w:val="center"/>
        </w:trPr>
        <w:tc>
          <w:tcPr>
            <w:tcW w:w="500"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62" w:right="163"/>
              <w:jc w:val="center"/>
              <w:textAlignment w:val="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91"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62" w:right="163"/>
              <w:jc w:val="center"/>
              <w:textAlignment w:val="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850"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16" w:right="116"/>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89"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16" w:right="116"/>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233"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16" w:right="116"/>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233" w:type="pct"/>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ind w:left="116" w:right="116"/>
              <w:jc w:val="center"/>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0" w:type="dxa"/>
            <w:bottom w:w="0" w:type="dxa"/>
            <w:right w:w="0" w:type="dxa"/>
          </w:tblCellMar>
        </w:tblPrEx>
        <w:trPr>
          <w:trHeight w:val="752" w:hRule="atLeast"/>
          <w:jc w:val="center"/>
        </w:trPr>
        <w:tc>
          <w:tcPr>
            <w:tcW w:w="5000" w:type="pct"/>
            <w:gridSpan w:val="6"/>
            <w:tcBorders>
              <w:tl2br w:val="nil"/>
              <w:tr2bl w:val="nil"/>
            </w:tcBorders>
            <w:shd w:val="clear" w:color="auto" w:fill="F2F2F2"/>
            <w:vAlign w:val="center"/>
          </w:tcPr>
          <w:p>
            <w:pPr>
              <w:keepNext w:val="0"/>
              <w:keepLines w:val="0"/>
              <w:pageBreakBefore w:val="0"/>
              <w:widowControl w:val="0"/>
              <w:kinsoku/>
              <w:wordWrap/>
              <w:overflowPunct/>
              <w:topLinePunct w:val="0"/>
              <w:autoSpaceDE/>
              <w:autoSpaceDN/>
              <w:bidi w:val="0"/>
              <w:adjustRightInd/>
              <w:snapToGrid/>
              <w:spacing w:after="0" w:line="249" w:lineRule="auto"/>
              <w:ind w:left="262" w:right="131"/>
              <w:jc w:val="center"/>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eastAsia="微软雅黑"/>
          <w:b/>
          <w:bCs/>
          <w:sz w:val="18"/>
          <w:szCs w:val="18"/>
          <w:lang w:val="en-US" w:eastAsia="zh-CN"/>
        </w:rPr>
      </w:pPr>
      <w:r>
        <w:rPr>
          <w:rFonts w:hint="eastAsia" w:eastAsia="微软雅黑"/>
          <w:b/>
          <w:bCs/>
          <w:sz w:val="18"/>
          <w:szCs w:val="18"/>
          <w:lang w:val="en-US" w:eastAsia="zh-CN"/>
        </w:rPr>
        <w:t>注：</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eastAsia="微软雅黑"/>
          <w:bCs/>
          <w:sz w:val="18"/>
          <w:szCs w:val="18"/>
        </w:rPr>
      </w:pPr>
      <w:r>
        <w:rPr>
          <w:rFonts w:hint="eastAsia" w:eastAsia="微软雅黑"/>
          <w:bCs/>
          <w:sz w:val="18"/>
          <w:szCs w:val="18"/>
        </w:rPr>
        <w:t>本报告所列举的药物或基因变异并未按照基因或者药物的重要性排序，具体决策需参照临床实际。</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可能耐药药物：FDA/NMPA已经批准的、NCCN指南推荐的、临床试验或者临床研究有明确结果的、药物敏感性可能降低或产生耐药的靶向药物。</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“-”表示该位点无相应靶向药物提示。</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*标注的药物：NMPA批准的靶向药物。</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分析注释时采用RefSeq转录本编号。</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变异丰度：在某位点产生突变的等位基因在该位点全部等位基因中所占比率。</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default" w:ascii="Times New Roman" w:hAnsi="Times New Roman" w:eastAsia="微软雅黑" w:cs="Times New Roman"/>
          <w:color w:val="auto"/>
          <w:sz w:val="18"/>
          <w:szCs w:val="18"/>
        </w:rPr>
        <w:t>若该基因发生的是融合突变，NDF值指该位点的融合支持Reads数占样本总Reads数的比例的对数值（log 值）。</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基因变异检测结果：</w:t>
      </w:r>
      <w:r>
        <w:rPr>
          <w:rFonts w:hint="eastAsia" w:eastAsia="微软雅黑"/>
          <w:bCs/>
          <w:sz w:val="18"/>
          <w:szCs w:val="18"/>
          <w:lang w:eastAsia="zh-CN"/>
        </w:rPr>
        <w:t>“NM”为基因的转录本编号，</w:t>
      </w:r>
      <w:r>
        <w:rPr>
          <w:rFonts w:hint="eastAsia" w:eastAsia="微软雅黑"/>
          <w:bCs/>
          <w:sz w:val="18"/>
          <w:szCs w:val="18"/>
        </w:rPr>
        <w:t>“exon”为外显子，“intron”为内含子，“c”为DNA序列，“p”为蛋白质。在DNA水平对某一突变位点的描述方式包括：碱基位点，正常碱基，“&gt;”符号，突变碱基。{% if complex == True %}</w:t>
      </w:r>
    </w:p>
    <w:p>
      <w:pPr>
        <w:keepNext w:val="0"/>
        <w:keepLines w:val="0"/>
        <w:pageBreakBefore w:val="0"/>
        <w:widowControl w:val="0"/>
        <w:numPr>
          <w:ilvl w:val="0"/>
          <w:numId w:val="3"/>
        </w:numPr>
        <w:kinsoku/>
        <w:wordWrap/>
        <w:overflowPunct/>
        <w:topLinePunct w:val="0"/>
        <w:autoSpaceDE/>
        <w:autoSpaceDN/>
        <w:bidi w:val="0"/>
        <w:adjustRightInd/>
        <w:snapToGrid/>
        <w:spacing w:after="0" w:line="240" w:lineRule="auto"/>
        <w:ind w:left="295" w:hanging="295"/>
        <w:textAlignment w:val="auto"/>
        <w:rPr>
          <w:rFonts w:hint="eastAsia" w:eastAsia="微软雅黑"/>
          <w:bCs/>
          <w:sz w:val="18"/>
          <w:szCs w:val="18"/>
        </w:rPr>
      </w:pPr>
      <w:r>
        <w:rPr>
          <w:rFonts w:hint="eastAsia" w:eastAsia="微软雅黑"/>
          <w:bCs/>
          <w:sz w:val="18"/>
          <w:szCs w:val="18"/>
        </w:rPr>
        <w:t>多靶点循证检测结果中的符号意义：“+”表示“并且”，“/”表示“或者”，“!”表示“不满足”。{% endif %}</w:t>
      </w:r>
    </w:p>
    <w:p>
      <w:pPr>
        <w:pStyle w:val="67"/>
        <w:adjustRightInd w:val="0"/>
        <w:snapToGrid w:val="0"/>
        <w:rPr>
          <w:rFonts w:eastAsia="微软雅黑"/>
          <w:sz w:val="28"/>
          <w:szCs w:val="28"/>
        </w:rPr>
      </w:pPr>
    </w:p>
    <w:p>
      <w:pPr>
        <w:pStyle w:val="67"/>
        <w:adjustRightInd w:val="0"/>
        <w:snapToGrid w:val="0"/>
        <w:rPr>
          <w:rFonts w:eastAsia="微软雅黑"/>
          <w:sz w:val="28"/>
          <w:szCs w:val="28"/>
        </w:rPr>
        <w:sectPr>
          <w:pgSz w:w="11850" w:h="16783"/>
          <w:pgMar w:top="1440" w:right="1080" w:bottom="1440" w:left="1080" w:header="567" w:footer="720" w:gutter="0"/>
          <w:pgBorders>
            <w:top w:val="none" w:sz="0" w:space="0"/>
            <w:left w:val="none" w:sz="0" w:space="0"/>
            <w:bottom w:val="none" w:sz="0" w:space="0"/>
            <w:right w:val="none" w:sz="0" w:space="0"/>
          </w:pgBorders>
          <w:cols w:space="720" w:num="1"/>
        </w:sectPr>
      </w:pPr>
    </w:p>
    <w:p>
      <w:pPr>
        <w:jc w:val="center"/>
        <w:outlineLvl w:val="0"/>
        <w:rPr>
          <w:rFonts w:eastAsia="微软雅黑"/>
          <w:color w:val="FFFFFF" w:themeColor="background1"/>
          <w:sz w:val="36"/>
          <w:szCs w:val="36"/>
          <w:shd w:val="clear" w:color="auto" w:fill="41A5A1"/>
          <w14:textFill>
            <w14:solidFill>
              <w14:schemeClr w14:val="bg1"/>
            </w14:solidFill>
          </w14:textFill>
        </w:rPr>
      </w:pPr>
      <w:bookmarkStart w:id="18" w:name="_Toc29336_WPSOffice_Level1"/>
      <w:bookmarkStart w:id="19" w:name="_Toc16944"/>
      <w:r>
        <w:rPr>
          <w:rFonts w:eastAsia="微软雅黑"/>
          <w:color w:val="FFFFFF" w:themeColor="background1"/>
          <w:sz w:val="36"/>
          <w:szCs w:val="36"/>
          <w:shd w:val="clear" w:color="auto" w:fill="41A5A1"/>
          <w14:textFill>
            <w14:solidFill>
              <w14:schemeClr w14:val="bg1"/>
            </w14:solidFill>
          </w14:textFill>
        </w:rPr>
        <w:t>附录</w:t>
      </w:r>
      <w:bookmarkEnd w:id="18"/>
      <w:bookmarkEnd w:id="19"/>
    </w:p>
    <w:p>
      <w:pPr>
        <w:rPr>
          <w:rFonts w:eastAsia="微软雅黑"/>
          <w:sz w:val="28"/>
          <w:szCs w:val="28"/>
        </w:rPr>
      </w:pPr>
    </w:p>
    <w:p>
      <w:pPr>
        <w:numPr>
          <w:ilvl w:val="0"/>
          <w:numId w:val="4"/>
        </w:numPr>
        <w:tabs>
          <w:tab w:val="clear" w:pos="312"/>
        </w:tabs>
        <w:outlineLvl w:val="1"/>
        <w:rPr>
          <w:rFonts w:eastAsia="微软雅黑"/>
          <w:b/>
          <w:sz w:val="30"/>
          <w:szCs w:val="30"/>
        </w:rPr>
      </w:pPr>
      <w:bookmarkStart w:id="20" w:name="_Toc12289"/>
      <w:bookmarkStart w:id="21" w:name="_Toc13828_WPSOffice_Level1"/>
      <w:r>
        <w:rPr>
          <w:rFonts w:eastAsia="微软雅黑"/>
          <w:b/>
          <w:sz w:val="30"/>
          <w:szCs w:val="30"/>
        </w:rPr>
        <w:t>基因变异及靶向药物结果解析</w:t>
      </w:r>
      <w:bookmarkEnd w:id="20"/>
      <w:bookmarkEnd w:id="21"/>
    </w:p>
    <w:p>
      <w:pPr>
        <w:keepNext w:val="0"/>
        <w:keepLines w:val="0"/>
        <w:pageBreakBefore w:val="0"/>
        <w:widowControl/>
        <w:kinsoku/>
        <w:wordWrap/>
        <w:overflowPunct/>
        <w:topLinePunct w:val="0"/>
        <w:autoSpaceDE/>
        <w:autoSpaceDN/>
        <w:bidi w:val="0"/>
        <w:adjustRightInd/>
        <w:snapToGrid/>
        <w:spacing w:after="0" w:line="260" w:lineRule="auto"/>
        <w:textAlignment w:val="auto"/>
        <w:rPr>
          <w:rFonts w:eastAsia="微软雅黑"/>
        </w:rPr>
      </w:pPr>
      <w:r>
        <w:rPr>
          <w:rFonts w:hint="eastAsia" w:ascii="Times New Roman" w:hAnsi="Times New Roman" w:eastAsia="微软雅黑" w:cs="Times New Roman"/>
          <w:b w:val="0"/>
          <w:bCs/>
          <w:sz w:val="18"/>
          <w:szCs w:val="18"/>
        </w:rPr>
        <w:t xml:space="preserve">{% if </w:t>
      </w:r>
      <w:r>
        <w:rPr>
          <w:rFonts w:hint="default" w:ascii="Times New Roman" w:hAnsi="Times New Roman" w:eastAsia="微软雅黑" w:cs="Times New Roman"/>
          <w:b w:val="0"/>
          <w:bCs/>
          <w:sz w:val="18"/>
          <w:szCs w:val="18"/>
          <w:lang w:eastAsia="zh-CN"/>
        </w:rPr>
        <w:t>BodyDrugDrugDetectionStr</w:t>
      </w:r>
      <w:r>
        <w:rPr>
          <w:rFonts w:hint="eastAsia" w:ascii="Times New Roman" w:hAnsi="Times New Roman" w:eastAsia="微软雅黑" w:cs="Times New Roman"/>
          <w:b w:val="0"/>
          <w:bCs/>
          <w:sz w:val="18"/>
          <w:szCs w:val="18"/>
          <w:lang w:val="en-US" w:eastAsia="zh-CN"/>
        </w:rPr>
        <w:t xml:space="preserve"> </w:t>
      </w:r>
      <w:r>
        <w:rPr>
          <w:rFonts w:hint="eastAsia" w:ascii="Times New Roman" w:hAnsi="Times New Roman" w:eastAsia="微软雅黑" w:cs="Times New Roman"/>
          <w:b w:val="0"/>
          <w:bCs/>
          <w:sz w:val="18"/>
          <w:szCs w:val="18"/>
        </w:rPr>
        <w:t>== [] and unknownVarAnalysisStr == [] %}</w:t>
      </w:r>
      <w:r>
        <w:rPr>
          <w:rFonts w:eastAsia="微软雅黑"/>
          <w:bCs/>
          <w:sz w:val="18"/>
          <w:szCs w:val="18"/>
        </w:rPr>
        <w:t>未检出靶向用药相关的</w:t>
      </w:r>
      <w:r>
        <w:rPr>
          <w:rFonts w:hint="eastAsia" w:eastAsia="微软雅黑"/>
          <w:bCs/>
          <w:sz w:val="18"/>
          <w:szCs w:val="18"/>
          <w:lang w:val="en-US" w:eastAsia="zh-CN"/>
        </w:rPr>
        <w:t>变异位点</w:t>
      </w:r>
      <w:r>
        <w:rPr>
          <w:rFonts w:eastAsia="微软雅黑"/>
          <w:bCs/>
          <w:sz w:val="18"/>
          <w:szCs w:val="18"/>
        </w:rPr>
        <w:t>；未检出未知临床意义</w:t>
      </w:r>
      <w:r>
        <w:rPr>
          <w:rFonts w:hint="eastAsia" w:eastAsia="微软雅黑"/>
          <w:bCs/>
          <w:sz w:val="18"/>
          <w:szCs w:val="18"/>
          <w:lang w:val="en-US" w:eastAsia="zh-CN"/>
        </w:rPr>
        <w:t>变异位点</w:t>
      </w:r>
      <w:r>
        <w:rPr>
          <w:rFonts w:eastAsia="微软雅黑"/>
          <w:bCs/>
          <w:sz w:val="18"/>
          <w:szCs w:val="18"/>
        </w:rPr>
        <w:t>。{% endif %}</w:t>
      </w:r>
    </w:p>
    <w:p>
      <w:pPr>
        <w:spacing w:before="26" w:after="120" w:afterLines="50"/>
        <w:rPr>
          <w:rFonts w:eastAsia="微软雅黑"/>
          <w:b/>
          <w:color w:val="43A5A1"/>
        </w:rPr>
      </w:pPr>
      <w:bookmarkStart w:id="22" w:name="_Toc23606"/>
      <w:bookmarkStart w:id="23" w:name="_Toc19234"/>
      <w:bookmarkStart w:id="24" w:name="_Toc32302"/>
      <w:bookmarkStart w:id="25" w:name="_Toc6634"/>
      <w:bookmarkStart w:id="26" w:name="_Toc32443_WPSOffice_Level2"/>
      <w:bookmarkStart w:id="27" w:name="_Toc4331_WPSOffice_Level2"/>
      <w:bookmarkStart w:id="28" w:name="_Toc14159"/>
      <w:r>
        <w:rPr>
          <w:rFonts w:hint="eastAsia" w:eastAsia="微软雅黑"/>
          <w:b/>
          <w:color w:val="43A5A1"/>
        </w:rPr>
        <w:t>{%if BodyDrugDrugDetectionStr or unknownVarAnalysisStr %}</w:t>
      </w:r>
      <w:bookmarkEnd w:id="22"/>
      <w:bookmarkEnd w:id="23"/>
      <w:bookmarkEnd w:id="24"/>
      <w:bookmarkEnd w:id="25"/>
      <w:bookmarkEnd w:id="26"/>
      <w:bookmarkEnd w:id="27"/>
      <w:bookmarkEnd w:id="28"/>
      <w:r>
        <w:rPr>
          <w:rFonts w:hint="eastAsia" w:eastAsia="微软雅黑"/>
          <w:b/>
          <w:color w:val="43A5A1"/>
          <w:lang w:val="en-US" w:eastAsia="zh-CN"/>
        </w:rPr>
        <w:t>变异位点结果解析</w:t>
      </w:r>
      <w:r>
        <w:rPr>
          <w:rFonts w:hint="eastAsia" w:eastAsia="微软雅黑"/>
          <w:b/>
          <w:color w:val="43A5A1"/>
          <w:lang w:bidi="ar"/>
        </w:rPr>
        <w:t>{% for tdd in BodyDrugNoComplexStr %}</w:t>
      </w:r>
    </w:p>
    <w:p>
      <w:pPr>
        <w:keepNext/>
        <w:keepLines w:val="0"/>
        <w:pageBreakBefore w:val="0"/>
        <w:widowControl w:val="0"/>
        <w:kinsoku/>
        <w:wordWrap/>
        <w:overflowPunct/>
        <w:topLinePunct w:val="0"/>
        <w:autoSpaceDE/>
        <w:autoSpaceDN/>
        <w:bidi w:val="0"/>
        <w:adjustRightInd/>
        <w:snapToGrid/>
        <w:spacing w:before="0" w:beforeLines="100" w:after="0" w:afterLines="50" w:line="260" w:lineRule="auto"/>
        <w:textAlignment w:val="auto"/>
        <w:rPr>
          <w:rFonts w:ascii="Times New Roman" w:hAnsi="Times New Roman" w:eastAsia="微软雅黑" w:cs="Times New Roman"/>
          <w:b/>
          <w:color w:val="43A5A1"/>
          <w:sz w:val="24"/>
          <w:szCs w:val="24"/>
          <w:lang w:eastAsia="zh-CN"/>
        </w:rPr>
      </w:pPr>
      <w:r>
        <w:rPr>
          <w:rFonts w:eastAsia="微软雅黑"/>
          <w:b/>
          <w:color w:val="43A5A1"/>
          <w:lang w:bidi="ar"/>
        </w:rPr>
        <w:t>{{ tdd.gene }}</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432"/>
        <w:gridCol w:w="1191"/>
        <w:gridCol w:w="824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hint="default" w:ascii="Times New Roman" w:hAnsi="Times New Roman" w:eastAsia="微软雅黑" w:cs="Times New Roman"/>
                <w:b/>
                <w:color w:val="43A5A1"/>
                <w:sz w:val="18"/>
                <w:szCs w:val="18"/>
                <w:lang w:val="en-US" w:eastAsia="zh-CN"/>
              </w:rPr>
            </w:pPr>
            <w:r>
              <w:rPr>
                <w:rFonts w:hint="eastAsia" w:eastAsia="微软雅黑" w:cs="Times New Roman"/>
                <w:b/>
                <w:color w:val="43A5A1"/>
                <w:sz w:val="18"/>
                <w:szCs w:val="18"/>
                <w:highlight w:val="none"/>
                <w:lang w:val="en-US" w:eastAsia="zh-CN"/>
              </w:rPr>
              <w:t>变异丰度/NDF值</w:t>
            </w:r>
          </w:p>
        </w:tc>
        <w:tc>
          <w:tcPr>
            <w:tcW w:w="824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color w:val="43A5A1"/>
                <w:sz w:val="18"/>
                <w:szCs w:val="18"/>
                <w:lang w:eastAsia="zh-CN"/>
              </w:rPr>
            </w:pPr>
            <w:r>
              <w:rPr>
                <w:rFonts w:ascii="Times New Roman" w:hAnsi="Times New Roman" w:eastAsia="微软雅黑" w:cs="Times New Roman"/>
                <w:b/>
                <w:color w:val="43A5A1"/>
                <w:sz w:val="18"/>
                <w:szCs w:val="18"/>
                <w:lang w:eastAsia="zh-CN"/>
              </w:rPr>
              <w:t>潜在获益药物</w:t>
            </w:r>
          </w:p>
        </w:tc>
        <w:tc>
          <w:tcPr>
            <w:tcW w:w="1191" w:type="dxa"/>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潜在耐药信息</w:t>
            </w:r>
          </w:p>
        </w:tc>
        <w:tc>
          <w:tcPr>
            <w:tcW w:w="1191"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line="240" w:lineRule="auto"/>
              <w:jc w:val="center"/>
              <w:textAlignment w:val="auto"/>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基因突变相关说明</w:t>
            </w:r>
          </w:p>
        </w:tc>
        <w:tc>
          <w:tcPr>
            <w:tcW w:w="824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keepLines w:val="0"/>
              <w:pageBreakBefore w:val="0"/>
              <w:widowControl/>
              <w:kinsoku/>
              <w:wordWrap/>
              <w:overflowPunct/>
              <w:topLinePunct w:val="0"/>
              <w:autoSpaceDE/>
              <w:autoSpaceDN/>
              <w:bidi w:val="0"/>
              <w:adjustRightInd/>
              <w:snapToGrid/>
              <w:spacing w:before="26" w:after="0" w:line="240"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keepNext w:val="0"/>
        <w:keepLines w:val="0"/>
        <w:pageBreakBefore w:val="0"/>
        <w:widowControl/>
        <w:kinsoku/>
        <w:wordWrap/>
        <w:overflowPunct/>
        <w:topLinePunct w:val="0"/>
        <w:autoSpaceDE/>
        <w:autoSpaceDN/>
        <w:bidi w:val="0"/>
        <w:adjustRightInd/>
        <w:snapToGrid/>
        <w:spacing w:before="26" w:after="0" w:line="240" w:lineRule="auto"/>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color w:val="43A5A1"/>
          <w:sz w:val="24"/>
          <w:lang w:eastAsia="zh-CN"/>
        </w:rPr>
      </w:pPr>
      <w:r>
        <w:rPr>
          <w:rFonts w:ascii="Times New Roman" w:hAnsi="Times New Roman" w:eastAsia="微软雅黑" w:cs="Times New Roman"/>
          <w:b/>
          <w:color w:val="43A5A1"/>
          <w:sz w:val="24"/>
          <w:lang w:eastAsia="zh-CN"/>
        </w:rPr>
        <w:t>潜在受益药物研究信息：</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keepLines w:val="0"/>
              <w:pageBreakBefore w:val="0"/>
              <w:widowControl/>
              <w:kinsoku/>
              <w:wordWrap/>
              <w:overflowPunct/>
              <w:topLinePunct w:val="0"/>
              <w:autoSpaceDE/>
              <w:autoSpaceDN/>
              <w:bidi w:val="0"/>
              <w:adjustRightInd/>
              <w:snapToGrid/>
              <w:spacing w:before="26" w:after="0" w:line="240" w:lineRule="auto"/>
              <w:ind w:right="131"/>
              <w:jc w:val="center"/>
              <w:textAlignment w:val="auto"/>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keepNext w:val="0"/>
        <w:keepLines w:val="0"/>
        <w:pageBreakBefore w:val="0"/>
        <w:widowControl/>
        <w:kinsoku/>
        <w:wordWrap/>
        <w:overflowPunct/>
        <w:topLinePunct w:val="0"/>
        <w:autoSpaceDE/>
        <w:autoSpaceDN/>
        <w:bidi w:val="0"/>
        <w:adjustRightInd/>
        <w:snapToGrid/>
        <w:spacing w:before="26" w:after="0" w:line="240" w:lineRule="auto"/>
        <w:textAlignment w:val="auto"/>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潜在耐药研究信息：</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keepLines w:val="0"/>
              <w:pageBreakBefore w:val="0"/>
              <w:widowControl/>
              <w:kinsoku/>
              <w:wordWrap/>
              <w:overflowPunct/>
              <w:topLinePunct w:val="0"/>
              <w:autoSpaceDE/>
              <w:autoSpaceDN/>
              <w:bidi w:val="0"/>
              <w:adjustRightInd/>
              <w:snapToGrid/>
              <w:spacing w:before="26" w:after="0" w:line="240" w:lineRule="auto"/>
              <w:ind w:right="131"/>
              <w:jc w:val="center"/>
              <w:textAlignment w:val="auto"/>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keepNext w:val="0"/>
        <w:keepLines w:val="0"/>
        <w:pageBreakBefore w:val="0"/>
        <w:widowControl/>
        <w:kinsoku/>
        <w:wordWrap/>
        <w:overflowPunct/>
        <w:topLinePunct w:val="0"/>
        <w:autoSpaceDE/>
        <w:autoSpaceDN/>
        <w:bidi w:val="0"/>
        <w:adjustRightInd/>
        <w:snapToGrid/>
        <w:spacing w:before="26" w:after="0" w:line="240" w:lineRule="auto"/>
        <w:textAlignment w:val="auto"/>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临床试验信息</w:t>
      </w:r>
    </w:p>
    <w:tbl>
      <w:tblPr>
        <w:tblStyle w:val="24"/>
        <w:tblpPr w:leftFromText="180" w:rightFromText="180" w:vertAnchor="text" w:tblpXSpec="center" w:tblpY="1"/>
        <w:tblOverlap w:val="never"/>
        <w:tblW w:w="9870" w:type="dxa"/>
        <w:jc w:val="center"/>
        <w:tblBorders>
          <w:top w:val="single" w:color="244061" w:sz="4" w:space="0"/>
          <w:left w:val="single" w:color="244061" w:sz="4" w:space="0"/>
          <w:bottom w:val="single" w:color="244061" w:sz="4" w:space="0"/>
          <w:right w:val="single" w:color="244061" w:sz="4" w:space="0"/>
          <w:insideH w:val="single" w:color="244061" w:sz="4" w:space="0"/>
          <w:insideV w:val="single" w:color="244061"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244061" w:sz="4" w:space="0"/>
            <w:left w:val="single" w:color="244061" w:sz="4" w:space="0"/>
            <w:bottom w:val="single" w:color="244061" w:sz="4" w:space="0"/>
            <w:right w:val="single" w:color="244061" w:sz="4" w:space="0"/>
            <w:insideH w:val="single" w:color="244061" w:sz="4" w:space="0"/>
            <w:insideV w:val="single" w:color="244061" w:sz="4" w:space="0"/>
          </w:tblBorders>
          <w:tblCellMar>
            <w:top w:w="0" w:type="dxa"/>
            <w:left w:w="108" w:type="dxa"/>
            <w:bottom w:w="0" w:type="dxa"/>
            <w:right w:w="108" w:type="dxa"/>
          </w:tblCellMar>
        </w:tblPrEx>
        <w:trPr>
          <w:trHeight w:val="420" w:hRule="atLeast"/>
          <w:jc w:val="center"/>
        </w:trPr>
        <w:tc>
          <w:tcPr>
            <w:tcW w:w="16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244061" w:sz="4" w:space="0"/>
            <w:left w:val="single" w:color="244061" w:sz="4" w:space="0"/>
            <w:bottom w:val="single" w:color="244061" w:sz="4" w:space="0"/>
            <w:right w:val="single" w:color="244061" w:sz="4" w:space="0"/>
            <w:insideH w:val="single" w:color="244061" w:sz="4" w:space="0"/>
            <w:insideV w:val="single" w:color="244061" w:sz="4" w:space="0"/>
          </w:tblBorders>
          <w:tblCellMar>
            <w:top w:w="0" w:type="dxa"/>
            <w:left w:w="108" w:type="dxa"/>
            <w:bottom w:w="0" w:type="dxa"/>
            <w:right w:w="108" w:type="dxa"/>
          </w:tblCellMar>
        </w:tblPrEx>
        <w:trPr>
          <w:jc w:val="center"/>
        </w:trPr>
        <w:tc>
          <w:tcPr>
            <w:tcW w:w="9870" w:type="dxa"/>
            <w:gridSpan w:val="6"/>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244061" w:sz="4" w:space="0"/>
            <w:left w:val="single" w:color="244061" w:sz="4" w:space="0"/>
            <w:bottom w:val="single" w:color="244061" w:sz="4" w:space="0"/>
            <w:right w:val="single" w:color="244061" w:sz="4" w:space="0"/>
            <w:insideH w:val="single" w:color="244061" w:sz="4" w:space="0"/>
            <w:insideV w:val="single" w:color="244061" w:sz="4" w:space="0"/>
          </w:tblBorders>
          <w:tblCellMar>
            <w:top w:w="0" w:type="dxa"/>
            <w:left w:w="108" w:type="dxa"/>
            <w:bottom w:w="0" w:type="dxa"/>
            <w:right w:w="108" w:type="dxa"/>
          </w:tblCellMar>
        </w:tblPrEx>
        <w:trPr>
          <w:jc w:val="center"/>
        </w:trPr>
        <w:tc>
          <w:tcPr>
            <w:tcW w:w="164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pPr>
              <w:keepLines w:val="0"/>
              <w:pageBreakBefore w:val="0"/>
              <w:widowControl/>
              <w:kinsoku/>
              <w:wordWrap/>
              <w:overflowPunct/>
              <w:topLinePunct w:val="0"/>
              <w:autoSpaceDE/>
              <w:autoSpaceDN/>
              <w:bidi w:val="0"/>
              <w:adjustRightInd/>
              <w:snapToGrid/>
              <w:spacing w:before="26" w:after="0" w:line="240" w:lineRule="auto"/>
              <w:ind w:right="131"/>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244061" w:sz="4" w:space="0"/>
            <w:left w:val="single" w:color="244061" w:sz="4" w:space="0"/>
            <w:bottom w:val="single" w:color="244061" w:sz="4" w:space="0"/>
            <w:right w:val="single" w:color="244061" w:sz="4" w:space="0"/>
            <w:insideH w:val="single" w:color="244061" w:sz="4" w:space="0"/>
            <w:insideV w:val="single" w:color="244061" w:sz="4" w:space="0"/>
          </w:tblBorders>
          <w:tblCellMar>
            <w:top w:w="0" w:type="dxa"/>
            <w:left w:w="108" w:type="dxa"/>
            <w:bottom w:w="0" w:type="dxa"/>
            <w:right w:w="108" w:type="dxa"/>
          </w:tblCellMar>
        </w:tblPrEx>
        <w:trPr>
          <w:jc w:val="center"/>
        </w:trPr>
        <w:tc>
          <w:tcPr>
            <w:tcW w:w="9870" w:type="dxa"/>
            <w:gridSpan w:val="6"/>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keepNext w:val="0"/>
        <w:keepLines w:val="0"/>
        <w:pageBreakBefore w:val="0"/>
        <w:widowControl/>
        <w:kinsoku/>
        <w:wordWrap/>
        <w:overflowPunct/>
        <w:topLinePunct w:val="0"/>
        <w:autoSpaceDE/>
        <w:autoSpaceDN/>
        <w:bidi w:val="0"/>
        <w:adjustRightInd/>
        <w:snapToGrid/>
        <w:spacing w:before="26" w:after="0" w:line="240" w:lineRule="auto"/>
        <w:textAlignment w:val="auto"/>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pPr>
        <w:keepNext/>
        <w:spacing w:before="120" w:beforeLines="50" w:after="120" w:afterLines="50"/>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vus.gene}}</w:t>
      </w:r>
    </w:p>
    <w:tbl>
      <w:tblPr>
        <w:tblStyle w:val="24"/>
        <w:tblpPr w:leftFromText="180" w:rightFromText="180" w:vertAnchor="text" w:tblpXSpec="center" w:tblpY="1"/>
        <w:tblOverlap w:val="never"/>
        <w:tblW w:w="987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43"/>
        <w:gridCol w:w="8027"/>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9" w:hRule="atLeast"/>
        </w:trPr>
        <w:tc>
          <w:tcPr>
            <w:tcW w:w="1843"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6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02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60"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bookmarkEnd w:id="33"/>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43"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6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突变说明</w:t>
            </w:r>
          </w:p>
        </w:tc>
        <w:tc>
          <w:tcPr>
            <w:tcW w:w="802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60"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843"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60" w:lineRule="auto"/>
              <w:jc w:val="center"/>
              <w:textAlignment w:val="auto"/>
              <w:rPr>
                <w:rFonts w:ascii="Times New Roman" w:hAnsi="Times New Roman" w:eastAsia="微软雅黑" w:cs="Times New Roman"/>
                <w:b/>
                <w:color w:val="43A5A1"/>
                <w:sz w:val="18"/>
                <w:szCs w:val="18"/>
                <w:lang w:eastAsia="zh-CN"/>
              </w:rPr>
            </w:pPr>
            <w:bookmarkStart w:id="34" w:name="_GoBack" w:colFirst="0" w:colLast="0"/>
            <w:r>
              <w:rPr>
                <w:rFonts w:ascii="Times New Roman" w:hAnsi="Times New Roman" w:eastAsia="微软雅黑" w:cs="Times New Roman"/>
                <w:b/>
                <w:color w:val="43A5A1"/>
                <w:sz w:val="18"/>
                <w:szCs w:val="18"/>
                <w:lang w:eastAsia="zh-CN"/>
              </w:rPr>
              <w:t>基因说明</w:t>
            </w:r>
          </w:p>
        </w:tc>
        <w:tc>
          <w:tcPr>
            <w:tcW w:w="802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60"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keepNext w:val="0"/>
        <w:keepLines w:val="0"/>
        <w:pageBreakBefore w:val="0"/>
        <w:widowControl/>
        <w:kinsoku/>
        <w:wordWrap/>
        <w:overflowPunct/>
        <w:topLinePunct w:val="0"/>
        <w:autoSpaceDE/>
        <w:autoSpaceDN/>
        <w:bidi w:val="0"/>
        <w:adjustRightInd/>
        <w:snapToGrid/>
        <w:spacing w:before="26" w:after="0" w:line="240" w:lineRule="auto"/>
        <w:textAlignment w:val="auto"/>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color w:val="43A5A1"/>
          <w:sz w:val="24"/>
          <w:szCs w:val="24"/>
          <w:lang w:eastAsia="zh-CN"/>
        </w:rPr>
      </w:pPr>
      <w:r>
        <w:rPr>
          <w:rFonts w:hint="eastAsia" w:ascii="Times New Roman" w:hAnsi="Times New Roman" w:eastAsia="微软雅黑" w:cs="Times New Roman"/>
          <w:b/>
          <w:color w:val="43A5A1"/>
          <w:sz w:val="24"/>
          <w:szCs w:val="24"/>
          <w:lang w:eastAsia="zh-CN"/>
        </w:rPr>
        <w:t>{{ tdd.comutation }}</w:t>
      </w:r>
    </w:p>
    <w:tbl>
      <w:tblPr>
        <w:tblStyle w:val="2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
        <w:gridCol w:w="1191"/>
        <w:gridCol w:w="82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突变形式</w:t>
            </w:r>
          </w:p>
        </w:tc>
        <w:tc>
          <w:tcPr>
            <w:tcW w:w="824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hint="eastAsia" w:eastAsia="微软雅黑" w:cs="Times New Roman"/>
                <w:b/>
                <w:color w:val="43A5A1"/>
                <w:sz w:val="18"/>
                <w:szCs w:val="18"/>
                <w:highlight w:val="none"/>
                <w:lang w:val="en-US" w:eastAsia="zh-CN"/>
              </w:rPr>
              <w:t>变异丰度/NDF值</w:t>
            </w:r>
          </w:p>
        </w:tc>
        <w:tc>
          <w:tcPr>
            <w:tcW w:w="824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color w:val="43A5A1"/>
                <w:sz w:val="18"/>
                <w:szCs w:val="18"/>
                <w:lang w:eastAsia="zh-CN"/>
              </w:rPr>
            </w:pPr>
            <w:r>
              <w:rPr>
                <w:rFonts w:ascii="Times New Roman" w:hAnsi="Times New Roman" w:eastAsia="微软雅黑" w:cs="Times New Roman"/>
                <w:b/>
                <w:color w:val="43A5A1"/>
                <w:sz w:val="18"/>
                <w:szCs w:val="18"/>
                <w:lang w:eastAsia="zh-CN"/>
              </w:rPr>
              <w:t>潜在获益药物</w:t>
            </w:r>
          </w:p>
        </w:tc>
        <w:tc>
          <w:tcPr>
            <w:tcW w:w="1191" w:type="dxa"/>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潜在耐药信息</w:t>
            </w:r>
          </w:p>
        </w:tc>
        <w:tc>
          <w:tcPr>
            <w:tcW w:w="1191"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A级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B级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ascii="Times New Roman" w:hAnsi="Times New Roman" w:eastAsia="微软雅黑" w:cs="Times New Roman"/>
                <w:b/>
                <w:color w:val="43A5A1"/>
                <w:sz w:val="18"/>
                <w:szCs w:val="18"/>
                <w:lang w:eastAsia="zh-CN"/>
              </w:rPr>
              <w:t>C级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p>
        </w:tc>
        <w:tc>
          <w:tcPr>
            <w:tcW w:w="1191"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D</w:t>
            </w:r>
            <w:r>
              <w:rPr>
                <w:rFonts w:ascii="Times New Roman" w:hAnsi="Times New Roman" w:eastAsia="微软雅黑" w:cs="Times New Roman"/>
                <w:b/>
                <w:color w:val="43A5A1"/>
                <w:sz w:val="18"/>
                <w:szCs w:val="18"/>
                <w:lang w:eastAsia="zh-CN"/>
              </w:rPr>
              <w:t>级</w:t>
            </w:r>
          </w:p>
        </w:tc>
        <w:tc>
          <w:tcPr>
            <w:tcW w:w="8247" w:type="dxa"/>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43A5A1"/>
                <w:sz w:val="18"/>
                <w:szCs w:val="18"/>
                <w:lang w:eastAsia="zh-CN"/>
              </w:rPr>
            </w:pPr>
            <w:r>
              <w:rPr>
                <w:rFonts w:hint="eastAsia" w:ascii="Times New Roman" w:hAnsi="Times New Roman" w:eastAsia="微软雅黑" w:cs="Times New Roman"/>
                <w:b/>
                <w:color w:val="43A5A1"/>
                <w:sz w:val="18"/>
                <w:szCs w:val="18"/>
                <w:lang w:eastAsia="zh-CN"/>
              </w:rPr>
              <w:t>基因突变相关说明</w:t>
            </w:r>
          </w:p>
        </w:tc>
        <w:tc>
          <w:tcPr>
            <w:tcW w:w="824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keepLines w:val="0"/>
              <w:pageBreakBefore w:val="0"/>
              <w:widowControl/>
              <w:kinsoku/>
              <w:wordWrap/>
              <w:overflowPunct/>
              <w:topLinePunct w:val="0"/>
              <w:autoSpaceDE/>
              <w:autoSpaceDN/>
              <w:bidi w:val="0"/>
              <w:adjustRightInd/>
              <w:snapToGrid/>
              <w:spacing w:before="26" w:after="0" w:line="240" w:lineRule="auto"/>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keepNext w:val="0"/>
        <w:keepLines w:val="0"/>
        <w:pageBreakBefore w:val="0"/>
        <w:widowControl/>
        <w:kinsoku/>
        <w:wordWrap/>
        <w:overflowPunct/>
        <w:topLinePunct w:val="0"/>
        <w:autoSpaceDE/>
        <w:autoSpaceDN/>
        <w:bidi w:val="0"/>
        <w:adjustRightInd/>
        <w:snapToGrid/>
        <w:spacing w:before="26" w:after="0" w:line="240" w:lineRule="auto"/>
        <w:textAlignment w:val="auto"/>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color w:val="43A5A1"/>
          <w:sz w:val="24"/>
          <w:lang w:eastAsia="zh-CN"/>
        </w:rPr>
      </w:pPr>
      <w:r>
        <w:rPr>
          <w:rFonts w:ascii="Times New Roman" w:hAnsi="Times New Roman" w:eastAsia="微软雅黑" w:cs="Times New Roman"/>
          <w:b/>
          <w:color w:val="43A5A1"/>
          <w:sz w:val="24"/>
          <w:lang w:eastAsia="zh-CN"/>
        </w:rPr>
        <w:t>潜在受益药物研究信息：</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keepLines w:val="0"/>
              <w:pageBreakBefore w:val="0"/>
              <w:widowControl/>
              <w:kinsoku/>
              <w:wordWrap/>
              <w:overflowPunct/>
              <w:topLinePunct w:val="0"/>
              <w:autoSpaceDE/>
              <w:autoSpaceDN/>
              <w:bidi w:val="0"/>
              <w:adjustRightInd/>
              <w:snapToGrid/>
              <w:spacing w:before="26" w:after="0" w:line="240" w:lineRule="auto"/>
              <w:ind w:right="131"/>
              <w:jc w:val="center"/>
              <w:textAlignment w:val="auto"/>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keepNext w:val="0"/>
        <w:keepLines w:val="0"/>
        <w:pageBreakBefore w:val="0"/>
        <w:widowControl/>
        <w:kinsoku/>
        <w:wordWrap/>
        <w:overflowPunct/>
        <w:topLinePunct w:val="0"/>
        <w:autoSpaceDE/>
        <w:autoSpaceDN/>
        <w:bidi w:val="0"/>
        <w:adjustRightInd/>
        <w:snapToGrid/>
        <w:spacing w:before="26" w:after="0" w:line="240" w:lineRule="auto"/>
        <w:textAlignment w:val="auto"/>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潜在耐药研究信息：</w:t>
      </w:r>
    </w:p>
    <w:tbl>
      <w:tblPr>
        <w:tblStyle w:val="24"/>
        <w:tblpPr w:leftFromText="180" w:rightFromText="180" w:vertAnchor="text" w:tblpXSpec="center" w:tblpY="1"/>
        <w:tblOverlap w:val="never"/>
        <w:tblW w:w="9870"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keepLines w:val="0"/>
              <w:pageBreakBefore w:val="0"/>
              <w:widowControl/>
              <w:kinsoku/>
              <w:wordWrap/>
              <w:overflowPunct/>
              <w:topLinePunct w:val="0"/>
              <w:autoSpaceDE/>
              <w:autoSpaceDN/>
              <w:bidi w:val="0"/>
              <w:adjustRightInd/>
              <w:snapToGrid/>
              <w:spacing w:before="26" w:after="0" w:line="240" w:lineRule="auto"/>
              <w:ind w:right="131"/>
              <w:jc w:val="center"/>
              <w:textAlignment w:val="auto"/>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keepNext w:val="0"/>
        <w:keepLines w:val="0"/>
        <w:pageBreakBefore w:val="0"/>
        <w:widowControl/>
        <w:kinsoku/>
        <w:wordWrap/>
        <w:overflowPunct/>
        <w:topLinePunct w:val="0"/>
        <w:autoSpaceDE/>
        <w:autoSpaceDN/>
        <w:bidi w:val="0"/>
        <w:adjustRightInd/>
        <w:snapToGrid/>
        <w:spacing w:before="26" w:after="0" w:line="240" w:lineRule="auto"/>
        <w:textAlignment w:val="auto"/>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color w:val="43A5A1"/>
          <w:sz w:val="24"/>
          <w:lang w:eastAsia="zh-CN"/>
        </w:rPr>
      </w:pPr>
      <w:r>
        <w:rPr>
          <w:rFonts w:hint="eastAsia" w:ascii="Times New Roman" w:hAnsi="Times New Roman" w:eastAsia="微软雅黑" w:cs="Times New Roman"/>
          <w:b/>
          <w:color w:val="43A5A1"/>
          <w:sz w:val="24"/>
          <w:lang w:eastAsia="zh-CN"/>
        </w:rPr>
        <w:t>临床试验信息</w:t>
      </w:r>
    </w:p>
    <w:tbl>
      <w:tblPr>
        <w:tblStyle w:val="24"/>
        <w:tblpPr w:leftFromText="180" w:rightFromText="180" w:vertAnchor="text" w:tblpXSpec="center" w:tblpY="1"/>
        <w:tblOverlap w:val="never"/>
        <w:tblW w:w="98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l2br w:val="nil"/>
              <w:tr2bl w:val="nil"/>
            </w:tcBorders>
            <w:shd w:val="clear" w:color="auto" w:fill="43A5A1"/>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pPr>
              <w:keepLines w:val="0"/>
              <w:pageBreakBefore w:val="0"/>
              <w:widowControl/>
              <w:kinsoku/>
              <w:wordWrap/>
              <w:overflowPunct/>
              <w:topLinePunct w:val="0"/>
              <w:autoSpaceDE/>
              <w:autoSpaceDN/>
              <w:bidi w:val="0"/>
              <w:adjustRightInd/>
              <w:snapToGrid/>
              <w:spacing w:before="26" w:after="0" w:line="240" w:lineRule="auto"/>
              <w:ind w:right="131"/>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keepLines w:val="0"/>
              <w:pageBreakBefore w:val="0"/>
              <w:widowControl/>
              <w:kinsoku/>
              <w:wordWrap/>
              <w:overflowPunct/>
              <w:topLinePunct w:val="0"/>
              <w:autoSpaceDE/>
              <w:autoSpaceDN/>
              <w:bidi w:val="0"/>
              <w:adjustRightInd/>
              <w:snapToGrid/>
              <w:spacing w:before="26" w:after="0" w:line="240" w:lineRule="auto"/>
              <w:jc w:val="center"/>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keepNext w:val="0"/>
        <w:keepLines w:val="0"/>
        <w:pageBreakBefore w:val="0"/>
        <w:widowControl/>
        <w:kinsoku/>
        <w:wordWrap/>
        <w:overflowPunct/>
        <w:topLinePunct w:val="0"/>
        <w:autoSpaceDE/>
        <w:autoSpaceDN/>
        <w:bidi w:val="0"/>
        <w:adjustRightInd/>
        <w:snapToGrid/>
        <w:spacing w:before="26" w:after="0" w:line="240" w:lineRule="auto"/>
        <w:textAlignment w:val="auto"/>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p>
    <w:p>
      <w:pPr>
        <w:pStyle w:val="67"/>
        <w:spacing w:before="11"/>
        <w:rPr>
          <w:rFonts w:eastAsia="微软雅黑"/>
          <w:sz w:val="19"/>
          <w:szCs w:val="19"/>
        </w:rPr>
      </w:pPr>
      <w:r>
        <w:rPr>
          <w:rFonts w:eastAsia="微软雅黑"/>
          <w:sz w:val="19"/>
          <w:szCs w:val="19"/>
        </w:rPr>
        <w:t>注：</w:t>
      </w:r>
    </w:p>
    <w:p>
      <w:pPr>
        <w:pStyle w:val="55"/>
        <w:numPr>
          <w:ilvl w:val="0"/>
          <w:numId w:val="5"/>
        </w:numPr>
        <w:spacing w:after="0" w:line="240" w:lineRule="auto"/>
        <w:ind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获批上市指靶向药物已被批准用于表格中对应的相关疾病，包含FDA或NMPA获批上市，在“基因变异信息及用药指导”表格中标注* 的靶向药物为NMPA 批准的药物。获批上市药物的循证医学证据为该靶向药物的批文等相关信息。</w:t>
      </w:r>
    </w:p>
    <w:p>
      <w:pPr>
        <w:pStyle w:val="55"/>
        <w:numPr>
          <w:ilvl w:val="0"/>
          <w:numId w:val="5"/>
        </w:numPr>
        <w:spacing w:after="0" w:line="240" w:lineRule="auto"/>
        <w:ind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指南推荐指在NCCN\CSCO\ASCO\ESMO指南中有明确的表格或文字说明，有本癌种该位点突变可获益的靶向药。</w:t>
      </w:r>
    </w:p>
    <w:p>
      <w:pPr>
        <w:pStyle w:val="55"/>
        <w:numPr>
          <w:ilvl w:val="0"/>
          <w:numId w:val="5"/>
        </w:numPr>
        <w:spacing w:after="0" w:line="240" w:lineRule="auto"/>
        <w:ind w:firstLineChars="0"/>
        <w:rPr>
          <w:rFonts w:hint="default" w:ascii="Times New Roman" w:hAnsi="Times New Roman" w:eastAsia="微软雅黑" w:cs="Times New Roman"/>
          <w:spacing w:val="-3"/>
          <w:sz w:val="18"/>
          <w:szCs w:val="18"/>
          <w:lang w:eastAsia="zh-CN"/>
        </w:rPr>
      </w:pPr>
      <w:r>
        <w:rPr>
          <w:rFonts w:hint="default" w:ascii="Times New Roman" w:hAnsi="Times New Roman" w:eastAsia="微软雅黑" w:cs="Times New Roman"/>
          <w:spacing w:val="-3"/>
          <w:sz w:val="18"/>
          <w:szCs w:val="18"/>
          <w:lang w:eastAsia="zh-CN"/>
        </w:rPr>
        <w:t>正在开放招募的临床试验药物信息来自 www.clinicaltrials.gov 和www.chinadrugtrials.org.cn。临床试验信息实时更新，使用相关结果时，请务必确认其最新状态。</w:t>
      </w:r>
    </w:p>
    <w:p>
      <w:pPr>
        <w:keepNext w:val="0"/>
        <w:keepLines w:val="0"/>
        <w:pageBreakBefore w:val="0"/>
        <w:widowControl/>
        <w:kinsoku/>
        <w:wordWrap/>
        <w:overflowPunct/>
        <w:topLinePunct w:val="0"/>
        <w:autoSpaceDE/>
        <w:autoSpaceDN/>
        <w:bidi w:val="0"/>
        <w:adjustRightInd/>
        <w:snapToGrid/>
        <w:spacing w:before="26" w:after="0" w:line="240" w:lineRule="auto"/>
        <w:textAlignment w:val="auto"/>
        <w:rPr>
          <w:rFonts w:hint="default" w:ascii="Times New Roman" w:hAnsi="Times New Roman" w:eastAsia="微软雅黑" w:cs="Times New Roman"/>
          <w:b/>
          <w:sz w:val="24"/>
          <w:szCs w:val="24"/>
          <w:lang w:eastAsia="zh-CN"/>
        </w:rPr>
      </w:pPr>
    </w:p>
    <w:p>
      <w:pPr>
        <w:spacing w:after="0"/>
        <w:rPr>
          <w:rFonts w:eastAsia="微软雅黑"/>
        </w:rPr>
        <w:sectPr>
          <w:pgSz w:w="11850" w:h="16783"/>
          <w:pgMar w:top="1440" w:right="1080" w:bottom="1440" w:left="1080" w:header="567" w:footer="720" w:gutter="0"/>
          <w:pgBorders>
            <w:top w:val="none" w:sz="0" w:space="0"/>
            <w:left w:val="none" w:sz="0" w:space="0"/>
            <w:bottom w:val="none" w:sz="0" w:space="0"/>
            <w:right w:val="none" w:sz="0" w:space="0"/>
          </w:pgBorders>
          <w:cols w:space="720" w:num="1"/>
        </w:sectPr>
      </w:pPr>
    </w:p>
    <w:p>
      <w:pPr>
        <w:rPr>
          <w:rFonts w:eastAsia="微软雅黑"/>
        </w:rPr>
      </w:pPr>
      <w:bookmarkStart w:id="29" w:name="_Toc14166_WPSOffice_Level1"/>
      <w:r>
        <w:rPr>
          <w:rFonts w:eastAsia="微软雅黑"/>
          <w:lang w:bidi="ar"/>
        </w:rPr>
        <w:t>{% endif %}</w:t>
      </w:r>
    </w:p>
    <w:bookmarkEnd w:id="29"/>
    <w:p>
      <w:pPr>
        <w:numPr>
          <w:ilvl w:val="0"/>
          <w:numId w:val="4"/>
        </w:numPr>
        <w:tabs>
          <w:tab w:val="clear" w:pos="312"/>
        </w:tabs>
        <w:spacing w:before="26"/>
        <w:ind w:left="20"/>
        <w:outlineLvl w:val="1"/>
        <w:rPr>
          <w:rFonts w:eastAsia="微软雅黑"/>
          <w:b/>
          <w:bCs/>
          <w:sz w:val="30"/>
          <w:szCs w:val="30"/>
        </w:rPr>
      </w:pPr>
      <w:bookmarkStart w:id="30" w:name="_Toc14690"/>
      <w:r>
        <w:rPr>
          <w:rFonts w:hint="eastAsia" w:eastAsia="微软雅黑"/>
          <w:b/>
          <w:bCs/>
          <w:sz w:val="30"/>
          <w:szCs w:val="30"/>
        </w:rPr>
        <w:t>NCCN指南推荐相关基因列表</w:t>
      </w:r>
      <w:bookmarkEnd w:id="30"/>
    </w:p>
    <w:p>
      <w:pPr>
        <w:spacing w:before="26"/>
        <w:rPr>
          <w:rFonts w:eastAsia="微软雅黑"/>
        </w:rPr>
      </w:pPr>
      <w:r>
        <w:rPr>
          <w:rFonts w:eastAsia="微软雅黑"/>
          <w:b/>
          <w:sz w:val="30"/>
          <w:szCs w:val="30"/>
          <w:lang w:bidi="ar"/>
        </w:rPr>
        <w:t>EGFR</w:t>
      </w:r>
    </w:p>
    <w:tbl>
      <w:tblPr>
        <w:tblStyle w:val="24"/>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53"/>
        <w:gridCol w:w="71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1" w:hRule="atLeast"/>
          <w:jc w:val="center"/>
        </w:trPr>
        <w:tc>
          <w:tcPr>
            <w:tcW w:w="1322"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基因说明</w:t>
            </w:r>
          </w:p>
        </w:tc>
        <w:tc>
          <w:tcPr>
            <w:tcW w:w="3677"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jc w:val="both"/>
              <w:rPr>
                <w:rFonts w:eastAsia="微软雅黑"/>
                <w:color w:val="000000"/>
                <w:sz w:val="18"/>
                <w:szCs w:val="18"/>
              </w:rPr>
            </w:pPr>
            <w:r>
              <w:rPr>
                <w:rFonts w:eastAsia="微软雅黑"/>
                <w:color w:val="000000"/>
                <w:sz w:val="18"/>
                <w:szCs w:val="18"/>
                <w:lang w:bidi="ar"/>
              </w:rPr>
              <w:t>EGFR基因位于7p11，是原癌基因c-erbB1的表达产物，是表皮生长因子受体（HER）家族的跨膜受体酪氨酸激酶之一。该蛋白由胞外的结合区、跨膜区及胞内区（包含酪氨酸激酶结构域）组成，通过与多种表皮生长因子结合，其自身发生二聚化并磷酸化，进而引发细胞内信号通路，影响细胞增殖等生物学过程。EGFR基因突变、扩增或过表达会导致EGFR蛋白的表达量过高或活性过强，引起细胞的过度增殖。与EGFR相关的疾病包括肺癌、头颈部实体瘤、鳞状细胞癌、结直肠癌、鼻咽癌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9" w:hRule="atLeast"/>
          <w:jc w:val="center"/>
        </w:trPr>
        <w:tc>
          <w:tcPr>
            <w:tcW w:w="1322"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靶向药物</w:t>
            </w:r>
          </w:p>
        </w:tc>
        <w:tc>
          <w:tcPr>
            <w:tcW w:w="3677" w:type="pct"/>
            <w:tcBorders>
              <w:top w:val="single" w:color="000000" w:sz="4" w:space="0"/>
              <w:left w:val="nil"/>
              <w:bottom w:val="single" w:color="000000" w:sz="4" w:space="0"/>
              <w:right w:val="single" w:color="000000" w:sz="4" w:space="0"/>
            </w:tcBorders>
            <w:shd w:val="clear" w:color="auto" w:fill="auto"/>
            <w:vAlign w:val="center"/>
          </w:tcPr>
          <w:p>
            <w:pPr>
              <w:widowControl w:val="0"/>
              <w:spacing w:beforeAutospacing="1" w:after="0" w:line="256" w:lineRule="auto"/>
              <w:rPr>
                <w:rFonts w:eastAsia="微软雅黑"/>
                <w:sz w:val="18"/>
                <w:szCs w:val="18"/>
              </w:rPr>
            </w:pPr>
            <w:r>
              <w:rPr>
                <w:rFonts w:eastAsia="微软雅黑"/>
                <w:b/>
                <w:sz w:val="18"/>
                <w:szCs w:val="18"/>
                <w:lang w:bidi="ar"/>
              </w:rPr>
              <w:t>厄洛替尼*</w:t>
            </w:r>
            <w:r>
              <w:rPr>
                <w:rFonts w:eastAsia="微软雅黑"/>
                <w:sz w:val="18"/>
                <w:szCs w:val="18"/>
                <w:lang w:bidi="ar"/>
              </w:rPr>
              <w:t>、</w:t>
            </w:r>
            <w:r>
              <w:rPr>
                <w:rFonts w:eastAsia="微软雅黑"/>
                <w:b/>
                <w:sz w:val="18"/>
                <w:szCs w:val="18"/>
                <w:lang w:bidi="ar"/>
              </w:rPr>
              <w:t>吉非替尼*</w:t>
            </w:r>
            <w:r>
              <w:rPr>
                <w:rFonts w:eastAsia="微软雅黑"/>
                <w:sz w:val="18"/>
                <w:szCs w:val="18"/>
                <w:lang w:bidi="ar"/>
              </w:rPr>
              <w:t>、</w:t>
            </w:r>
            <w:r>
              <w:rPr>
                <w:rFonts w:eastAsia="微软雅黑"/>
                <w:b/>
                <w:sz w:val="18"/>
                <w:szCs w:val="18"/>
                <w:lang w:bidi="ar"/>
              </w:rPr>
              <w:t>阿法替尼*、达可替尼*</w:t>
            </w:r>
            <w:r>
              <w:rPr>
                <w:rFonts w:eastAsia="微软雅黑"/>
                <w:sz w:val="18"/>
                <w:szCs w:val="18"/>
                <w:lang w:bidi="ar"/>
              </w:rPr>
              <w:t>、</w:t>
            </w:r>
            <w:r>
              <w:rPr>
                <w:rFonts w:eastAsia="微软雅黑"/>
                <w:b/>
                <w:sz w:val="18"/>
                <w:szCs w:val="18"/>
                <w:lang w:bidi="ar"/>
              </w:rPr>
              <w:t>奥希替尼</w:t>
            </w:r>
            <w:r>
              <w:rPr>
                <w:rFonts w:eastAsia="微软雅黑"/>
                <w:b/>
                <w:sz w:val="18"/>
                <w:szCs w:val="18"/>
                <w:vertAlign w:val="superscript"/>
                <w:lang w:bidi="ar"/>
              </w:rPr>
              <w:t>*</w:t>
            </w:r>
            <w:r>
              <w:rPr>
                <w:rFonts w:eastAsia="微软雅黑"/>
                <w:b/>
                <w:sz w:val="18"/>
                <w:szCs w:val="18"/>
                <w:lang w:bidi="ar"/>
              </w:rPr>
              <w:t>、埃克替尼*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64" w:hRule="atLeast"/>
          <w:jc w:val="center"/>
        </w:trPr>
        <w:tc>
          <w:tcPr>
            <w:tcW w:w="1322"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用药提示</w:t>
            </w:r>
          </w:p>
          <w:p>
            <w:pPr>
              <w:spacing w:beforeAutospacing="1" w:after="0" w:line="273" w:lineRule="auto"/>
              <w:jc w:val="center"/>
              <w:rPr>
                <w:rFonts w:eastAsia="微软雅黑"/>
                <w:b/>
                <w:color w:val="FFFFFF"/>
              </w:rPr>
            </w:pPr>
            <w:r>
              <w:rPr>
                <w:rFonts w:eastAsia="微软雅黑"/>
                <w:b/>
                <w:color w:val="FFFFFF"/>
                <w:lang w:bidi="ar"/>
              </w:rPr>
              <w:t>（仅供参考）</w:t>
            </w:r>
          </w:p>
        </w:tc>
        <w:tc>
          <w:tcPr>
            <w:tcW w:w="3677" w:type="pct"/>
            <w:tcBorders>
              <w:top w:val="single" w:color="000000" w:sz="4" w:space="0"/>
              <w:left w:val="nil"/>
              <w:bottom w:val="single" w:color="000000" w:sz="4" w:space="0"/>
              <w:right w:val="single" w:color="000000" w:sz="4" w:space="0"/>
            </w:tcBorders>
            <w:shd w:val="clear" w:color="auto" w:fill="auto"/>
            <w:vAlign w:val="center"/>
          </w:tcPr>
          <w:p>
            <w:pPr>
              <w:spacing w:beforeAutospacing="1" w:after="0" w:line="273" w:lineRule="auto"/>
              <w:rPr>
                <w:rFonts w:eastAsia="微软雅黑"/>
                <w:color w:val="000000"/>
                <w:sz w:val="18"/>
                <w:szCs w:val="18"/>
              </w:rPr>
            </w:pPr>
            <w:r>
              <w:rPr>
                <w:rFonts w:eastAsia="微软雅黑"/>
                <w:sz w:val="18"/>
                <w:szCs w:val="18"/>
                <w:lang w:bidi="ar"/>
              </w:rPr>
              <w:t>EGFR 基因是非小细胞肺癌(NSCLC) 中最常见的驱动基因之一。PIONEER研究显示51.4%未经选择的亚裔晚期肺腺癌患者伴有EGFR 敏感突变，在不吸烟腺癌中髙达60%</w:t>
            </w:r>
            <w:r>
              <w:rPr>
                <w:rFonts w:eastAsia="微软雅黑"/>
                <w:sz w:val="18"/>
                <w:szCs w:val="18"/>
                <w:vertAlign w:val="superscript"/>
                <w:lang w:bidi="ar"/>
              </w:rPr>
              <w:t xml:space="preserve"> [16]</w:t>
            </w:r>
            <w:r>
              <w:rPr>
                <w:rFonts w:eastAsia="微软雅黑"/>
                <w:sz w:val="18"/>
                <w:szCs w:val="18"/>
                <w:lang w:bidi="ar"/>
              </w:rPr>
              <w:t>。NCCN 指南指出，EGFR 基因中exon19 del，exon19 ins，exon21（L858R，L861Q），exon 18（G719X），exon20（S768I） 的突变是与EGFR TKI 的敏感性相关</w:t>
            </w:r>
            <w:r>
              <w:rPr>
                <w:rFonts w:eastAsia="微软雅黑"/>
                <w:sz w:val="18"/>
                <w:szCs w:val="18"/>
                <w:vertAlign w:val="superscript"/>
                <w:lang w:bidi="ar"/>
              </w:rPr>
              <w:t>[17]</w:t>
            </w:r>
            <w:r>
              <w:rPr>
                <w:rFonts w:eastAsia="微软雅黑"/>
                <w:sz w:val="18"/>
                <w:szCs w:val="18"/>
                <w:lang w:bidi="ar"/>
              </w:rPr>
              <w:t>。EGFR exon20 的插入突变通常与EGFR TKI 的耐药预后相关</w:t>
            </w:r>
            <w:r>
              <w:rPr>
                <w:rFonts w:eastAsia="微软雅黑"/>
                <w:sz w:val="18"/>
                <w:szCs w:val="18"/>
                <w:vertAlign w:val="superscript"/>
                <w:lang w:bidi="ar"/>
              </w:rPr>
              <w:t>[18-19]</w:t>
            </w:r>
            <w:r>
              <w:rPr>
                <w:rFonts w:eastAsia="微软雅黑"/>
                <w:sz w:val="18"/>
                <w:szCs w:val="18"/>
                <w:lang w:bidi="ar"/>
              </w:rPr>
              <w:t>。研究发现，EGFR TKI 的原发耐药通常与KRAS 的突变相关；获得性耐药通常与EGFR 基因的二次突变（如T790M）、旁路激酶的扩增（如MET 基因）、从非小细胞肺癌向小细胞肺癌的组织学转变、以及上皮细胞-间充质转化（EMT）相关。另外，凡德他尼是一种多靶点（EGFR, RET, VEGFR2 等）激酶抑制剂；尼妥珠单抗、西妥昔单抗是EGFR 的单克隆抗体</w:t>
            </w:r>
            <w:r>
              <w:rPr>
                <w:rFonts w:eastAsia="微软雅黑"/>
                <w:sz w:val="18"/>
                <w:szCs w:val="18"/>
                <w:vertAlign w:val="superscript"/>
                <w:lang w:bidi="ar"/>
              </w:rPr>
              <w:t>[20-35]</w:t>
            </w:r>
            <w:r>
              <w:rPr>
                <w:rFonts w:eastAsia="微软雅黑"/>
                <w:sz w:val="18"/>
                <w:szCs w:val="18"/>
                <w:lang w:bidi="ar"/>
              </w:rPr>
              <w:t>，联合其他靶向药、单抗以及化疗药用于肺癌的治疗的临床试验正在开展。</w:t>
            </w:r>
          </w:p>
        </w:tc>
      </w:tr>
    </w:tbl>
    <w:p>
      <w:pPr>
        <w:spacing w:before="26" w:line="256" w:lineRule="auto"/>
        <w:rPr>
          <w:rFonts w:eastAsia="微软雅黑"/>
          <w:b/>
          <w:sz w:val="30"/>
          <w:szCs w:val="30"/>
        </w:rPr>
      </w:pPr>
      <w:r>
        <w:rPr>
          <w:rFonts w:eastAsia="微软雅黑"/>
          <w:b/>
          <w:sz w:val="30"/>
          <w:szCs w:val="30"/>
          <w:lang w:bidi="ar"/>
        </w:rPr>
        <w:t xml:space="preserve"> </w:t>
      </w:r>
    </w:p>
    <w:p>
      <w:pPr>
        <w:spacing w:before="26"/>
        <w:rPr>
          <w:rFonts w:eastAsia="微软雅黑"/>
        </w:rPr>
      </w:pPr>
      <w:r>
        <w:rPr>
          <w:rFonts w:eastAsia="微软雅黑"/>
          <w:b/>
          <w:sz w:val="30"/>
          <w:szCs w:val="30"/>
          <w:lang w:bidi="ar"/>
        </w:rPr>
        <w:t>ALK</w:t>
      </w:r>
    </w:p>
    <w:tbl>
      <w:tblPr>
        <w:tblStyle w:val="24"/>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7"/>
        <w:gridCol w:w="712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基因说明</w:t>
            </w:r>
          </w:p>
        </w:tc>
        <w:tc>
          <w:tcPr>
            <w:tcW w:w="3690" w:type="pct"/>
            <w:tcBorders>
              <w:top w:val="single" w:color="000000" w:sz="4" w:space="0"/>
              <w:left w:val="nil"/>
              <w:bottom w:val="single" w:color="000000" w:sz="4" w:space="0"/>
              <w:right w:val="single" w:color="000000" w:sz="4" w:space="0"/>
            </w:tcBorders>
            <w:shd w:val="clear" w:color="auto" w:fill="auto"/>
            <w:vAlign w:val="center"/>
          </w:tcPr>
          <w:p>
            <w:pPr>
              <w:spacing w:beforeAutospacing="1" w:after="0" w:line="273" w:lineRule="auto"/>
              <w:rPr>
                <w:rFonts w:eastAsia="微软雅黑"/>
                <w:color w:val="000000"/>
                <w:sz w:val="18"/>
                <w:szCs w:val="18"/>
              </w:rPr>
            </w:pPr>
            <w:r>
              <w:rPr>
                <w:rFonts w:eastAsia="微软雅黑"/>
                <w:color w:val="000000"/>
                <w:sz w:val="18"/>
                <w:szCs w:val="18"/>
                <w:lang w:bidi="ar"/>
              </w:rPr>
              <w:t>ALK位于染色体2p23，是致癌驱动基因，该基因编码的蛋白是受体酪氨酸激酶家族的一部分，该蛋白为一种跨膜受体酪氨酸激酶，是胰岛素受体超家族的一员，受体络氨酸激酶通过信号传导将信号从细胞表面传导到细胞内，并通过激活MAPK和PI3K信号通路促进细胞增殖。ALK激活突变、融合已经在各种癌症中被报道过，其融合形式与克唑替尼的敏感性相关。与ALK相关的疾病包括非小细胞肺癌、结直肠癌、卵巢癌、横纹肌肉瘤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靶向药物</w:t>
            </w:r>
          </w:p>
        </w:tc>
        <w:tc>
          <w:tcPr>
            <w:tcW w:w="3690" w:type="pct"/>
            <w:tcBorders>
              <w:top w:val="single" w:color="000000" w:sz="4" w:space="0"/>
              <w:left w:val="nil"/>
              <w:bottom w:val="single" w:color="000000" w:sz="4" w:space="0"/>
              <w:right w:val="single" w:color="000000" w:sz="4" w:space="0"/>
            </w:tcBorders>
            <w:shd w:val="clear" w:color="auto" w:fill="auto"/>
            <w:vAlign w:val="center"/>
          </w:tcPr>
          <w:p>
            <w:pPr>
              <w:widowControl w:val="0"/>
              <w:spacing w:beforeAutospacing="1" w:after="0" w:line="256" w:lineRule="auto"/>
              <w:rPr>
                <w:rFonts w:eastAsia="微软雅黑"/>
                <w:sz w:val="18"/>
                <w:szCs w:val="18"/>
              </w:rPr>
            </w:pPr>
            <w:r>
              <w:rPr>
                <w:rFonts w:eastAsia="微软雅黑"/>
                <w:b/>
                <w:sz w:val="18"/>
                <w:szCs w:val="18"/>
                <w:lang w:bidi="ar"/>
              </w:rPr>
              <w:t>克唑替尼*</w:t>
            </w:r>
            <w:r>
              <w:rPr>
                <w:rFonts w:eastAsia="微软雅黑"/>
                <w:sz w:val="18"/>
                <w:szCs w:val="18"/>
                <w:lang w:bidi="ar"/>
              </w:rPr>
              <w:t>、</w:t>
            </w:r>
            <w:r>
              <w:rPr>
                <w:rFonts w:eastAsia="微软雅黑"/>
                <w:b/>
                <w:sz w:val="18"/>
                <w:szCs w:val="18"/>
                <w:lang w:bidi="ar"/>
              </w:rPr>
              <w:t>塞瑞替尼*</w:t>
            </w:r>
            <w:r>
              <w:rPr>
                <w:rFonts w:eastAsia="微软雅黑"/>
                <w:sz w:val="18"/>
                <w:szCs w:val="18"/>
                <w:lang w:bidi="ar"/>
              </w:rPr>
              <w:t>、</w:t>
            </w:r>
            <w:r>
              <w:rPr>
                <w:rFonts w:hint="eastAsia" w:eastAsia="微软雅黑"/>
                <w:b/>
                <w:sz w:val="18"/>
                <w:szCs w:val="18"/>
                <w:lang w:bidi="ar"/>
              </w:rPr>
              <w:t>布格替尼*</w:t>
            </w:r>
            <w:r>
              <w:rPr>
                <w:rFonts w:eastAsia="微软雅黑"/>
                <w:sz w:val="18"/>
                <w:szCs w:val="18"/>
                <w:lang w:bidi="ar"/>
              </w:rPr>
              <w:t>、</w:t>
            </w:r>
            <w:r>
              <w:rPr>
                <w:rFonts w:eastAsia="微软雅黑"/>
                <w:b/>
                <w:sz w:val="18"/>
                <w:szCs w:val="18"/>
                <w:lang w:bidi="ar"/>
              </w:rPr>
              <w:t>阿来替尼*</w:t>
            </w:r>
            <w:r>
              <w:rPr>
                <w:rFonts w:eastAsia="微软雅黑"/>
                <w:sz w:val="18"/>
                <w:szCs w:val="18"/>
                <w:lang w:bidi="ar"/>
              </w:rPr>
              <w:t>、</w:t>
            </w:r>
            <w:r>
              <w:rPr>
                <w:rFonts w:eastAsia="微软雅黑"/>
                <w:b/>
                <w:sz w:val="18"/>
                <w:szCs w:val="18"/>
                <w:lang w:bidi="ar"/>
              </w:rPr>
              <w:t>劳拉替尼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用药提示</w:t>
            </w:r>
          </w:p>
          <w:p>
            <w:pPr>
              <w:spacing w:beforeAutospacing="1" w:after="0" w:line="273" w:lineRule="auto"/>
              <w:jc w:val="center"/>
              <w:rPr>
                <w:rFonts w:eastAsia="微软雅黑"/>
                <w:b/>
                <w:color w:val="FFFFFF"/>
              </w:rPr>
            </w:pPr>
            <w:r>
              <w:rPr>
                <w:rFonts w:eastAsia="微软雅黑"/>
                <w:b/>
                <w:color w:val="FFFFFF"/>
                <w:lang w:bidi="ar"/>
              </w:rPr>
              <w:t>（仅供参考）</w:t>
            </w:r>
          </w:p>
        </w:tc>
        <w:tc>
          <w:tcPr>
            <w:tcW w:w="3690" w:type="pct"/>
            <w:tcBorders>
              <w:top w:val="single" w:color="000000" w:sz="4" w:space="0"/>
              <w:left w:val="nil"/>
              <w:bottom w:val="single" w:color="000000" w:sz="4" w:space="0"/>
              <w:right w:val="single" w:color="000000" w:sz="4" w:space="0"/>
            </w:tcBorders>
            <w:shd w:val="clear" w:color="auto" w:fill="auto"/>
            <w:vAlign w:val="center"/>
          </w:tcPr>
          <w:p>
            <w:pPr>
              <w:spacing w:beforeAutospacing="1" w:after="0" w:line="273" w:lineRule="auto"/>
              <w:rPr>
                <w:rFonts w:eastAsia="微软雅黑"/>
                <w:color w:val="000000"/>
                <w:sz w:val="18"/>
                <w:szCs w:val="18"/>
              </w:rPr>
            </w:pPr>
            <w:r>
              <w:rPr>
                <w:rFonts w:eastAsia="微软雅黑"/>
                <w:color w:val="000000"/>
                <w:sz w:val="18"/>
                <w:szCs w:val="18"/>
                <w:lang w:bidi="ar"/>
              </w:rPr>
              <w:t>在肺癌中EML4-ALK是最常见的 ALK 基因重排方式。FDA批准克唑替尼和塞瑞替尼用于ALK 融合的一线治疗，阿来替尼和Brigatinib用于经克唑替尼治疗失败的二线治疗，阿来替尼和Brigatinib对于中枢神经系统转移有较好疗效。FDA批准Lorlatinib用于治疗ALK阳性的第一代或第二代药物耐药后的肺癌患者。当使用一代TKI导致耐药之后，ALK发生耐药突变频率大约在20%~30%，其中，G1202R的突变占了10%左右。而应用二代ALK抑制剂发生的耐药突变上升到了40%~60%左右，其中G1202R的突变也提高至40%~60%。不同的ALK耐药位点变异对不同ALK TKI 的敏感性不同，例如1151Tins，L1152R/P，C1156Y/T，F1174T/N，L1196M，G1202R，S1206C/V，G1269A/S，F1246Y等位点发生突变会导致对一代ALK 抑制剂克唑替尼产生耐药性，而L1196M 对阿来替尼和塞瑞替尼敏感，G1202R 等大部分位点对三代TKI 劳拉替尼敏感等</w:t>
            </w:r>
            <w:r>
              <w:rPr>
                <w:rFonts w:eastAsia="微软雅黑"/>
                <w:color w:val="000000"/>
                <w:sz w:val="18"/>
                <w:szCs w:val="18"/>
                <w:vertAlign w:val="superscript"/>
                <w:lang w:bidi="ar"/>
              </w:rPr>
              <w:t>[1-7]</w:t>
            </w:r>
            <w:r>
              <w:rPr>
                <w:rFonts w:eastAsia="微软雅黑"/>
                <w:color w:val="000000"/>
                <w:sz w:val="18"/>
                <w:szCs w:val="18"/>
                <w:lang w:bidi="ar"/>
              </w:rPr>
              <w:t>。研究发现ALK 基因融合，对EGFR TKIs 药物埃克替尼，厄洛替尼，吉非替尼，阿法替尼敏感性降低</w:t>
            </w:r>
            <w:r>
              <w:rPr>
                <w:rFonts w:eastAsia="微软雅黑"/>
                <w:sz w:val="18"/>
                <w:szCs w:val="18"/>
                <w:vertAlign w:val="superscript"/>
                <w:lang w:bidi="ar"/>
              </w:rPr>
              <w:t>[8-15]</w:t>
            </w:r>
            <w:r>
              <w:rPr>
                <w:rFonts w:eastAsia="微软雅黑"/>
                <w:color w:val="000000"/>
                <w:sz w:val="18"/>
                <w:szCs w:val="18"/>
                <w:lang w:bidi="ar"/>
              </w:rPr>
              <w:t>[NCCN_Non-Small Cell Lung Cancer_2020_V2]。</w:t>
            </w:r>
          </w:p>
        </w:tc>
      </w:tr>
    </w:tbl>
    <w:p>
      <w:pPr>
        <w:spacing w:before="26" w:line="256" w:lineRule="auto"/>
        <w:ind w:left="20"/>
        <w:rPr>
          <w:rFonts w:eastAsia="微软雅黑"/>
          <w:b/>
          <w:sz w:val="30"/>
          <w:szCs w:val="30"/>
        </w:rPr>
      </w:pPr>
    </w:p>
    <w:p>
      <w:pPr>
        <w:spacing w:before="26"/>
        <w:rPr>
          <w:rFonts w:eastAsia="微软雅黑"/>
        </w:rPr>
      </w:pPr>
      <w:r>
        <w:rPr>
          <w:rFonts w:eastAsia="微软雅黑"/>
          <w:b/>
          <w:sz w:val="30"/>
          <w:szCs w:val="30"/>
          <w:lang w:bidi="ar"/>
        </w:rPr>
        <w:t>ROS1</w:t>
      </w:r>
    </w:p>
    <w:tbl>
      <w:tblPr>
        <w:tblStyle w:val="24"/>
        <w:tblW w:w="484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4"/>
        <w:gridCol w:w="717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31"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基因说明</w:t>
            </w:r>
          </w:p>
        </w:tc>
        <w:tc>
          <w:tcPr>
            <w:tcW w:w="3718"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jc w:val="both"/>
              <w:rPr>
                <w:rFonts w:eastAsia="微软雅黑"/>
                <w:color w:val="000000"/>
                <w:sz w:val="18"/>
                <w:szCs w:val="18"/>
              </w:rPr>
            </w:pPr>
            <w:r>
              <w:rPr>
                <w:rFonts w:eastAsia="微软雅黑"/>
                <w:color w:val="000000"/>
                <w:sz w:val="18"/>
                <w:szCs w:val="18"/>
                <w:lang w:bidi="ar"/>
              </w:rPr>
              <w:t>ROS1基因位于 6q22.1，是一种原癌基因，由该基因编码的蛋白质是I型整合膜蛋白，具有酪氨酸激酶活性，可以充当生长或分化因子受体。ROS1基因的染色体重组最初在胶质母细胞瘤中发现。ROS1融合被认为是非小细胞肺癌和胆管癌的驱动突变。ROS1融合包含一个完整的酪氨酸激酶，其下游信号可激活细胞信号通路，刺激细胞生长和细胞增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靶向药物</w:t>
            </w:r>
          </w:p>
        </w:tc>
        <w:tc>
          <w:tcPr>
            <w:tcW w:w="3718" w:type="pct"/>
            <w:tcBorders>
              <w:top w:val="single" w:color="000000" w:sz="4" w:space="0"/>
              <w:left w:val="nil"/>
              <w:bottom w:val="single" w:color="000000" w:sz="4" w:space="0"/>
              <w:right w:val="single" w:color="000000" w:sz="4" w:space="0"/>
            </w:tcBorders>
            <w:shd w:val="clear" w:color="auto" w:fill="auto"/>
            <w:vAlign w:val="center"/>
          </w:tcPr>
          <w:p>
            <w:pPr>
              <w:widowControl w:val="0"/>
              <w:spacing w:beforeAutospacing="1" w:after="0" w:line="256" w:lineRule="auto"/>
              <w:rPr>
                <w:rFonts w:eastAsia="微软雅黑"/>
                <w:sz w:val="18"/>
                <w:szCs w:val="18"/>
              </w:rPr>
            </w:pPr>
            <w:r>
              <w:rPr>
                <w:rFonts w:eastAsia="微软雅黑"/>
                <w:b/>
                <w:sz w:val="18"/>
                <w:szCs w:val="18"/>
                <w:lang w:bidi="ar"/>
              </w:rPr>
              <w:t>克唑替尼*</w:t>
            </w:r>
            <w:r>
              <w:rPr>
                <w:rFonts w:eastAsia="微软雅黑"/>
                <w:sz w:val="18"/>
                <w:szCs w:val="18"/>
                <w:lang w:bidi="ar"/>
              </w:rPr>
              <w:t>、</w:t>
            </w:r>
            <w:r>
              <w:rPr>
                <w:rFonts w:eastAsia="微软雅黑"/>
                <w:b/>
                <w:sz w:val="18"/>
                <w:szCs w:val="18"/>
                <w:lang w:bidi="ar"/>
              </w:rPr>
              <w:t>恩曲替尼</w:t>
            </w:r>
            <w:r>
              <w:rPr>
                <w:rFonts w:eastAsia="微软雅黑"/>
                <w:sz w:val="18"/>
                <w:szCs w:val="18"/>
                <w:lang w:bidi="ar"/>
              </w:rPr>
              <w:t>、</w:t>
            </w:r>
            <w:r>
              <w:rPr>
                <w:rFonts w:eastAsia="微软雅黑"/>
                <w:b/>
                <w:sz w:val="18"/>
                <w:szCs w:val="18"/>
                <w:lang w:bidi="ar"/>
              </w:rPr>
              <w:t>劳拉替尼、塞瑞替尼*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用药提示</w:t>
            </w:r>
          </w:p>
          <w:p>
            <w:pPr>
              <w:spacing w:beforeAutospacing="1" w:after="0" w:line="273" w:lineRule="auto"/>
              <w:jc w:val="center"/>
              <w:rPr>
                <w:rFonts w:eastAsia="微软雅黑"/>
                <w:b/>
                <w:color w:val="FFFFFF"/>
              </w:rPr>
            </w:pPr>
            <w:r>
              <w:rPr>
                <w:rFonts w:eastAsia="微软雅黑"/>
                <w:b/>
                <w:color w:val="FFFFFF"/>
                <w:lang w:bidi="ar"/>
              </w:rPr>
              <w:t>（仅供参考）</w:t>
            </w:r>
          </w:p>
        </w:tc>
        <w:tc>
          <w:tcPr>
            <w:tcW w:w="3718"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rPr>
                <w:rFonts w:eastAsia="微软雅黑"/>
                <w:sz w:val="18"/>
                <w:szCs w:val="18"/>
              </w:rPr>
            </w:pPr>
            <w:r>
              <w:rPr>
                <w:rFonts w:eastAsia="微软雅黑"/>
                <w:sz w:val="18"/>
                <w:szCs w:val="18"/>
                <w:lang w:bidi="ar"/>
              </w:rPr>
              <w:t>ROS1 基因重排代表一类新的独特的NSCLC 分子亚型，一般认为ROS1 融合基因阳性的肺癌患者，不伴有EGFR 突变和（或）ALK-EML4 融合基因及KRAS 突变，但随着研究的深入以及实验技术的发展，目前有少量研究发现，ROS1 融合基因可以与其他驱动基因变异共存。肺癌中，ROS1 基因融合对克唑替尼（ALK，MET，ROS1抑制剂）类药物敏感性增加；对厄洛替尼、吉非替尼敏感性降低</w:t>
            </w:r>
            <w:r>
              <w:rPr>
                <w:rFonts w:eastAsia="微软雅黑"/>
                <w:sz w:val="18"/>
                <w:szCs w:val="18"/>
                <w:vertAlign w:val="superscript"/>
                <w:lang w:bidi="ar"/>
              </w:rPr>
              <w:t>[49-53]</w:t>
            </w:r>
            <w:r>
              <w:rPr>
                <w:rFonts w:eastAsia="微软雅黑"/>
                <w:sz w:val="18"/>
                <w:szCs w:val="18"/>
                <w:lang w:bidi="ar"/>
              </w:rPr>
              <w:t>。FDA批准恩曲替尼用于治疗ROS1阳性的转移性非小细胞肺癌（NSCLC）成人患者，克唑替尼可用于ROS1 阳性的晚期非小细胞肺癌（NSCLC）患者的治疗。然而使用克唑替尼治疗后的一段时间，会逐渐出现耐药迹象，进一步活检发现主要耐药位点为G2032R，除此之外，D2033N, L2026M, L1951R 可能也是较为少见的耐药位点</w:t>
            </w:r>
            <w:r>
              <w:rPr>
                <w:rFonts w:eastAsia="微软雅黑"/>
                <w:sz w:val="18"/>
                <w:szCs w:val="18"/>
                <w:vertAlign w:val="superscript"/>
                <w:lang w:bidi="ar"/>
              </w:rPr>
              <w:t>[54-55]</w:t>
            </w:r>
            <w:r>
              <w:rPr>
                <w:rFonts w:eastAsia="微软雅黑"/>
                <w:sz w:val="18"/>
                <w:szCs w:val="18"/>
                <w:lang w:bidi="ar"/>
              </w:rPr>
              <w:t>。NCCN指南推荐劳拉替尼用于经克唑替尼或塞瑞替尼治疗后疾病进展的ROS1-阳性的非小细胞肺癌患者的后续治疗[NCCN_Non-Small Cell Lung Cancer_2020_V1]。有临床前试验表明，卡博替尼可以对ROS1 阳性且出现G2032R 耐药突变的肿瘤依然有效</w:t>
            </w:r>
            <w:r>
              <w:rPr>
                <w:rFonts w:eastAsia="微软雅黑"/>
                <w:sz w:val="18"/>
                <w:szCs w:val="18"/>
                <w:vertAlign w:val="superscript"/>
                <w:lang w:bidi="ar"/>
              </w:rPr>
              <w:t>[56-57]</w:t>
            </w:r>
            <w:r>
              <w:rPr>
                <w:rFonts w:eastAsia="微软雅黑"/>
                <w:sz w:val="18"/>
                <w:szCs w:val="18"/>
                <w:lang w:bidi="ar"/>
              </w:rPr>
              <w:t>。PF-06463922（ALK/ROS1 抑制剂）也在临床前试验中表明对ROS1 阳性且出现G2032R 耐药突变依旧敏感</w:t>
            </w:r>
            <w:r>
              <w:rPr>
                <w:rFonts w:eastAsia="微软雅黑"/>
                <w:sz w:val="18"/>
                <w:szCs w:val="18"/>
                <w:vertAlign w:val="superscript"/>
                <w:lang w:bidi="ar"/>
              </w:rPr>
              <w:t>[58]</w:t>
            </w:r>
            <w:r>
              <w:rPr>
                <w:rFonts w:eastAsia="微软雅黑"/>
                <w:sz w:val="18"/>
                <w:szCs w:val="18"/>
                <w:lang w:bidi="ar"/>
              </w:rPr>
              <w:t>。</w:t>
            </w:r>
          </w:p>
        </w:tc>
      </w:tr>
    </w:tbl>
    <w:p>
      <w:pPr>
        <w:spacing w:before="26" w:line="256" w:lineRule="auto"/>
        <w:rPr>
          <w:rFonts w:eastAsia="微软雅黑"/>
          <w:lang w:bidi="ar"/>
        </w:rPr>
      </w:pPr>
    </w:p>
    <w:p>
      <w:pPr>
        <w:spacing w:after="0"/>
        <w:rPr>
          <w:rFonts w:eastAsia="微软雅黑"/>
          <w:b/>
          <w:bCs/>
          <w:color w:val="0070C0"/>
          <w:sz w:val="28"/>
          <w:szCs w:val="28"/>
        </w:rPr>
      </w:pPr>
      <w:r>
        <w:rPr>
          <w:rFonts w:eastAsia="微软雅黑"/>
          <w:b/>
          <w:bCs/>
          <w:color w:val="0070C0"/>
          <w:sz w:val="28"/>
          <w:szCs w:val="28"/>
          <w:lang w:bidi="ar"/>
        </w:rPr>
        <w:br w:type="page"/>
      </w:r>
    </w:p>
    <w:p>
      <w:pPr>
        <w:spacing w:before="26"/>
        <w:rPr>
          <w:rFonts w:eastAsia="微软雅黑"/>
        </w:rPr>
      </w:pPr>
      <w:r>
        <w:rPr>
          <w:rFonts w:eastAsia="微软雅黑"/>
          <w:b/>
          <w:sz w:val="30"/>
          <w:szCs w:val="30"/>
          <w:lang w:bidi="ar"/>
        </w:rPr>
        <w:t>BRAF</w:t>
      </w:r>
    </w:p>
    <w:tbl>
      <w:tblPr>
        <w:tblStyle w:val="24"/>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7"/>
        <w:gridCol w:w="712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33"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基因说明</w:t>
            </w:r>
          </w:p>
        </w:tc>
        <w:tc>
          <w:tcPr>
            <w:tcW w:w="3690" w:type="pct"/>
            <w:tcBorders>
              <w:top w:val="single" w:color="000000" w:sz="4" w:space="0"/>
              <w:left w:val="nil"/>
              <w:bottom w:val="single" w:color="000000" w:sz="4" w:space="0"/>
              <w:right w:val="single" w:color="000000" w:sz="4" w:space="0"/>
            </w:tcBorders>
            <w:shd w:val="clear" w:color="auto" w:fill="auto"/>
            <w:vAlign w:val="center"/>
          </w:tcPr>
          <w:p>
            <w:pPr>
              <w:spacing w:beforeAutospacing="1" w:after="0" w:line="273" w:lineRule="auto"/>
              <w:rPr>
                <w:rFonts w:eastAsia="微软雅黑"/>
                <w:color w:val="000000"/>
                <w:sz w:val="18"/>
                <w:szCs w:val="18"/>
              </w:rPr>
            </w:pPr>
            <w:r>
              <w:rPr>
                <w:rFonts w:eastAsia="微软雅黑"/>
                <w:color w:val="000000"/>
                <w:sz w:val="18"/>
                <w:szCs w:val="18"/>
                <w:lang w:bidi="ar"/>
              </w:rPr>
              <w:t>BRAF基因位于染色体7q34，该基因编码的蛋白属于丝氨酸/苏氨酸蛋白激酶RAF家族。该蛋白有助于细胞外的化学信号传递到细胞核，在MAP激酶/ERK信号通路中起调节作用，从而影响细胞的分裂、分化和分泌。BRAF的激活突变或扩增会引起细胞增殖不受控制，进而导致肿瘤发生。与BRAF相关的疾病包括黑色素瘤、结直肠癌、肺癌、非何杰金氏淋巴瘤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8"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靶向药物</w:t>
            </w:r>
          </w:p>
        </w:tc>
        <w:tc>
          <w:tcPr>
            <w:tcW w:w="3690" w:type="pct"/>
            <w:tcBorders>
              <w:top w:val="single" w:color="000000" w:sz="4" w:space="0"/>
              <w:left w:val="nil"/>
              <w:bottom w:val="single" w:color="000000" w:sz="4" w:space="0"/>
              <w:right w:val="single" w:color="000000" w:sz="4" w:space="0"/>
            </w:tcBorders>
            <w:shd w:val="clear" w:color="auto" w:fill="auto"/>
            <w:vAlign w:val="center"/>
          </w:tcPr>
          <w:p>
            <w:pPr>
              <w:widowControl w:val="0"/>
              <w:spacing w:beforeAutospacing="1" w:after="0" w:line="256" w:lineRule="auto"/>
              <w:rPr>
                <w:rFonts w:eastAsia="微软雅黑"/>
                <w:sz w:val="18"/>
                <w:szCs w:val="18"/>
              </w:rPr>
            </w:pPr>
            <w:r>
              <w:rPr>
                <w:rFonts w:eastAsia="微软雅黑"/>
                <w:b/>
                <w:sz w:val="18"/>
                <w:szCs w:val="18"/>
                <w:lang w:bidi="ar"/>
              </w:rPr>
              <w:t>达拉非尼+曲美替尼</w:t>
            </w:r>
            <w:r>
              <w:rPr>
                <w:rFonts w:eastAsia="微软雅黑"/>
                <w:sz w:val="18"/>
                <w:szCs w:val="18"/>
                <w:lang w:bidi="ar"/>
              </w:rPr>
              <w:t>、</w:t>
            </w:r>
            <w:r>
              <w:rPr>
                <w:rFonts w:eastAsia="微软雅黑"/>
                <w:b/>
                <w:sz w:val="18"/>
                <w:szCs w:val="18"/>
                <w:lang w:bidi="ar"/>
              </w:rPr>
              <w:t>维莫非尼</w:t>
            </w:r>
            <w:r>
              <w:rPr>
                <w:rFonts w:eastAsia="微软雅黑"/>
                <w:sz w:val="18"/>
                <w:szCs w:val="18"/>
                <w:lang w:bidi="ar"/>
              </w:rPr>
              <w:t>、</w:t>
            </w:r>
            <w:r>
              <w:rPr>
                <w:rFonts w:eastAsia="微软雅黑"/>
                <w:b/>
                <w:sz w:val="18"/>
                <w:szCs w:val="18"/>
                <w:lang w:bidi="ar"/>
              </w:rPr>
              <w:t>达拉非尼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65"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用药提示</w:t>
            </w:r>
          </w:p>
          <w:p>
            <w:pPr>
              <w:spacing w:beforeAutospacing="1" w:after="0" w:line="273" w:lineRule="auto"/>
              <w:jc w:val="center"/>
              <w:rPr>
                <w:rFonts w:eastAsia="微软雅黑"/>
                <w:b/>
                <w:color w:val="000000"/>
              </w:rPr>
            </w:pPr>
            <w:r>
              <w:rPr>
                <w:rFonts w:eastAsia="微软雅黑"/>
                <w:b/>
                <w:color w:val="FFFFFF"/>
                <w:lang w:bidi="ar"/>
              </w:rPr>
              <w:t>（仅供参考）</w:t>
            </w:r>
          </w:p>
        </w:tc>
        <w:tc>
          <w:tcPr>
            <w:tcW w:w="3690"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jc w:val="both"/>
              <w:rPr>
                <w:rFonts w:eastAsia="微软雅黑"/>
                <w:sz w:val="18"/>
                <w:szCs w:val="18"/>
              </w:rPr>
            </w:pPr>
            <w:r>
              <w:rPr>
                <w:rFonts w:eastAsia="微软雅黑"/>
                <w:sz w:val="18"/>
                <w:szCs w:val="18"/>
                <w:lang w:bidi="ar"/>
              </w:rPr>
              <w:t>大约有2%-4% 的肺癌患者有BRAF 突变，其中约一半为BRAF V600E 突变。BRAF 突变病人具有独特的临床病理特征：以吸烟人群为主，预后欠佳，对含铂化疗方案反应率低。FDA批准达拉菲尼联合曲美替尼的组合疗法用于BRAF V600E突变的晚期非小细胞肺癌患者。NCCN指南推荐达拉非尼联合曲美替尼可作为具有BRAF V600E突变的非鳞非小细胞肺癌患者的一线治疗方案，联合治疗不耐受的患者建议使用单药达拉非尼或维莫非尼进行治疗[NCCN_Non-Small Cell Lung Cancer_2020_V1]。有研究认为肺癌中，V600E 突变对BRAF 抑制剂Tafinlar+Mekinist 组合疗法(NCT01336634) 的敏感性增加</w:t>
            </w:r>
            <w:r>
              <w:rPr>
                <w:rFonts w:eastAsia="微软雅黑"/>
                <w:sz w:val="18"/>
                <w:szCs w:val="18"/>
                <w:vertAlign w:val="superscript"/>
                <w:lang w:bidi="ar"/>
              </w:rPr>
              <w:t>[59-61]</w:t>
            </w:r>
            <w:r>
              <w:rPr>
                <w:rFonts w:eastAsia="微软雅黑"/>
                <w:sz w:val="18"/>
                <w:szCs w:val="18"/>
                <w:lang w:bidi="ar"/>
              </w:rPr>
              <w:t>。NCCN指南指出EGFR-TKI 不适用于携带BRAF V600E 突变的非小细胞肺癌患者[NCCN-Non-Small Cell Lung Cancer-2020.V2]。</w:t>
            </w:r>
          </w:p>
        </w:tc>
      </w:tr>
    </w:tbl>
    <w:p>
      <w:pPr>
        <w:spacing w:before="26" w:line="256" w:lineRule="auto"/>
        <w:rPr>
          <w:rFonts w:eastAsia="微软雅黑"/>
          <w:lang w:bidi="ar"/>
        </w:rPr>
      </w:pPr>
    </w:p>
    <w:p>
      <w:pPr>
        <w:spacing w:before="26"/>
        <w:rPr>
          <w:rFonts w:eastAsia="微软雅黑"/>
          <w:b/>
          <w:sz w:val="30"/>
          <w:szCs w:val="30"/>
        </w:rPr>
      </w:pPr>
      <w:r>
        <w:rPr>
          <w:rFonts w:eastAsia="微软雅黑"/>
          <w:b/>
          <w:sz w:val="30"/>
          <w:szCs w:val="30"/>
          <w:lang w:bidi="ar"/>
        </w:rPr>
        <w:t>KRAS</w:t>
      </w:r>
    </w:p>
    <w:tbl>
      <w:tblPr>
        <w:tblStyle w:val="24"/>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7"/>
        <w:gridCol w:w="712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7"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基因说明</w:t>
            </w:r>
          </w:p>
        </w:tc>
        <w:tc>
          <w:tcPr>
            <w:tcW w:w="3690" w:type="pct"/>
            <w:tcBorders>
              <w:top w:val="single" w:color="000000" w:sz="4" w:space="0"/>
              <w:left w:val="nil"/>
              <w:bottom w:val="single" w:color="000000" w:sz="4" w:space="0"/>
              <w:right w:val="single" w:color="000000" w:sz="4" w:space="0"/>
            </w:tcBorders>
            <w:shd w:val="clear" w:color="auto" w:fill="auto"/>
            <w:vAlign w:val="center"/>
          </w:tcPr>
          <w:p>
            <w:pPr>
              <w:spacing w:beforeAutospacing="1" w:after="0" w:line="273" w:lineRule="auto"/>
              <w:rPr>
                <w:rFonts w:eastAsia="微软雅黑"/>
                <w:color w:val="000000"/>
                <w:sz w:val="18"/>
                <w:szCs w:val="18"/>
              </w:rPr>
            </w:pPr>
            <w:r>
              <w:rPr>
                <w:rFonts w:eastAsia="微软雅黑"/>
                <w:color w:val="000000"/>
                <w:sz w:val="18"/>
                <w:szCs w:val="18"/>
                <w:lang w:bidi="ar"/>
              </w:rPr>
              <w:t>KRAS基因位于12p12，是一种原癌基因，编码K-Ras蛋白质，它是信号传导通路中EGFR下游的关键调节因子，发生突变后导致自身的持续活化，进而持续激活下游Ras/Raf/MEK/ERK和PI3K/Akt信号通路。从而不受上游EGFR信号的调控，使EGFR靶向药物无效。在人类恶性肿瘤中KRAS基因是最常见的突变基因，在胰腺癌、结直肠癌和肺癌中突变频率很高，5%到15%的亚洲肺癌患者有KRAS基因突变。</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4"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靶向药物</w:t>
            </w:r>
          </w:p>
        </w:tc>
        <w:tc>
          <w:tcPr>
            <w:tcW w:w="3690"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rPr>
                <w:rFonts w:eastAsia="微软雅黑"/>
                <w:sz w:val="18"/>
                <w:szCs w:val="18"/>
                <w:vertAlign w:val="superscript"/>
              </w:rPr>
            </w:pPr>
            <w:r>
              <w:rPr>
                <w:rFonts w:eastAsia="微软雅黑"/>
                <w:sz w:val="18"/>
                <w:szCs w:val="18"/>
                <w:lang w:bidi="ar"/>
              </w:rPr>
              <w:t>吉非替尼+依维莫司、司美替尼 + MK2206、AMG510、Belvarafenib、Navitoclax + 曲美替尼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65"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用药提示</w:t>
            </w:r>
          </w:p>
          <w:p>
            <w:pPr>
              <w:spacing w:beforeAutospacing="1" w:after="0" w:line="273" w:lineRule="auto"/>
              <w:jc w:val="center"/>
              <w:rPr>
                <w:rFonts w:eastAsia="微软雅黑"/>
                <w:b/>
                <w:color w:val="FFFFFF"/>
              </w:rPr>
            </w:pPr>
            <w:r>
              <w:rPr>
                <w:rFonts w:eastAsia="微软雅黑"/>
                <w:b/>
                <w:color w:val="FFFFFF"/>
                <w:lang w:bidi="ar"/>
              </w:rPr>
              <w:t>（仅供参考）</w:t>
            </w:r>
          </w:p>
        </w:tc>
        <w:tc>
          <w:tcPr>
            <w:tcW w:w="3690"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jc w:val="both"/>
              <w:rPr>
                <w:rFonts w:eastAsia="微软雅黑"/>
                <w:sz w:val="18"/>
                <w:szCs w:val="18"/>
              </w:rPr>
            </w:pPr>
            <w:r>
              <w:rPr>
                <w:rFonts w:eastAsia="微软雅黑"/>
                <w:sz w:val="18"/>
                <w:szCs w:val="18"/>
                <w:lang w:bidi="ar"/>
              </w:rPr>
              <w:t>NCCN 指南指出，肺癌患者中大约有1% 的人同时具有KRAS 和EGFR 突变</w:t>
            </w:r>
            <w:r>
              <w:rPr>
                <w:rFonts w:eastAsia="微软雅黑"/>
                <w:sz w:val="18"/>
                <w:szCs w:val="18"/>
                <w:vertAlign w:val="superscript"/>
                <w:lang w:bidi="ar"/>
              </w:rPr>
              <w:t>[36]</w:t>
            </w:r>
            <w:r>
              <w:rPr>
                <w:rFonts w:eastAsia="微软雅黑"/>
                <w:sz w:val="18"/>
                <w:szCs w:val="18"/>
                <w:lang w:bidi="ar"/>
              </w:rPr>
              <w:t>，而且更容易出现在非亚裔、吸烟、和粘液型肺腺癌患者中</w:t>
            </w:r>
            <w:r>
              <w:rPr>
                <w:rFonts w:eastAsia="微软雅黑"/>
                <w:sz w:val="18"/>
                <w:szCs w:val="18"/>
                <w:vertAlign w:val="superscript"/>
                <w:lang w:bidi="ar"/>
              </w:rPr>
              <w:t>[37]</w:t>
            </w:r>
            <w:r>
              <w:rPr>
                <w:rFonts w:eastAsia="微软雅黑"/>
                <w:sz w:val="18"/>
                <w:szCs w:val="18"/>
                <w:lang w:bidi="ar"/>
              </w:rPr>
              <w:t>，KRAS 突变与吸烟之间的关系非常密切</w:t>
            </w:r>
            <w:r>
              <w:rPr>
                <w:rFonts w:eastAsia="微软雅黑"/>
                <w:sz w:val="18"/>
                <w:szCs w:val="18"/>
                <w:vertAlign w:val="superscript"/>
                <w:lang w:bidi="ar"/>
              </w:rPr>
              <w:t>[38]</w:t>
            </w:r>
            <w:r>
              <w:rPr>
                <w:rFonts w:eastAsia="微软雅黑"/>
                <w:sz w:val="18"/>
                <w:szCs w:val="18"/>
                <w:lang w:bidi="ar"/>
              </w:rPr>
              <w:t>，同时KRAS 突变也是EGFR TKI原发性耐药的重要原因。NCCN指南指出KRAS突变状态预示患者可能对EGFR TKI治疗无效[NCCN_NSCLC_2020_V2]。在II期临床研究中发现，携带KRAS突变和KRAS野生型的非小细胞肺癌（NSCLC）患者接受司美替尼联合MK2206治疗后，8周疾病控制率分别为62%（13/21）和49%（24/49）</w:t>
            </w:r>
            <w:r>
              <w:rPr>
                <w:rFonts w:eastAsia="微软雅黑"/>
                <w:sz w:val="18"/>
                <w:szCs w:val="18"/>
                <w:vertAlign w:val="superscript"/>
                <w:lang w:bidi="ar"/>
              </w:rPr>
              <w:t>[62]</w:t>
            </w:r>
            <w:r>
              <w:rPr>
                <w:rFonts w:eastAsia="微软雅黑"/>
                <w:sz w:val="18"/>
                <w:szCs w:val="18"/>
                <w:lang w:bidi="ar"/>
              </w:rPr>
              <w:t>；13%的非小细胞肺癌（NSCLC）患者在接受吉非替尼联合依维莫司治疗后部分缓解，其中2例携带KRAS G12F突变患者有响应</w:t>
            </w:r>
            <w:r>
              <w:rPr>
                <w:rFonts w:eastAsia="微软雅黑"/>
                <w:sz w:val="18"/>
                <w:szCs w:val="18"/>
                <w:vertAlign w:val="superscript"/>
                <w:lang w:bidi="ar"/>
              </w:rPr>
              <w:t>[63]</w:t>
            </w:r>
            <w:r>
              <w:rPr>
                <w:rFonts w:eastAsia="微软雅黑"/>
                <w:sz w:val="18"/>
                <w:szCs w:val="18"/>
                <w:lang w:bidi="ar"/>
              </w:rPr>
              <w:t>。临床试验表明抑制剂AMG510、Belvarafenib对KRAS 突变的非小细胞肺癌患者有明显的治疗效果，目前还有曲美替尼或司美替尼联合其他用药或治疗方式的临床研究正在进行。</w:t>
            </w:r>
          </w:p>
        </w:tc>
      </w:tr>
    </w:tbl>
    <w:p>
      <w:pPr>
        <w:spacing w:before="26" w:line="256" w:lineRule="auto"/>
        <w:rPr>
          <w:rFonts w:eastAsia="微软雅黑"/>
          <w:lang w:bidi="ar"/>
        </w:rPr>
      </w:pPr>
    </w:p>
    <w:p>
      <w:pPr>
        <w:spacing w:after="0"/>
        <w:rPr>
          <w:rFonts w:eastAsia="微软雅黑"/>
          <w:b/>
          <w:bCs/>
          <w:color w:val="0070C0"/>
          <w:sz w:val="28"/>
          <w:szCs w:val="28"/>
        </w:rPr>
      </w:pPr>
      <w:r>
        <w:rPr>
          <w:rFonts w:eastAsia="微软雅黑"/>
          <w:b/>
          <w:bCs/>
          <w:color w:val="0070C0"/>
          <w:sz w:val="28"/>
          <w:szCs w:val="28"/>
          <w:lang w:bidi="ar"/>
        </w:rPr>
        <w:br w:type="page"/>
      </w:r>
    </w:p>
    <w:p>
      <w:pPr>
        <w:spacing w:before="26"/>
        <w:rPr>
          <w:rFonts w:eastAsia="微软雅黑"/>
          <w:sz w:val="30"/>
          <w:szCs w:val="30"/>
        </w:rPr>
      </w:pPr>
      <w:r>
        <w:rPr>
          <w:rFonts w:eastAsia="微软雅黑"/>
          <w:b/>
          <w:sz w:val="30"/>
          <w:szCs w:val="30"/>
          <w:lang w:bidi="ar"/>
        </w:rPr>
        <w:t>PIK3CA</w:t>
      </w:r>
    </w:p>
    <w:tbl>
      <w:tblPr>
        <w:tblStyle w:val="24"/>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7"/>
        <w:gridCol w:w="712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49"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基因说明</w:t>
            </w:r>
          </w:p>
        </w:tc>
        <w:tc>
          <w:tcPr>
            <w:tcW w:w="3690"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jc w:val="both"/>
              <w:rPr>
                <w:rFonts w:eastAsia="微软雅黑"/>
                <w:color w:val="000000"/>
                <w:sz w:val="18"/>
                <w:szCs w:val="18"/>
              </w:rPr>
            </w:pPr>
            <w:r>
              <w:rPr>
                <w:rFonts w:eastAsia="微软雅黑"/>
                <w:sz w:val="18"/>
                <w:szCs w:val="18"/>
                <w:lang w:bidi="ar"/>
              </w:rPr>
              <w:t>PIK3CA基因位于3q26.32，磷脂酰肌醇 3-激酶由一个 85kDa 的调节亚基和一个 110kDa 的催化亚基组成。PIK3CA编码的p110-alpha蛋白是磷脂酰肌醇3-激酶（PI3K）的催化亚基，以 ATP 依赖的方式磷酸化PtdIns, PtdIns4P 和 PtdIns (4, 5) P2。其所在通路—PI3K/Akt/mTOR 通路可调控细胞的生长、增殖、分化、活力和存活。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3"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靶向药物</w:t>
            </w:r>
          </w:p>
        </w:tc>
        <w:tc>
          <w:tcPr>
            <w:tcW w:w="3690"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rPr>
                <w:rFonts w:eastAsia="微软雅黑"/>
                <w:sz w:val="18"/>
                <w:szCs w:val="18"/>
              </w:rPr>
            </w:pPr>
            <w:r>
              <w:rPr>
                <w:rFonts w:eastAsia="微软雅黑"/>
                <w:sz w:val="18"/>
                <w:szCs w:val="18"/>
                <w:lang w:bidi="ar"/>
              </w:rPr>
              <w:t>MK2206、</w:t>
            </w:r>
            <w:r>
              <w:rPr>
                <w:rFonts w:eastAsia="微软雅黑"/>
                <w:b/>
                <w:sz w:val="18"/>
                <w:szCs w:val="18"/>
                <w:lang w:bidi="ar"/>
              </w:rPr>
              <w:t>依维莫司*</w:t>
            </w:r>
            <w:r>
              <w:rPr>
                <w:rFonts w:eastAsia="微软雅黑"/>
                <w:sz w:val="18"/>
                <w:szCs w:val="18"/>
                <w:lang w:bidi="ar"/>
              </w:rPr>
              <w:t>、</w:t>
            </w:r>
            <w:r>
              <w:rPr>
                <w:rFonts w:eastAsia="微软雅黑"/>
                <w:b/>
                <w:sz w:val="18"/>
                <w:szCs w:val="18"/>
                <w:lang w:bidi="ar"/>
              </w:rPr>
              <w:t>替西罗莫司</w:t>
            </w:r>
            <w:r>
              <w:rPr>
                <w:rFonts w:eastAsia="微软雅黑"/>
                <w:sz w:val="18"/>
                <w:szCs w:val="18"/>
                <w:lang w:bidi="ar"/>
              </w:rPr>
              <w:t>、</w:t>
            </w:r>
            <w:r>
              <w:rPr>
                <w:rFonts w:eastAsia="微软雅黑"/>
                <w:b/>
                <w:sz w:val="18"/>
                <w:szCs w:val="18"/>
                <w:lang w:bidi="ar"/>
              </w:rPr>
              <w:t>西罗莫司</w:t>
            </w:r>
            <w:r>
              <w:rPr>
                <w:rFonts w:eastAsia="微软雅黑"/>
                <w:sz w:val="18"/>
                <w:szCs w:val="18"/>
                <w:lang w:bidi="ar"/>
              </w:rPr>
              <w:t>、Copanlisib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91"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用药提示</w:t>
            </w:r>
          </w:p>
          <w:p>
            <w:pPr>
              <w:spacing w:beforeAutospacing="1" w:after="0" w:line="273" w:lineRule="auto"/>
              <w:jc w:val="center"/>
              <w:rPr>
                <w:rFonts w:eastAsia="微软雅黑"/>
                <w:b/>
                <w:color w:val="FFFFFF"/>
              </w:rPr>
            </w:pPr>
            <w:r>
              <w:rPr>
                <w:rFonts w:eastAsia="微软雅黑"/>
                <w:b/>
                <w:color w:val="FFFFFF"/>
                <w:lang w:bidi="ar"/>
              </w:rPr>
              <w:t>（仅供参考）</w:t>
            </w:r>
          </w:p>
        </w:tc>
        <w:tc>
          <w:tcPr>
            <w:tcW w:w="3690"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rPr>
                <w:rFonts w:eastAsia="微软雅黑"/>
                <w:sz w:val="18"/>
                <w:szCs w:val="18"/>
              </w:rPr>
            </w:pPr>
            <w:r>
              <w:rPr>
                <w:rFonts w:eastAsia="微软雅黑"/>
                <w:sz w:val="18"/>
                <w:szCs w:val="18"/>
                <w:lang w:bidi="ar"/>
              </w:rPr>
              <w:t>研究发现非小细胞肺癌人群中大约有1 3% 的患者发生PIK3CA 突变</w:t>
            </w:r>
            <w:r>
              <w:rPr>
                <w:rFonts w:eastAsia="微软雅黑"/>
                <w:sz w:val="18"/>
                <w:szCs w:val="18"/>
                <w:vertAlign w:val="superscript"/>
                <w:lang w:bidi="ar"/>
              </w:rPr>
              <w:t>[41]</w:t>
            </w:r>
            <w:r>
              <w:rPr>
                <w:rFonts w:eastAsia="微软雅黑"/>
                <w:sz w:val="18"/>
                <w:szCs w:val="18"/>
                <w:lang w:bidi="ar"/>
              </w:rPr>
              <w:t>，其在肺鳞癌中比肺腺癌更常见，PIK3CA突变主要发生在外显子10和外显子21 内的热点区域。PIK3CA 突变可以与EGFR突变共存</w:t>
            </w:r>
            <w:r>
              <w:rPr>
                <w:rFonts w:eastAsia="微软雅黑"/>
                <w:sz w:val="18"/>
                <w:szCs w:val="18"/>
                <w:vertAlign w:val="superscript"/>
                <w:lang w:bidi="ar"/>
              </w:rPr>
              <w:t>[42-44]</w:t>
            </w:r>
            <w:r>
              <w:rPr>
                <w:rFonts w:eastAsia="微软雅黑"/>
                <w:sz w:val="18"/>
                <w:szCs w:val="18"/>
                <w:lang w:bidi="ar"/>
              </w:rPr>
              <w:t>，有临床前的研究表明，PIK3CA基因位于EGFR信号通路的下游，PIK3CA的激活突变维持PI3K-AKT在细胞内的信号传导，可能影响EGFR TKI(吉非替尼与厄洛替尼)的疗效</w:t>
            </w:r>
            <w:r>
              <w:rPr>
                <w:rFonts w:eastAsia="微软雅黑"/>
                <w:sz w:val="18"/>
                <w:szCs w:val="18"/>
                <w:vertAlign w:val="superscript"/>
                <w:lang w:bidi="ar"/>
              </w:rPr>
              <w:t>[45-47]</w:t>
            </w:r>
            <w:r>
              <w:rPr>
                <w:rFonts w:eastAsia="微软雅黑"/>
                <w:sz w:val="18"/>
                <w:szCs w:val="18"/>
                <w:lang w:bidi="ar"/>
              </w:rPr>
              <w:t>。目前PI3K 抑制剂对PIK3CA 基因突变患者的疗效研究多处于临床前</w:t>
            </w:r>
            <w:r>
              <w:rPr>
                <w:rFonts w:eastAsia="微软雅黑"/>
                <w:sz w:val="18"/>
                <w:szCs w:val="18"/>
                <w:vertAlign w:val="superscript"/>
                <w:lang w:bidi="ar"/>
              </w:rPr>
              <w:t>[48]</w:t>
            </w:r>
            <w:r>
              <w:rPr>
                <w:rFonts w:eastAsia="微软雅黑"/>
                <w:sz w:val="18"/>
                <w:szCs w:val="18"/>
                <w:lang w:bidi="ar"/>
              </w:rPr>
              <w:t>，如MK2206、依维莫司、替西罗莫司、西罗莫司、Copanlisib等在PIK3CA 突变的肺癌或实体肿瘤中正在开展临床试验。</w:t>
            </w:r>
          </w:p>
        </w:tc>
      </w:tr>
    </w:tbl>
    <w:p>
      <w:pPr>
        <w:spacing w:before="26"/>
        <w:rPr>
          <w:rFonts w:eastAsia="微软雅黑"/>
          <w:b/>
          <w:sz w:val="30"/>
          <w:szCs w:val="30"/>
          <w:lang w:bidi="ar"/>
        </w:rPr>
      </w:pPr>
    </w:p>
    <w:p>
      <w:pPr>
        <w:spacing w:before="26"/>
        <w:rPr>
          <w:rFonts w:eastAsia="微软雅黑"/>
          <w:b/>
          <w:sz w:val="30"/>
          <w:szCs w:val="30"/>
        </w:rPr>
      </w:pPr>
      <w:r>
        <w:rPr>
          <w:rFonts w:eastAsia="微软雅黑"/>
          <w:b/>
          <w:sz w:val="30"/>
          <w:szCs w:val="30"/>
          <w:lang w:bidi="ar"/>
        </w:rPr>
        <w:t>MET</w:t>
      </w:r>
    </w:p>
    <w:tbl>
      <w:tblPr>
        <w:tblStyle w:val="24"/>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7"/>
        <w:gridCol w:w="712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57"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基因说明</w:t>
            </w:r>
          </w:p>
        </w:tc>
        <w:tc>
          <w:tcPr>
            <w:tcW w:w="3690" w:type="pct"/>
            <w:tcBorders>
              <w:top w:val="single" w:color="000000" w:sz="4" w:space="0"/>
              <w:left w:val="nil"/>
              <w:bottom w:val="single" w:color="000000" w:sz="4" w:space="0"/>
              <w:right w:val="single" w:color="000000" w:sz="4" w:space="0"/>
            </w:tcBorders>
            <w:shd w:val="clear" w:color="auto" w:fill="auto"/>
            <w:vAlign w:val="center"/>
          </w:tcPr>
          <w:p>
            <w:pPr>
              <w:spacing w:beforeAutospacing="1" w:after="0" w:line="273" w:lineRule="auto"/>
              <w:rPr>
                <w:rFonts w:eastAsia="微软雅黑"/>
                <w:color w:val="000000"/>
                <w:sz w:val="18"/>
                <w:szCs w:val="18"/>
              </w:rPr>
            </w:pPr>
            <w:r>
              <w:rPr>
                <w:rFonts w:eastAsia="微软雅黑"/>
                <w:color w:val="000000"/>
                <w:sz w:val="18"/>
                <w:szCs w:val="18"/>
                <w:lang w:bidi="ar"/>
              </w:rPr>
              <w:t>MET基因位于7q31.2，是原癌基因，编码的蛋白属于具酪氨酸酶活性的生长因子受体，是肝细胞生长因子受体，具有酪氨酸激酶活性，与多种癌基因产物和调节蛋白相关。MET激活后，使底物磷酸化，激活细胞内PI3K-AKT-mTOR 及RAS-RAF-MEK-ERK等多个下游通路。与MET 相关的疾病包括乳头状肾细胞癌、非小细胞肺癌等。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2"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靶向药物</w:t>
            </w:r>
          </w:p>
        </w:tc>
        <w:tc>
          <w:tcPr>
            <w:tcW w:w="3690"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rPr>
                <w:rFonts w:eastAsia="微软雅黑"/>
                <w:sz w:val="18"/>
                <w:szCs w:val="18"/>
                <w:vertAlign w:val="superscript"/>
              </w:rPr>
            </w:pPr>
            <w:r>
              <w:rPr>
                <w:rFonts w:eastAsia="微软雅黑"/>
                <w:b/>
                <w:sz w:val="18"/>
                <w:szCs w:val="18"/>
                <w:lang w:bidi="ar"/>
              </w:rPr>
              <w:t>克唑替尼*</w:t>
            </w:r>
            <w:r>
              <w:rPr>
                <w:rFonts w:eastAsia="微软雅黑"/>
                <w:sz w:val="18"/>
                <w:szCs w:val="18"/>
                <w:lang w:bidi="ar"/>
              </w:rPr>
              <w:t>、沃利替尼、Tepotinib、Capmatinib、</w:t>
            </w:r>
            <w:r>
              <w:rPr>
                <w:rFonts w:eastAsia="微软雅黑"/>
                <w:b/>
                <w:sz w:val="18"/>
                <w:szCs w:val="18"/>
                <w:lang w:bidi="ar"/>
              </w:rPr>
              <w:t>卡博替尼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65"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用药提示</w:t>
            </w:r>
          </w:p>
          <w:p>
            <w:pPr>
              <w:spacing w:beforeAutospacing="1" w:after="0" w:line="273" w:lineRule="auto"/>
              <w:jc w:val="center"/>
              <w:rPr>
                <w:rFonts w:eastAsia="微软雅黑"/>
                <w:b/>
                <w:color w:val="FFFFFF"/>
              </w:rPr>
            </w:pPr>
            <w:r>
              <w:rPr>
                <w:rFonts w:eastAsia="微软雅黑"/>
                <w:b/>
                <w:color w:val="FFFFFF"/>
                <w:lang w:bidi="ar"/>
              </w:rPr>
              <w:t>（仅供参考）</w:t>
            </w:r>
          </w:p>
        </w:tc>
        <w:tc>
          <w:tcPr>
            <w:tcW w:w="3690"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jc w:val="both"/>
              <w:rPr>
                <w:rFonts w:eastAsia="微软雅黑"/>
                <w:sz w:val="18"/>
                <w:szCs w:val="18"/>
              </w:rPr>
            </w:pPr>
            <w:r>
              <w:rPr>
                <w:rFonts w:eastAsia="微软雅黑"/>
                <w:sz w:val="18"/>
                <w:szCs w:val="18"/>
                <w:lang w:bidi="ar"/>
              </w:rPr>
              <w:t>c-MET 基因是原癌基因，其配体是肝细胞生长因子（HGF），HGF和 c-MET的结合能够促进细胞的增殖、迁移、分化和形态改变，HGF/c-MET 信号通路的异常主要有以下三种机制：在基因层面包括基因重排、激活突变和基因扩增；转录上调导致的 c-MET 蛋白的过表达；通过配体依赖的自分泌或旁分泌机制使得 c-MET 蛋白持续激活。 MET 常发生的变异主要包括14 号外显子跳跃突变，尤其高发于肺肉瘤样癌。NCCN指南推荐克唑替尼用于治疗MET 14号外显子跳跃突变的非小细胞肺癌[NCCN_Non-Small Cell Lung Cancer_2020_V1]。在II期试验中，Savolitinib（沃利替尼）治疗MET exon 14跳跃突变肺肉瘤样癌患者（14例）或其他类型（包括MET exon 14跳跃突变）的非小细胞肺癌（20例）患者，51.6%（16/31）患者部分缓解，32.3%（10/31）患者病情稳定 [AACR Annual Meeting 2019, Abstract CT031]。还有一项II期试验中，Capmatinib治疗MET exon 14跳跃突变非小细胞肺癌患者，在先前接受过治疗的69例患者中，ORR为39.1%，先前未接受过治疗的28例患者中，ORR为71.4% [J Clin Oncol 37, 2019 (suppl; abstr 9004)]。</w:t>
            </w:r>
          </w:p>
        </w:tc>
      </w:tr>
    </w:tbl>
    <w:p>
      <w:pPr>
        <w:spacing w:after="0"/>
        <w:rPr>
          <w:rFonts w:eastAsia="微软雅黑"/>
          <w:b/>
          <w:bCs/>
          <w:color w:val="0070C0"/>
          <w:sz w:val="28"/>
          <w:szCs w:val="28"/>
        </w:rPr>
      </w:pPr>
      <w:r>
        <w:rPr>
          <w:rFonts w:eastAsia="微软雅黑"/>
          <w:b/>
          <w:bCs/>
          <w:color w:val="0070C0"/>
          <w:sz w:val="28"/>
          <w:szCs w:val="28"/>
          <w:lang w:bidi="ar"/>
        </w:rPr>
        <w:br w:type="page"/>
      </w:r>
    </w:p>
    <w:p>
      <w:pPr>
        <w:spacing w:before="26"/>
        <w:rPr>
          <w:rFonts w:eastAsia="微软雅黑"/>
        </w:rPr>
      </w:pPr>
      <w:r>
        <w:rPr>
          <w:rFonts w:eastAsia="微软雅黑"/>
          <w:b/>
          <w:sz w:val="30"/>
          <w:szCs w:val="30"/>
          <w:lang w:bidi="ar"/>
        </w:rPr>
        <w:t>ERBB2</w:t>
      </w:r>
    </w:p>
    <w:tbl>
      <w:tblPr>
        <w:tblStyle w:val="24"/>
        <w:tblW w:w="484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55"/>
        <w:gridCol w:w="709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42" w:hRule="atLeast"/>
          <w:jc w:val="center"/>
        </w:trPr>
        <w:tc>
          <w:tcPr>
            <w:tcW w:w="1323"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基因说明</w:t>
            </w:r>
          </w:p>
        </w:tc>
        <w:tc>
          <w:tcPr>
            <w:tcW w:w="3676"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jc w:val="both"/>
              <w:rPr>
                <w:rFonts w:eastAsia="微软雅黑"/>
                <w:color w:val="000000"/>
                <w:sz w:val="18"/>
                <w:szCs w:val="18"/>
              </w:rPr>
            </w:pPr>
            <w:r>
              <w:rPr>
                <w:rFonts w:eastAsia="微软雅黑"/>
                <w:color w:val="000000"/>
                <w:sz w:val="18"/>
                <w:szCs w:val="18"/>
                <w:lang w:bidi="ar"/>
              </w:rPr>
              <w:t>ERBB2 又称 HER2，位于17q12，是原癌基因，编码表皮生长因子受体酪氨酸激酶。该蛋白自身没有配体结合域，因此不能结合生长因子。然而，它能够与其他配体结合的表皮生长因子受体家族成员紧密连接，形成异质二聚体，稳定配体结合，增强激酶介导的下游信号通路的激活，在细胞增殖、凋亡、细胞骨架重排等生物学过程中具有重要作用。ERBB2的激活突变可引起细胞过度增殖进而诱发肿瘤形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323"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靶向药物</w:t>
            </w:r>
          </w:p>
        </w:tc>
        <w:tc>
          <w:tcPr>
            <w:tcW w:w="3676"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rPr>
                <w:rFonts w:eastAsia="微软雅黑"/>
                <w:sz w:val="18"/>
                <w:szCs w:val="18"/>
              </w:rPr>
            </w:pPr>
            <w:r>
              <w:rPr>
                <w:rFonts w:eastAsia="微软雅黑"/>
                <w:b/>
                <w:sz w:val="18"/>
                <w:szCs w:val="18"/>
                <w:lang w:bidi="ar"/>
              </w:rPr>
              <w:t>曲妥珠单抗-美坦新偶联物（TDM-1）</w:t>
            </w:r>
            <w:r>
              <w:rPr>
                <w:rFonts w:eastAsia="微软雅黑"/>
                <w:sz w:val="18"/>
                <w:szCs w:val="18"/>
                <w:lang w:bidi="ar"/>
              </w:rPr>
              <w:t>、来那替尼 + 曲妥珠单抗、</w:t>
            </w:r>
            <w:r>
              <w:rPr>
                <w:rFonts w:eastAsia="微软雅黑"/>
                <w:b/>
                <w:sz w:val="18"/>
                <w:szCs w:val="18"/>
                <w:lang w:bidi="ar"/>
              </w:rPr>
              <w:t>阿法替尼*</w:t>
            </w:r>
            <w:r>
              <w:rPr>
                <w:rFonts w:eastAsia="微软雅黑"/>
                <w:sz w:val="18"/>
                <w:szCs w:val="18"/>
                <w:lang w:bidi="ar"/>
              </w:rPr>
              <w:t>、拉帕替尼、</w:t>
            </w:r>
            <w:r>
              <w:rPr>
                <w:rFonts w:eastAsia="微软雅黑"/>
                <w:b/>
                <w:sz w:val="18"/>
                <w:szCs w:val="18"/>
                <w:lang w:bidi="ar"/>
              </w:rPr>
              <w:t>来那替尼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67" w:hRule="atLeast"/>
          <w:jc w:val="center"/>
        </w:trPr>
        <w:tc>
          <w:tcPr>
            <w:tcW w:w="1323"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用药提示</w:t>
            </w:r>
          </w:p>
          <w:p>
            <w:pPr>
              <w:spacing w:beforeAutospacing="1" w:after="0" w:line="273" w:lineRule="auto"/>
              <w:jc w:val="center"/>
              <w:rPr>
                <w:rFonts w:eastAsia="微软雅黑"/>
                <w:b/>
                <w:color w:val="FFFFFF"/>
              </w:rPr>
            </w:pPr>
            <w:r>
              <w:rPr>
                <w:rFonts w:eastAsia="微软雅黑"/>
                <w:b/>
                <w:color w:val="FFFFFF"/>
                <w:lang w:bidi="ar"/>
              </w:rPr>
              <w:t>（仅供参考）</w:t>
            </w:r>
          </w:p>
        </w:tc>
        <w:tc>
          <w:tcPr>
            <w:tcW w:w="3676" w:type="pct"/>
            <w:tcBorders>
              <w:top w:val="single" w:color="000000" w:sz="4" w:space="0"/>
              <w:left w:val="nil"/>
              <w:bottom w:val="single" w:color="000000" w:sz="4" w:space="0"/>
              <w:right w:val="single" w:color="000000" w:sz="4" w:space="0"/>
            </w:tcBorders>
            <w:shd w:val="clear" w:color="auto" w:fill="auto"/>
            <w:vAlign w:val="center"/>
          </w:tcPr>
          <w:p>
            <w:pPr>
              <w:spacing w:beforeAutospacing="1" w:after="0" w:line="273" w:lineRule="auto"/>
              <w:rPr>
                <w:rFonts w:eastAsia="微软雅黑"/>
                <w:sz w:val="18"/>
                <w:szCs w:val="18"/>
              </w:rPr>
            </w:pPr>
            <w:r>
              <w:rPr>
                <w:rFonts w:eastAsia="微软雅黑"/>
                <w:sz w:val="18"/>
                <w:szCs w:val="18"/>
                <w:lang w:bidi="ar"/>
              </w:rPr>
              <w:t>ERBB2常发生的变异是20号外显子插入，携带 ERBB2 活化突变的晚期 NSCLC 对 ERBB2 抑制剂可能敏感。NCCN指南推荐曲妥珠单抗-美坦新偶联物（TDM-1）用于HER2突变的非小细胞肺癌患者[NCCN_Non-Small Cell Lung Cancer_2020_V1]。目前来那替尼联合曲妥珠单抗、阿法替尼、拉帕替尼、来那替尼等用于治疗ERBB2突变和20号外显子插入的肺癌患者的临床试验均在开展。</w:t>
            </w:r>
          </w:p>
        </w:tc>
      </w:tr>
    </w:tbl>
    <w:p>
      <w:pPr>
        <w:spacing w:before="26" w:after="0" w:line="256" w:lineRule="auto"/>
        <w:rPr>
          <w:rFonts w:eastAsia="微软雅黑"/>
          <w:b/>
          <w:sz w:val="30"/>
          <w:szCs w:val="30"/>
        </w:rPr>
      </w:pPr>
    </w:p>
    <w:p>
      <w:pPr>
        <w:spacing w:before="26" w:after="0"/>
        <w:rPr>
          <w:rFonts w:eastAsia="微软雅黑"/>
          <w:b/>
          <w:sz w:val="30"/>
          <w:szCs w:val="30"/>
        </w:rPr>
      </w:pPr>
      <w:r>
        <w:rPr>
          <w:rFonts w:eastAsia="微软雅黑"/>
          <w:b/>
          <w:sz w:val="30"/>
          <w:szCs w:val="30"/>
          <w:lang w:bidi="ar"/>
        </w:rPr>
        <w:t>RET</w:t>
      </w:r>
    </w:p>
    <w:tbl>
      <w:tblPr>
        <w:tblStyle w:val="24"/>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7"/>
        <w:gridCol w:w="712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49"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基因说明</w:t>
            </w:r>
          </w:p>
        </w:tc>
        <w:tc>
          <w:tcPr>
            <w:tcW w:w="3690"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jc w:val="both"/>
              <w:rPr>
                <w:rFonts w:eastAsia="微软雅黑"/>
                <w:color w:val="000000"/>
                <w:sz w:val="18"/>
                <w:szCs w:val="18"/>
              </w:rPr>
            </w:pPr>
            <w:r>
              <w:rPr>
                <w:rFonts w:eastAsia="微软雅黑"/>
                <w:color w:val="000000"/>
                <w:sz w:val="18"/>
                <w:szCs w:val="18"/>
                <w:lang w:bidi="ar"/>
              </w:rPr>
              <w:t>RET基因位于10q11.21，编码受体酪氨酸激酶，是钙粘蛋白超家族的成员，参与转导细胞生长和分化信号。 RET基因在神经嵴发展中起至关重要的作用，活化的 RET可使其底物磷酸化，引起多个下游细胞通路激活。RET基因的激活点突变可引起遗传性癌症综合征和多发性内分泌瘤，体细胞点突变与甲状腺髓样癌有关。已证实其两个不同亚型的突变均与疾病相关联：IIA型-多发性内分泌瘤，IIB型-巨结肠疾病和甲状腺髓样癌。与RET 相关的疾病还包括非小细胞肺癌等。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7"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靶向药物</w:t>
            </w:r>
          </w:p>
        </w:tc>
        <w:tc>
          <w:tcPr>
            <w:tcW w:w="3690"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rPr>
                <w:rFonts w:eastAsia="微软雅黑"/>
                <w:sz w:val="18"/>
                <w:szCs w:val="18"/>
              </w:rPr>
            </w:pPr>
            <w:r>
              <w:rPr>
                <w:rFonts w:eastAsia="微软雅黑"/>
                <w:b/>
                <w:sz w:val="18"/>
                <w:szCs w:val="18"/>
                <w:lang w:bidi="ar"/>
              </w:rPr>
              <w:t>凡德他尼、卡博替尼、仑伐替尼*</w:t>
            </w:r>
            <w:r>
              <w:rPr>
                <w:rFonts w:eastAsia="微软雅黑"/>
                <w:sz w:val="18"/>
                <w:szCs w:val="18"/>
                <w:lang w:bidi="ar"/>
              </w:rPr>
              <w:t>、LOXO292、</w:t>
            </w:r>
            <w:r>
              <w:rPr>
                <w:rFonts w:eastAsia="微软雅黑"/>
                <w:b/>
                <w:sz w:val="18"/>
                <w:szCs w:val="18"/>
                <w:lang w:bidi="ar"/>
              </w:rPr>
              <w:t>舒尼替尼*、瑞戈非尼*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3" w:hRule="atLeast"/>
          <w:jc w:val="center"/>
        </w:trPr>
        <w:tc>
          <w:tcPr>
            <w:tcW w:w="1308"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用药提示</w:t>
            </w:r>
          </w:p>
          <w:p>
            <w:pPr>
              <w:spacing w:beforeAutospacing="1" w:after="0" w:line="273" w:lineRule="auto"/>
              <w:jc w:val="center"/>
              <w:rPr>
                <w:rFonts w:eastAsia="微软雅黑"/>
                <w:b/>
                <w:color w:val="FFFFFF"/>
              </w:rPr>
            </w:pPr>
            <w:r>
              <w:rPr>
                <w:rFonts w:eastAsia="微软雅黑"/>
                <w:b/>
                <w:color w:val="FFFFFF"/>
                <w:lang w:bidi="ar"/>
              </w:rPr>
              <w:t>（仅供参考）</w:t>
            </w:r>
          </w:p>
        </w:tc>
        <w:tc>
          <w:tcPr>
            <w:tcW w:w="3690"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rPr>
                <w:rFonts w:eastAsia="微软雅黑"/>
                <w:sz w:val="18"/>
                <w:szCs w:val="18"/>
              </w:rPr>
            </w:pPr>
            <w:r>
              <w:rPr>
                <w:rFonts w:eastAsia="微软雅黑"/>
                <w:sz w:val="18"/>
                <w:szCs w:val="18"/>
                <w:lang w:bidi="ar"/>
              </w:rPr>
              <w:t>RET 重排是肺癌中的一种非小细胞肺癌的新的驱动癌基因，发现于1-2%的NSCLC患者中。非小细胞肺癌中的临床试验研究表明， RET 基因融合时，对卡博替尼和凡德他尼敏感，NCCN指南推荐携带RET融合的晚期非小细胞肺癌患者使用凡德他尼（category 2A）、卡博替尼[NCCN_NSCLC_2020_V1]。II期临床试验显示，在25名RET阳性的肺癌患者中，13名KIF5B-RET融合，12名CCDC6-RET融合，仑伐替尼的客观缓解率达16%，其中KIF5B-RET融合患者的疾病控制率为61.5%，有2名PR，6名SD，中位PFS为3.6个月。该研究显示仑伐替尼对RET融合阳性肺癌患者具有潜在的临床抗肿瘤活性</w:t>
            </w:r>
            <w:r>
              <w:rPr>
                <w:rFonts w:eastAsia="微软雅黑"/>
                <w:sz w:val="18"/>
                <w:szCs w:val="18"/>
                <w:vertAlign w:val="superscript"/>
                <w:lang w:bidi="ar"/>
              </w:rPr>
              <w:t>[64]</w:t>
            </w:r>
            <w:r>
              <w:rPr>
                <w:rFonts w:eastAsia="微软雅黑"/>
                <w:sz w:val="18"/>
                <w:szCs w:val="18"/>
                <w:lang w:bidi="ar"/>
              </w:rPr>
              <w:t>。在I/II期试验（LIBRETTO-001）中，RET激酶抑制剂Selpercatinib（LOXO292）治疗的RET融合阳性非小细胞肺癌患者，其中KIF5B占59%，先前接受过铂类化疗的105例患者客观缓解率为68%，先前未接受治疗的34例患者客观缓解率为85%</w:t>
            </w:r>
            <w:r>
              <w:rPr>
                <w:rFonts w:eastAsia="微软雅黑"/>
                <w:sz w:val="18"/>
                <w:szCs w:val="18"/>
                <w:vertAlign w:val="superscript"/>
                <w:lang w:bidi="ar"/>
              </w:rPr>
              <w:t xml:space="preserve"> [65]</w:t>
            </w:r>
            <w:r>
              <w:rPr>
                <w:rFonts w:eastAsia="微软雅黑"/>
                <w:sz w:val="18"/>
                <w:szCs w:val="18"/>
                <w:lang w:bidi="ar"/>
              </w:rPr>
              <w:t>。</w:t>
            </w:r>
          </w:p>
        </w:tc>
      </w:tr>
    </w:tbl>
    <w:p>
      <w:pPr>
        <w:spacing w:after="0"/>
        <w:rPr>
          <w:rFonts w:eastAsia="微软雅黑"/>
          <w:b/>
          <w:bCs/>
          <w:color w:val="0070C0"/>
          <w:sz w:val="28"/>
          <w:szCs w:val="28"/>
        </w:rPr>
      </w:pPr>
      <w:r>
        <w:rPr>
          <w:rFonts w:eastAsia="微软雅黑"/>
          <w:b/>
          <w:bCs/>
          <w:color w:val="0070C0"/>
          <w:sz w:val="28"/>
          <w:szCs w:val="28"/>
          <w:lang w:bidi="ar"/>
        </w:rPr>
        <w:br w:type="page"/>
      </w:r>
    </w:p>
    <w:p>
      <w:pPr>
        <w:spacing w:before="26"/>
        <w:rPr>
          <w:rFonts w:eastAsia="微软雅黑"/>
          <w:b/>
          <w:sz w:val="30"/>
          <w:szCs w:val="30"/>
        </w:rPr>
      </w:pPr>
      <w:r>
        <w:rPr>
          <w:rFonts w:eastAsia="微软雅黑"/>
          <w:b/>
          <w:sz w:val="30"/>
          <w:szCs w:val="30"/>
          <w:lang w:bidi="ar"/>
        </w:rPr>
        <w:t>NTRK1/2/3</w:t>
      </w:r>
    </w:p>
    <w:tbl>
      <w:tblPr>
        <w:tblStyle w:val="24"/>
        <w:tblW w:w="484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4"/>
        <w:gridCol w:w="718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31"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基因说明</w:t>
            </w:r>
          </w:p>
        </w:tc>
        <w:tc>
          <w:tcPr>
            <w:tcW w:w="3719"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jc w:val="both"/>
              <w:rPr>
                <w:rFonts w:eastAsia="微软雅黑"/>
                <w:color w:val="000000"/>
                <w:sz w:val="18"/>
                <w:szCs w:val="18"/>
              </w:rPr>
            </w:pPr>
            <w:r>
              <w:rPr>
                <w:rFonts w:hint="eastAsia" w:eastAsia="微软雅黑"/>
                <w:color w:val="000000"/>
                <w:sz w:val="18"/>
                <w:szCs w:val="18"/>
                <w:lang w:bidi="ar"/>
              </w:rPr>
              <w:t>NTRK基因家族包括NTRK1、NTRK2和NTRK3</w:t>
            </w:r>
            <w:r>
              <w:rPr>
                <w:rFonts w:eastAsia="微软雅黑"/>
                <w:color w:val="000000"/>
                <w:sz w:val="18"/>
                <w:szCs w:val="18"/>
                <w:lang w:bidi="ar"/>
              </w:rPr>
              <w:t>，</w:t>
            </w:r>
            <w:r>
              <w:rPr>
                <w:rFonts w:hint="eastAsia" w:eastAsia="微软雅黑"/>
                <w:color w:val="000000"/>
                <w:sz w:val="18"/>
                <w:szCs w:val="18"/>
                <w:lang w:bidi="ar"/>
              </w:rPr>
              <w:t>该家族</w:t>
            </w:r>
            <w:r>
              <w:rPr>
                <w:rFonts w:eastAsia="微软雅黑"/>
                <w:color w:val="000000"/>
                <w:sz w:val="18"/>
                <w:szCs w:val="18"/>
                <w:lang w:bidi="ar"/>
              </w:rPr>
              <w:t>编码的蛋白属于神经营养因子酪氨酸激酶受体家族的成员。这</w:t>
            </w:r>
            <w:r>
              <w:rPr>
                <w:rFonts w:hint="eastAsia" w:eastAsia="微软雅黑"/>
                <w:color w:val="000000"/>
                <w:sz w:val="18"/>
                <w:szCs w:val="18"/>
                <w:lang w:bidi="ar"/>
              </w:rPr>
              <w:t>类</w:t>
            </w:r>
            <w:r>
              <w:rPr>
                <w:rFonts w:eastAsia="微软雅黑"/>
                <w:color w:val="000000"/>
                <w:sz w:val="18"/>
                <w:szCs w:val="18"/>
                <w:lang w:bidi="ar"/>
              </w:rPr>
              <w:t>激酶是一种膜结合受体，通过与神经营养因子结合，使其自身以及MAPK信号通路的成员磷酸化。这种激酶导致细胞分化。</w:t>
            </w:r>
            <w:r>
              <w:rPr>
                <w:rFonts w:hint="eastAsia" w:eastAsia="微软雅黑"/>
                <w:color w:val="000000"/>
                <w:sz w:val="18"/>
                <w:szCs w:val="18"/>
                <w:lang w:bidi="ar"/>
              </w:rPr>
              <w:t>其相关通路包括NF-kappaB通路和NGF通路。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6"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靶向药物</w:t>
            </w:r>
          </w:p>
        </w:tc>
        <w:tc>
          <w:tcPr>
            <w:tcW w:w="3719" w:type="pct"/>
            <w:tcBorders>
              <w:top w:val="single" w:color="000000" w:sz="4" w:space="0"/>
              <w:left w:val="nil"/>
              <w:bottom w:val="single" w:color="000000" w:sz="4" w:space="0"/>
              <w:right w:val="single" w:color="000000" w:sz="4" w:space="0"/>
            </w:tcBorders>
            <w:shd w:val="clear" w:color="auto" w:fill="auto"/>
            <w:vAlign w:val="center"/>
          </w:tcPr>
          <w:p>
            <w:pPr>
              <w:adjustRightInd w:val="0"/>
              <w:snapToGrid w:val="0"/>
              <w:spacing w:beforeAutospacing="1" w:after="0" w:line="273" w:lineRule="auto"/>
              <w:rPr>
                <w:rFonts w:eastAsia="微软雅黑"/>
                <w:sz w:val="18"/>
                <w:szCs w:val="18"/>
              </w:rPr>
            </w:pPr>
            <w:r>
              <w:rPr>
                <w:rFonts w:eastAsia="微软雅黑"/>
                <w:b/>
                <w:sz w:val="18"/>
                <w:szCs w:val="18"/>
                <w:lang w:bidi="ar"/>
              </w:rPr>
              <w:t>恩曲替尼、拉罗替尼*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6" w:hRule="atLeast"/>
          <w:jc w:val="center"/>
        </w:trPr>
        <w:tc>
          <w:tcPr>
            <w:tcW w:w="1281" w:type="pct"/>
            <w:tcBorders>
              <w:top w:val="single" w:color="000000" w:sz="4" w:space="0"/>
              <w:left w:val="single" w:color="000000" w:sz="4" w:space="0"/>
              <w:bottom w:val="single" w:color="000000" w:sz="4" w:space="0"/>
              <w:right w:val="single" w:color="000000" w:sz="4" w:space="0"/>
            </w:tcBorders>
            <w:shd w:val="clear" w:color="auto" w:fill="41A5A1"/>
            <w:vAlign w:val="center"/>
          </w:tcPr>
          <w:p>
            <w:pPr>
              <w:spacing w:beforeAutospacing="1" w:after="0" w:line="273" w:lineRule="auto"/>
              <w:jc w:val="center"/>
              <w:rPr>
                <w:rFonts w:eastAsia="微软雅黑"/>
                <w:b/>
                <w:color w:val="FFFFFF"/>
              </w:rPr>
            </w:pPr>
            <w:r>
              <w:rPr>
                <w:rFonts w:eastAsia="微软雅黑"/>
                <w:b/>
                <w:color w:val="FFFFFF"/>
                <w:lang w:bidi="ar"/>
              </w:rPr>
              <w:t>用药提示</w:t>
            </w:r>
          </w:p>
          <w:p>
            <w:pPr>
              <w:spacing w:beforeAutospacing="1" w:after="0" w:line="273" w:lineRule="auto"/>
              <w:jc w:val="center"/>
              <w:rPr>
                <w:rFonts w:eastAsia="微软雅黑"/>
                <w:b/>
                <w:color w:val="FFFFFF"/>
              </w:rPr>
            </w:pPr>
            <w:r>
              <w:rPr>
                <w:rFonts w:eastAsia="微软雅黑"/>
                <w:b/>
                <w:color w:val="FFFFFF"/>
                <w:lang w:bidi="ar"/>
              </w:rPr>
              <w:t>（仅供参考）</w:t>
            </w:r>
          </w:p>
        </w:tc>
        <w:tc>
          <w:tcPr>
            <w:tcW w:w="3719" w:type="pct"/>
            <w:tcBorders>
              <w:top w:val="single" w:color="000000" w:sz="4" w:space="0"/>
              <w:left w:val="nil"/>
              <w:bottom w:val="single" w:color="000000" w:sz="4" w:space="0"/>
              <w:right w:val="single" w:color="000000" w:sz="4" w:space="0"/>
            </w:tcBorders>
            <w:shd w:val="clear" w:color="auto" w:fill="auto"/>
            <w:vAlign w:val="center"/>
          </w:tcPr>
          <w:p>
            <w:pPr>
              <w:spacing w:beforeAutospacing="1" w:after="0" w:line="256" w:lineRule="auto"/>
              <w:rPr>
                <w:rFonts w:eastAsia="微软雅黑"/>
                <w:sz w:val="18"/>
                <w:szCs w:val="18"/>
              </w:rPr>
            </w:pPr>
            <w:r>
              <w:rPr>
                <w:rFonts w:eastAsia="微软雅黑"/>
                <w:sz w:val="18"/>
                <w:szCs w:val="18"/>
                <w:lang w:bidi="ar"/>
              </w:rPr>
              <w:t>NTRK基因家族</w:t>
            </w:r>
            <w:r>
              <w:rPr>
                <w:rFonts w:hint="eastAsia" w:eastAsia="微软雅黑"/>
                <w:sz w:val="18"/>
                <w:szCs w:val="18"/>
                <w:lang w:bidi="ar"/>
              </w:rPr>
              <w:t>（</w:t>
            </w:r>
            <w:r>
              <w:rPr>
                <w:rFonts w:eastAsia="微软雅黑"/>
                <w:sz w:val="18"/>
                <w:szCs w:val="18"/>
                <w:lang w:bidi="ar"/>
              </w:rPr>
              <w:t>NTRK1、NTRK2和NTRK3</w:t>
            </w:r>
            <w:r>
              <w:rPr>
                <w:rFonts w:hint="eastAsia" w:eastAsia="微软雅黑"/>
                <w:sz w:val="18"/>
                <w:szCs w:val="18"/>
                <w:lang w:bidi="ar"/>
              </w:rPr>
              <w:t>）</w:t>
            </w:r>
            <w:r>
              <w:rPr>
                <w:rFonts w:eastAsia="微软雅黑"/>
                <w:sz w:val="18"/>
                <w:szCs w:val="18"/>
                <w:lang w:bidi="ar"/>
              </w:rPr>
              <w:t>如果与其它基因发生融合，可导致异常激活，从而引起肿瘤的发生，NTRK1突变与融合发生于多种癌症中。针对NTRK1突变的治疗措施主要包括RTK抑制剂和更专一的NTRK家族激酶抑制剂。拉罗替尼和恩曲替尼作为为NTRK基因抑制剂，均被FDA批准上市，用于治疗患有NTRK基因融合的局部晚期或转移性实体瘤的成人和儿童患者，是一种广谱抗癌靶向药。NCCN指南推荐拉罗替尼和恩曲替尼被推荐用于NTRK融合阳性晚期或转移性非小细胞肺癌患者的治疗[NCCN-Non-Small Cell Lung Cancer-2020.V1]。</w:t>
            </w:r>
          </w:p>
        </w:tc>
      </w:tr>
    </w:tbl>
    <w:p>
      <w:pPr>
        <w:spacing w:after="0" w:line="360" w:lineRule="auto"/>
        <w:rPr>
          <w:rFonts w:eastAsia="微软雅黑"/>
          <w:bCs/>
          <w:sz w:val="18"/>
          <w:szCs w:val="18"/>
        </w:rPr>
      </w:pPr>
      <w:r>
        <w:rPr>
          <w:rFonts w:eastAsia="微软雅黑"/>
          <w:bCs/>
          <w:sz w:val="30"/>
          <w:szCs w:val="30"/>
          <w:lang w:bidi="ar"/>
        </w:rPr>
        <w:t xml:space="preserve"> </w:t>
      </w:r>
      <w:r>
        <w:rPr>
          <w:rFonts w:eastAsia="微软雅黑"/>
          <w:bCs/>
          <w:sz w:val="18"/>
          <w:szCs w:val="18"/>
          <w:lang w:bidi="ar"/>
        </w:rPr>
        <w:t>注：</w:t>
      </w:r>
    </w:p>
    <w:p>
      <w:pPr>
        <w:spacing w:after="0"/>
        <w:ind w:left="168" w:leftChars="70"/>
        <w:rPr>
          <w:rFonts w:eastAsia="微软雅黑"/>
          <w:color w:val="000000"/>
          <w:sz w:val="18"/>
          <w:szCs w:val="18"/>
        </w:rPr>
      </w:pPr>
      <w:r>
        <w:rPr>
          <w:rFonts w:eastAsia="微软雅黑"/>
          <w:color w:val="000000"/>
          <w:sz w:val="18"/>
          <w:szCs w:val="18"/>
        </w:rPr>
        <w:t>标粗药物表示：FDA/NMPA已批准药物，无标粗药物为未上市药物。</w:t>
      </w:r>
    </w:p>
    <w:p>
      <w:pPr>
        <w:spacing w:after="0"/>
        <w:ind w:left="168" w:leftChars="70"/>
        <w:rPr>
          <w:rFonts w:eastAsia="微软雅黑"/>
          <w:color w:val="000000"/>
          <w:sz w:val="18"/>
          <w:szCs w:val="18"/>
        </w:rPr>
        <w:sectPr>
          <w:footerReference r:id="rId11" w:type="default"/>
          <w:pgSz w:w="11900" w:h="16840"/>
          <w:pgMar w:top="1440" w:right="1080" w:bottom="1440" w:left="1080" w:header="567" w:footer="720" w:gutter="0"/>
          <w:pgBorders>
            <w:top w:val="none" w:sz="0" w:space="0"/>
            <w:left w:val="none" w:sz="0" w:space="0"/>
            <w:bottom w:val="none" w:sz="0" w:space="0"/>
            <w:right w:val="none" w:sz="0" w:space="0"/>
          </w:pgBorders>
          <w:cols w:space="720" w:num="1"/>
        </w:sectPr>
      </w:pPr>
      <w:r>
        <w:rPr>
          <w:rFonts w:eastAsia="微软雅黑"/>
          <w:color w:val="000000"/>
          <w:sz w:val="18"/>
          <w:szCs w:val="18"/>
        </w:rPr>
        <w:t>* 标注的药物表示：NMPA批准的靶向药物</w:t>
      </w:r>
    </w:p>
    <w:p>
      <w:pPr>
        <w:rPr>
          <w:rFonts w:eastAsia="微软雅黑"/>
          <w:color w:val="000000"/>
          <w:sz w:val="16"/>
          <w:szCs w:val="16"/>
        </w:rPr>
      </w:pPr>
    </w:p>
    <w:p>
      <w:pPr>
        <w:pStyle w:val="55"/>
        <w:spacing w:line="290" w:lineRule="atLeast"/>
        <w:ind w:firstLine="0" w:firstLineChars="0"/>
        <w:jc w:val="center"/>
        <w:outlineLvl w:val="0"/>
        <w:rPr>
          <w:rFonts w:ascii="Times New Roman" w:hAnsi="Times New Roman" w:eastAsia="微软雅黑"/>
          <w:color w:val="FFFFFF" w:themeColor="background1"/>
          <w:sz w:val="36"/>
          <w:szCs w:val="36"/>
          <w:shd w:val="clear" w:color="auto" w:fill="41A5A1"/>
          <w:lang w:eastAsia="zh-CN"/>
          <w14:textFill>
            <w14:solidFill>
              <w14:schemeClr w14:val="bg1"/>
            </w14:solidFill>
          </w14:textFill>
        </w:rPr>
      </w:pPr>
      <w:bookmarkStart w:id="31" w:name="_Toc15015_WPSOffice_Level1"/>
    </w:p>
    <w:p>
      <w:pPr>
        <w:pStyle w:val="55"/>
        <w:spacing w:line="290" w:lineRule="atLeast"/>
        <w:ind w:firstLine="0" w:firstLineChars="0"/>
        <w:jc w:val="center"/>
        <w:outlineLvl w:val="0"/>
        <w:rPr>
          <w:rFonts w:ascii="Times New Roman" w:hAnsi="Times New Roman" w:eastAsia="微软雅黑"/>
          <w:sz w:val="18"/>
          <w:szCs w:val="18"/>
        </w:rPr>
      </w:pPr>
      <w:bookmarkStart w:id="32" w:name="_Toc5811"/>
      <w:r>
        <w:rPr>
          <w:rFonts w:ascii="Times New Roman" w:hAnsi="Times New Roman" w:eastAsia="微软雅黑"/>
          <w:color w:val="FFFFFF" w:themeColor="background1"/>
          <w:sz w:val="36"/>
          <w:szCs w:val="36"/>
          <w:shd w:val="clear" w:color="auto" w:fill="41A5A1"/>
          <w:lang w:eastAsia="zh-CN"/>
          <w14:textFill>
            <w14:solidFill>
              <w14:schemeClr w14:val="bg1"/>
            </w14:solidFill>
          </w14:textFill>
        </w:rPr>
        <w:t>参考文献</w:t>
      </w:r>
      <w:bookmarkEnd w:id="31"/>
      <w:bookmarkEnd w:id="32"/>
    </w:p>
    <w:p>
      <w:pPr>
        <w:pStyle w:val="55"/>
        <w:spacing w:line="290" w:lineRule="atLeast"/>
        <w:ind w:firstLine="0" w:firstLineChars="0"/>
        <w:jc w:val="both"/>
        <w:rPr>
          <w:rFonts w:ascii="Times New Roman" w:hAnsi="Times New Roman" w:eastAsia="微软雅黑"/>
          <w:sz w:val="18"/>
          <w:szCs w:val="18"/>
        </w:rPr>
      </w:pP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Tokugawa G, Inamasu E, Shimamatsu S, et al. Identification of a novel ALK G1123S mutation in a patient with ALK-rearranged non–small-cell lung cancer exhibiting resistance to ceritinib[J]. Journal of Thoracic Oncology, 2015, 10(7): e55-e57.</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Katayama R, Shaw A T, Khan T M, et al. Mechanisms of acquired crizotinib resistance in ALK-rearranged lung cancers[J]. Science translational medicine, 2012: 3003316.</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Ou S H, Milliken J C, Azada M C, et al. ALK F1174V mutation confers sensitivity while ALK I1171 mutation confers resistance to alectinib. The importance of serial biopsy post progression[J]. Lung Cancer, 2016, 91: 70-72.</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Ceccon M, Mologni L, Giudici G, et al. Treatment efficacy and resistance mechanisms using the second-generation ALK inhibitor AP26113 in human NPM-ALK–positive anaplastic large cell lymphoma[J]. Molecular Cancer Research, 2015, 13(4): 775-783.</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Friboulet L, Li N, Katayama R, et al. The ALK inhibitor ceritinib overcomes crizotinib resistance in non–small cell lung cancer[J]. Cancer discovery, 2014.</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Kodityal S, Elvin J A, Squillace R, et al. A novel acquired ALK F1245C mutation confers resistance to crizotinib in ALK-positive NSCLC but is sensitive to ceritinib[J]. Lung Cancer, 2016, 92: 19-21.</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Zou H Y, Friboulet L, Kodack D P, et al. PF-06463922, an ALK/ROS1 inhibitor, overcomes resistance to first and second generation ALK inhibitors in preclinical models[J]. Cancer cell, 2015, 28(1): 70-81.</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Katayama R, Khan T M, Benes C, et al. Therapeutic strategies to overcome crizotinib resistance in non-small cell lung cancers harboring the fusion oncogene EML4-ALK[J]. Proceedings of the National Academy of Sciences, 2011, 108(18): 7535-7540.</w:t>
      </w:r>
    </w:p>
    <w:p>
      <w:pPr>
        <w:pStyle w:val="23"/>
        <w:widowControl w:val="0"/>
        <w:numPr>
          <w:ilvl w:val="0"/>
          <w:numId w:val="6"/>
        </w:numPr>
        <w:spacing w:before="0" w:after="160" w:afterAutospacing="0" w:line="290" w:lineRule="atLeast"/>
        <w:jc w:val="both"/>
        <w:rPr>
          <w:rFonts w:ascii="Times New Roman" w:hAnsi="Times New Roman" w:eastAsia="微软雅黑" w:cs="Times New Roman"/>
          <w:color w:val="222222"/>
          <w:kern w:val="2"/>
          <w:sz w:val="18"/>
          <w:szCs w:val="18"/>
          <w:shd w:val="clear" w:color="auto" w:fill="FFFFFF"/>
        </w:rPr>
      </w:pPr>
      <w:r>
        <w:rPr>
          <w:rFonts w:ascii="Times New Roman" w:hAnsi="Times New Roman" w:eastAsia="微软雅黑" w:cs="Times New Roman"/>
          <w:color w:val="222222"/>
          <w:kern w:val="2"/>
          <w:sz w:val="18"/>
          <w:szCs w:val="18"/>
          <w:shd w:val="clear" w:color="auto" w:fill="FFFFFF"/>
          <w:lang w:bidi="ar"/>
        </w:rPr>
        <w:t>Identification of new ALK and RET gene fusions from colorectal and lung cancer biopsies.</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Doebele R C, Pilling A B, Aisner D, et al. Mechanisms of resistance to crizotinib in patients with ALK gene rearranged non-small cell lung cancer[J]. Clinical cancer research, 2012: clincanres. 2906.2011.</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Sasaki T, Okuda K, Zheng W, et al. The neuroblastoma associated F1174L ALK mutation causes resistance to an ALK kinase inhibitor in ALK translocated cancers[J]. Cancer research, 2010: canres. 2956.2010.</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Choi Y L, Soda M, Yamashita Y, et al. EML4-ALK mutations in lung cancer that confer resistance to ALK inhibitors[J]. New England Journal of Medicine, 2010, 363(18): 1734-1739.</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Shaw A T, Yeap B Y, Mino-Kenudson M, et al. Clinical features and outcome of patients with non–small-cell lung cancer who harbor EML4-ALK[J]. Journal of clinical oncology, 2009, 27(26): 4247.</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Activity of IPI-504, a novel heat-shock protein 90 inhibitor, in patients with molecularly defined non-small-cell lung cancer.</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Socinski M A, Goldman J, El-Hariry I, et al. A multicenter phase II study of ganetespib monotherapy in patients with genotypically defined advanced non–small cell lung cancer[J]. Clinical cancer research, 2013.</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Shi Y, Au J S K, Thongprasert S, et al. A prospective, molecular epidemiology study of EGFR mutations in Asian patients with advanced non–small-cell lung cancer of adenocarcinoma histology (PIONEER)[J]. Journal of thoracic oncology, 2014, 9(2): 154-162.</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Cappuzzo F, Finocchiaro G, Metro G, et al. Clinical experience with gefitinib: an update[J]. Critical reviews in oncology/hematology, 2006, 58(1): 31-45.</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Straif K, Benbrahim-Tallaa L, Baan R, et al. A review of human carcinogens—part C: metals, arsenic, dusts, and fibres[J]. The lancet oncology, 2009, 10(5): 453-454.</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Driscoll T, Nelson D I, Steenland K, et al. The global burden of disease due to occupational carcinogens[J]. American journal of industrial medicine, 2005, 48(6): 419-431.</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Costa C, Molina-Vila M A, Drozdowskyj A, et al. The impact of EGFR T790M mutations and BIM mRNA expression on outcome in patients with EGFR-mutant NSCLC treated with erlotinib or chemotherapy in the randomized phase III EURTAC trial[J]. Clinical Cancer Research, 2014: clincanres. 2233.2013.</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Fukuoka M, Wu Y L, Thongprasert S, et al. Biomarker analyses and final overall survival results from a phase III, randomized, open-label, first-line study of gefitinib versus carboplatin/paclitaxel in clinically selected patients with advanced non–small-cell lung cancer in Asia (IPASS)[J]. Journal of clinical oncology, 2011, 29(21): 2866-2874.</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Maemondo M, Inoue A, Kobayashi K, et al. Gefitinib or chemotherapy for non–small-cell lung cancer with mutated EGFR[J]. New England Journal of Medicine, 2010, 362(25): 2380-2388.</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Mitsudomi T, Morita S, Yatabe Y, et al. Gefitinib versus cisplatin plus docetaxel in patients with non-small-cell lung cancer harbouring mutations of the epidermal growth factor receptor (WJTOG3405): an open label, randomised phase 3 trial[J]. The lancet oncology, 2010, 11(2): 121-128.</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Mitsudomi T, Yatabe Y. Epidermal growth factor receptor in relation to tumor development: EGFR gene and cancer[J]. The FEBS journal, 2010, 277(2): 301-308.</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Oxnard G R, Miller V A, Robson M E, et al. Screening for germline EGFR T790M mutations through lung cancer genotyping[J]. Journal of thoracic oncology, 2012, 7(6): 1049-1052.</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Rosell R, Carcereny E, Gervais R, et al. Erlotinib versus standard chemotherapy as first-line treatment for European patients with advanced EGFR mutation-positive non-small-cell lung cancer (EURTAC): a multicentre, open-label, randomised phase 3 trial[J]. The lancet oncology, 2012, 13(3): 239-246.</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Sequist L V, Waltman B A, Dias-Santagata D, et al. Genotypic and histological evolution of lung cancers acquiring resistance to EGFR inhibitors[J]. Science translational medicine, 2011, 3(75): 75ra26-75ra26.</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Zhou C, Wu Y L, Chen G, et al. Erlotinib versus chemotherapy as first-line treatment for patients with advanced EGFR mutation-positive non-small-cell lung cancer (OPTIMAL, CTONG-0802): a multicentre, open-label, randomised, phase 3 study[J]. The lancet oncology, 2011, 12(8): 735-742.</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Su K Y, Chen H Y, Li K C, et al. Pretreatment epidermal growth factor receptor (EGFR) T790M mutation predicts shorter EGFR tyrosine kinase inhibitor response duration in patients with non–small-cell lung cancer[J]. Journal of clinical oncology, 2012, 30(4): 433-440.</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Yasuda H, Kobayashi S, Costa D B. EGFR exon 20 insertion mutations in non-small-cell lung cancer: preclinical data and clinical implications[J]. The lancet oncology, 2012, 13(1): e23-e31.</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Chen Z Y, Zhong W Z, Zhang X C, et al. EGFR mutation heterogeneity and the mixed response to EGFR tyrosine kinase inhibitors of lung adenocarcinomas[J]. The oncologist, 2012, 17(7): 978-985.</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Zhou C, Wu Y L, Chen G, et al. Erlotinib versus chemotherapy as first-line treatment for patients with advanced EGFR mutation-positive non-small-cell lung cancer (OPTIMAL, CTONG-0802): a multicentre, open-label, randomised, phase 3 study[J]. The lancet oncology, 2011, 12(8): 735-742.</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Soria J C, Cortes J, Massard C, et al. Phase I safety, pharmacokinetic and pharmacodynamic trial of BMS-599626 (AC480), an oral pan-HER receptor tyrosine kinase inhibitor, in patients with advanced solid tumors[J]. Annals of oncology, 2011, 23(2): 463-471.</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Stasi I, Cappuzzo F. Second generation tyrosine kinase inhibitors for the treatment of metastatic non-small-cell lung cancer[J]. Translational respiratory medicine, 2014, 2(1): 2.</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Majem M, Pallares C. An update on molecularly targeted therapies in second-and third-line treatment in non-small cell lung cancer: focus on EGFR inhibitors and anti-angiogenic agents[J]. Clinical and Translational Oncology, 2013, 15(5): 343-357.</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IARC Working Group on the Evaluation of Carcinogenic Risks to Humans. Arsenic, metals, fibres, and dusts[J]. IARC Monographs on the Evaluation of Carcinogenic Risks to Humans, 2012, 100(PT C): 11.</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Chlebowski R T, Schwartz A G, Wakelee H, et al. Oestrogen plus progestin and lung cancer in postmenopausal women (Women's Health Initiative trial): a post-hoc analysis of a randomised controlled trial[J]. The Lancet, 2009, 374(9697): 1243-1251.</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Slebos R J C, Hruban R H, Dalesio O, et al. Relationship between K-ras oncogene activation and smoking in adenocarcinoma of the human lung[J]. JNCI: Journal of the National Cancer Institute, 1991, 83(14): 1024-1027.</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Goldman J W, Shi P, Reck M, et al. Treatment Rationale and Study Design for the JUNIPER Study: A Randomized Phase III Study of Abemaciclib With Best Supportive Care Versus Erlotinib With Best Supportive Care in Patients With Stage IV Non–Small-Cell Lung Cancer With a Detectable KRAS Mutation Whose Disease Has Progressed After Platinum-Based Chemotherapy[J]. Clinical lung cancer, 2016, 17(1): 80-84.</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Papadimitrakopoulou V, Lee J J, Wistuba I I, et al. The BATTLE-2 Study: a biomarker-integrated targeted therapy study in previously treated patients with advanced non–small-cell lung cancer[J]. Journal of clinical oncology, 2016, 34(30): 3638.</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Samuels Y, Wang Z, Bardelli A, et al. High frequency of mutations of the PIK3CA gene in human cancers[J]. Science, 2004, 304(5670): 554-554.</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Kawano O, Sasaki H, Endo K, et al. PIK3CA mutation status in Japanese lung cancer patients[J]. Lung cancer, 2006, 54(2): 209-215.</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Sun Y, Ren Y, Fang Z, et al. Lung adenocarcinoma from East Asian never-smokers is a disease largely defined by targetable oncogenic mutant kinases[J]. Journal of clinical oncology, 2010, 28(30): 4616.</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Zaman Guido J R,de Roos Jeroen A D M,Libouban Marion A A et al. CTNNB1TTK Inhibitors as a Targeted Therapy for  (-catenin) Mutant Cancers.[J] .Mol. Cancer Ther., 2017, 16: 2609-2617.</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Liao X, Lochhead P, Nishihara R, et al. Aspirin use, tumor PIK3CA mutation, and colorectal-cancer survival[J]. New England Journal of Medicine, 2012, 367(17): 1596-1606.</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Courtney K D, Corcoran R B, Engelman J A. The PI3K pathway as drug target in human cancer[J]. Journal of clinical oncology, 2010, 28(6): 1075.</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Goss Glenwood D,Felip Enriqueta,Cobo Manuel et al. Association of ERBB Mutations With Clinical Outcomes of Afatinib- or Erlotinib-Treated Patients With Lung Squamous Cell Carcinoma: Secondary Analysis of the LUX-Lung 8 Randomized Clinical Trial.[J] .JAMA Oncol, 2018, 4: 1189-1197.</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Yao J C, Fazio N, Singh S, et al. Everolimus for the treatment of advanced, non-functional neuroendocrine tumours of the lung or gastrointestinal tract (RADIANT-4): a randomised, placebo-controlled, phase 3 study[J]. The Lancet, 2016, 387(10022): 968-977.</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Shaw A T, Ou S H I, Bang Y J, et al. Crizotinib in ROS1-rearranged non–small-cell lung cancer[J]. New England Journal of Medicine, 2014, 371(21): 1963-1971.</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Davies K D, Le A T, Theodoro M F, et al. Identifying and targeting ROS1 gene fusions in non–small cell lung cancer[J]. Clinical Cancer Research, 2012.</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McDermott U, Sharma S V, Dowell L, et al. Identification of genotype-correlated sensitivity to selective kinase inhibitors by using high-throughput tumor cell line profiling[J]. Proceedings of the National Academy of Sciences, 2007, 104(50): 19936-19941.</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McDermott U, Iafrate A J, Gray N S, et al. Genomic alterations of anaplastic lymphoma kinase may sensitize tumors to anaplastic lymphoma kinase inhibitors[J]. Cancer research, 2008, 68(9): 3389-3395.</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Yasuda H, de Figueiredo-Pontes L L, Kobayashi S, et al. Preclinical rationale for use of the clinically available multitargeted tyrosine kinase inhibitor crizotinib in ROS1-translocated lung cancer[J]. Journal of Thoracic Oncology, 2012, 7(7): 1086-1090.</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Song A, Kim T M, Kim D W, et al. Molecular changes associated with acquired resistance to crizotinib in ROS1-rearranged non–small cell lung cancer[J]. Clinical Cancer Research, 2015.</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Sun H, Li Y, Tian S, et al. P-loop conformation governed crizotinib resistance in G2032R-mutated ROS1 tyrosine kinase: clues from free energy landscape[J]. PLoS computational biology, 2014, 10(7): e1003729.</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Davare M A, Vellore N A, Wagner J P, et al. Structural insight into selectivity and resistance profiles of ROS1 tyrosine kinase inhibitors[J]. Proceedings of the National Academy of Sciences, 2015, 112(39): E5381-E5390.</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Katayama R, Kobayashi Y, Friboulet L, et al. Cabozantinib overcomes crizotinib resistance in ROS1 fusion–positive cancer[J]. Clinical cancer research, 2015, 21(1): 166-174.</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color w:val="222222"/>
          <w:sz w:val="18"/>
          <w:szCs w:val="18"/>
          <w:shd w:val="clear" w:color="auto" w:fill="FFFFFF"/>
          <w:lang w:bidi="ar"/>
        </w:rPr>
        <w:t>Zou H Y, Li Q, Engstrom L D, et al. PF-06463922 is a potent and selective next-generation ROS1/ALK inhibitor capable of blocking crizotinib-resistant ROS1 mutations[J]. Proceedings of the National Academy of Sciences, 2015, 112(11): 3493-3498.</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Gautschi Oliver,Pauli Chantal,Strobel Klaus et al. A patient with BRAF V600E lung adenocarcinoma responding to vemurafenib.[J] .J Thorac Oncol, 2012, 7: e23-4.</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Gautschi Oliver,Milia Julie,Cabarrou Bastien et al. Targeted Therapy for Patients with BRAF-Mutant Lung Cancer: Results from the European EURAF Cohort.[J] .J Thorac Oncol, 2015, 10: 1451-7.</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Sen Banibrata,Peng Shaohua,Tang Ximing et al. Kinase-impaired BRAF mutations in lung cancer confer sensitivity to dasatinib.[J] .Sci Transl Med, 2012, 4: 136ra70.</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Papadimitrakopoulou Vassiliki,Lee J Jack,Wistuba Ignacio I et al. The BATTLE-2 Study: A Biomarker-Integrated Targeted Therapy Study in Previously Treated Patients With Advanced Non-Small-Cell Lung Cancer.[J] .J. Clin. Oncol., 2016, 34: 3638-3647.</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Price Katharine A,Azzoli Christopher G,Krug Lee M et al. Phase II trial of gefitinib and everolimus in advanced non-small cell lung cancer.[J] .J Thorac Oncol, 2010, 5: 1623-9.</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Hida Toyoaki,Velcheti Vamsidhar,Reckamp Karen L et al. A phase 2 study of lenvatinib in patients with RET fusion-positive lung adenocarcinoma.[J] .Lung Cancer, 2019, 138: 124-130.</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First RET Inhibitor on Path to FDA Approval.[J] .Cancer Discov, 2019, 9: 1476-1477.</w:t>
      </w:r>
    </w:p>
    <w:p>
      <w:pPr>
        <w:pStyle w:val="23"/>
        <w:widowControl w:val="0"/>
        <w:numPr>
          <w:ilvl w:val="0"/>
          <w:numId w:val="6"/>
        </w:numPr>
        <w:spacing w:before="0" w:after="160" w:afterAutospacing="0" w:line="290" w:lineRule="atLeast"/>
        <w:jc w:val="both"/>
        <w:rPr>
          <w:rFonts w:ascii="Times New Roman" w:hAnsi="Times New Roman" w:eastAsia="微软雅黑" w:cs="Times New Roman"/>
          <w:sz w:val="18"/>
          <w:szCs w:val="18"/>
        </w:rPr>
      </w:pPr>
      <w:r>
        <w:rPr>
          <w:rFonts w:ascii="Times New Roman" w:hAnsi="Times New Roman" w:eastAsia="微软雅黑" w:cs="Times New Roman"/>
          <w:sz w:val="18"/>
          <w:szCs w:val="18"/>
          <w:lang w:bidi="ar"/>
        </w:rPr>
        <w:t>Kumar Ambuj,Rajendran Vidya,Sethumadhavan Rao et al. AKT kinase pathway: a leading target in cancer research.[J] .ScientificWorldJournal, 2013, 2013: 756134.</w:t>
      </w:r>
    </w:p>
    <w:sectPr>
      <w:footerReference r:id="rId12" w:type="default"/>
      <w:pgSz w:w="11900" w:h="16840"/>
      <w:pgMar w:top="1440" w:right="1080" w:bottom="1440" w:left="1080" w:header="567" w:footer="72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MT">
    <w:altName w:val="Arial"/>
    <w:panose1 w:val="00000000000000000000"/>
    <w:charset w:val="00"/>
    <w:family w:val="auto"/>
    <w:pitch w:val="default"/>
    <w:sig w:usb0="00000000" w:usb1="00000000" w:usb2="00000001" w:usb3="00000000" w:csb0="400001BF" w:csb1="DFF70000"/>
  </w:font>
  <w:font w:name="TimesNewRomanPSMT">
    <w:altName w:val="Times New Roman"/>
    <w:panose1 w:val="00000000000000000000"/>
    <w:charset w:val="00"/>
    <w:family w:val="auto"/>
    <w:pitch w:val="default"/>
    <w:sig w:usb0="00000000" w:usb1="00000000" w:usb2="00000001" w:usb3="00000000" w:csb0="400001BF" w:csb1="DFF70000"/>
  </w:font>
  <w:font w:name="Helvetica Neue">
    <w:altName w:val="Times New Roman"/>
    <w:panose1 w:val="00000000000000000000"/>
    <w:charset w:val="00"/>
    <w:family w:val="auto"/>
    <w:pitch w:val="default"/>
    <w:sig w:usb0="00000000" w:usb1="00000000" w:usb2="00000010" w:usb3="00000000" w:csb0="00000000" w:csb1="00000000"/>
  </w:font>
  <w:font w:name="font-weight : 400">
    <w:altName w:val="Calibri"/>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思源黑体 Regular">
    <w:altName w:val="Yu Gothic"/>
    <w:panose1 w:val="00000000000000000000"/>
    <w:charset w:val="80"/>
    <w:family w:val="swiss"/>
    <w:pitch w:val="default"/>
    <w:sig w:usb0="00000000" w:usb1="00000000" w:usb2="00000016" w:usb3="00000000" w:csb0="002E0107" w:csb1="00000000"/>
  </w:font>
  <w:font w:name="Yu Gothic">
    <w:panose1 w:val="020B0400000000000000"/>
    <w:charset w:val="80"/>
    <w:family w:val="auto"/>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rFonts w:hint="eastAsia"/>
        <w:lang w:eastAsia="zh-CN"/>
      </w:rPr>
      <mc:AlternateContent>
        <mc:Choice Requires="wps">
          <w:drawing>
            <wp:anchor distT="0" distB="0" distL="114300" distR="114300" simplePos="0" relativeHeight="251669504" behindDoc="0" locked="0" layoutInCell="1" allowOverlap="1">
              <wp:simplePos x="0" y="0"/>
              <wp:positionH relativeFrom="column">
                <wp:posOffset>448310</wp:posOffset>
              </wp:positionH>
              <wp:positionV relativeFrom="paragraph">
                <wp:posOffset>-3810</wp:posOffset>
              </wp:positionV>
              <wp:extent cx="5283200" cy="428625"/>
              <wp:effectExtent l="0" t="0" r="0" b="0"/>
              <wp:wrapNone/>
              <wp:docPr id="44" name="矩形 44"/>
              <wp:cNvGraphicFramePr/>
              <a:graphic xmlns:a="http://schemas.openxmlformats.org/drawingml/2006/main">
                <a:graphicData uri="http://schemas.microsoft.com/office/word/2010/wordprocessingShape">
                  <wps:wsp>
                    <wps:cNvSpPr/>
                    <wps:spPr>
                      <a:xfrm>
                        <a:off x="0" y="0"/>
                        <a:ext cx="5283200"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olor w:val="000000" w:themeColor="text1"/>
                              <w:sz w:val="13"/>
                              <w:szCs w:val="13"/>
                              <w14:textFill>
                                <w14:solidFill>
                                  <w14:schemeClr w14:val="tx1"/>
                                </w14:solidFill>
                              </w14:textFill>
                            </w:rPr>
                          </w:pPr>
                          <w:r>
                            <w:rPr>
                              <w:rFonts w:hint="eastAsia" w:ascii="思源黑体 Regular" w:hAnsi="思源黑体 Regular" w:eastAsia="思源黑体 Regular"/>
                              <w:color w:val="000000" w:themeColor="text1"/>
                              <w:sz w:val="13"/>
                              <w:szCs w:val="13"/>
                              <w14:textFill>
                                <w14:solidFill>
                                  <w14:schemeClr w14:val="tx1"/>
                                </w14:solidFill>
                              </w14:textFill>
                            </w:rPr>
                            <w:t>北京诺禾致源</w:t>
                          </w:r>
                          <w:r>
                            <w:rPr>
                              <w:rFonts w:ascii="思源黑体 Regular" w:hAnsi="思源黑体 Regular" w:eastAsia="思源黑体 Regular"/>
                              <w:color w:val="000000" w:themeColor="text1"/>
                              <w:sz w:val="13"/>
                              <w:szCs w:val="13"/>
                              <w14:textFill>
                                <w14:solidFill>
                                  <w14:schemeClr w14:val="tx1"/>
                                </w14:solidFill>
                              </w14:textFill>
                            </w:rPr>
                            <w:t>科技股份</w:t>
                          </w:r>
                          <w:r>
                            <w:rPr>
                              <w:rFonts w:hint="eastAsia" w:ascii="思源黑体 Regular" w:hAnsi="思源黑体 Regular" w:eastAsia="思源黑体 Regular"/>
                              <w:color w:val="000000" w:themeColor="text1"/>
                              <w:sz w:val="13"/>
                              <w:szCs w:val="13"/>
                              <w14:textFill>
                                <w14:solidFill>
                                  <w14:schemeClr w14:val="tx1"/>
                                </w14:solidFill>
                              </w14:textFill>
                            </w:rPr>
                            <w:t>有限</w:t>
                          </w:r>
                          <w:r>
                            <w:rPr>
                              <w:rFonts w:ascii="思源黑体 Regular" w:hAnsi="思源黑体 Regular" w:eastAsia="思源黑体 Regular"/>
                              <w:color w:val="000000" w:themeColor="text1"/>
                              <w:sz w:val="13"/>
                              <w:szCs w:val="13"/>
                              <w14:textFill>
                                <w14:solidFill>
                                  <w14:schemeClr w14:val="tx1"/>
                                </w14:solidFill>
                              </w14:textFill>
                            </w:rPr>
                            <w:t>公司</w:t>
                          </w:r>
                          <w:r>
                            <w:rPr>
                              <w:rFonts w:hint="eastAsia" w:ascii="思源黑体 Regular" w:hAnsi="思源黑体 Regular" w:eastAsia="思源黑体 Regular"/>
                              <w:color w:val="000000" w:themeColor="text1"/>
                              <w:sz w:val="13"/>
                              <w:szCs w:val="13"/>
                              <w14:textFill>
                                <w14:solidFill>
                                  <w14:schemeClr w14:val="tx1"/>
                                </w14:solidFill>
                              </w14:textFill>
                            </w:rPr>
                            <w:t xml:space="preserve"> </w:t>
                          </w:r>
                          <w:r>
                            <w:rPr>
                              <w:rFonts w:ascii="思源黑体 Regular" w:hAnsi="思源黑体 Regular" w:eastAsia="思源黑体 Regular"/>
                              <w:color w:val="000000" w:themeColor="text1"/>
                              <w:sz w:val="13"/>
                              <w:szCs w:val="13"/>
                              <w14:textFill>
                                <w14:solidFill>
                                  <w14:schemeClr w14:val="tx1"/>
                                </w14:solidFill>
                              </w14:textFill>
                            </w:rPr>
                            <w:t xml:space="preserve"> 网址：www.novogene.com  邮箱</w:t>
                          </w:r>
                          <w:r>
                            <w:rPr>
                              <w:rFonts w:hint="eastAsia" w:ascii="思源黑体 Regular" w:hAnsi="思源黑体 Regular" w:eastAsia="思源黑体 Regular"/>
                              <w:color w:val="000000" w:themeColor="text1"/>
                              <w:sz w:val="13"/>
                              <w:szCs w:val="13"/>
                              <w14:textFill>
                                <w14:solidFill>
                                  <w14:schemeClr w14:val="tx1"/>
                                </w14:solidFill>
                              </w14:textFill>
                            </w:rPr>
                            <w:t>：</w:t>
                          </w:r>
                          <w:r>
                            <w:rPr>
                              <w:rFonts w:ascii="思源黑体 Regular" w:hAnsi="思源黑体 Regular" w:eastAsia="思源黑体 Regular"/>
                              <w:color w:val="000000" w:themeColor="text1"/>
                              <w:sz w:val="13"/>
                              <w:szCs w:val="13"/>
                              <w14:textFill>
                                <w14:solidFill>
                                  <w14:schemeClr w14:val="tx1"/>
                                </w14:solidFill>
                              </w14:textFill>
                            </w:rPr>
                            <w:t>service@novogene.com  电话</w:t>
                          </w:r>
                          <w:r>
                            <w:rPr>
                              <w:rFonts w:hint="eastAsia" w:ascii="思源黑体 Regular" w:hAnsi="思源黑体 Regular" w:eastAsia="思源黑体 Regular"/>
                              <w:color w:val="000000" w:themeColor="text1"/>
                              <w:sz w:val="13"/>
                              <w:szCs w:val="13"/>
                              <w14:textFill>
                                <w14:solidFill>
                                  <w14:schemeClr w14:val="tx1"/>
                                </w14:solidFill>
                              </w14:textFill>
                            </w:rPr>
                            <w:t>：0</w:t>
                          </w:r>
                          <w:r>
                            <w:rPr>
                              <w:rFonts w:ascii="思源黑体 Regular" w:hAnsi="思源黑体 Regular" w:eastAsia="思源黑体 Regular"/>
                              <w:color w:val="000000" w:themeColor="text1"/>
                              <w:sz w:val="13"/>
                              <w:szCs w:val="13"/>
                              <w14:textFill>
                                <w14:solidFill>
                                  <w14:schemeClr w14:val="tx1"/>
                                </w14:solidFill>
                              </w14:textFill>
                            </w:rPr>
                            <w:t>10-8283 7801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3pt;margin-top:-0.3pt;height:33.75pt;width:416pt;z-index:251669504;v-text-anchor:middle;mso-width-relative:page;mso-height-relative:page;" filled="f" stroked="f" coordsize="21600,21600" o:gfxdata="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btgX5dUAAAAHAQAADwAA&#10;AAAAAAABACAAAAAiAAAAZHJzL2Rvd25yZXYueG1sUEsBAhQAFAAAAAgAh07iQKfMmUJSAgAAmAQA&#10;AA4AAAAAAAAAAQAgAAAAJAEAAGRycy9lMm9Eb2MueG1sUEsFBgAAAAAGAAYAWQEAAOgFAAAAAA==&#10;">
              <v:fill on="f" focussize="0,0"/>
              <v:stroke on="f" weight="2pt"/>
              <v:imagedata o:title=""/>
              <o:lock v:ext="edit" aspectratio="f"/>
              <v:textbox>
                <w:txbxContent>
                  <w:p>
                    <w:pPr>
                      <w:jc w:val="center"/>
                      <w:rPr>
                        <w:rFonts w:ascii="思源黑体 Regular" w:hAnsi="思源黑体 Regular" w:eastAsia="思源黑体 Regular"/>
                        <w:color w:val="000000" w:themeColor="text1"/>
                        <w:sz w:val="13"/>
                        <w:szCs w:val="13"/>
                        <w14:textFill>
                          <w14:solidFill>
                            <w14:schemeClr w14:val="tx1"/>
                          </w14:solidFill>
                        </w14:textFill>
                      </w:rPr>
                    </w:pPr>
                    <w:r>
                      <w:rPr>
                        <w:rFonts w:hint="eastAsia" w:ascii="思源黑体 Regular" w:hAnsi="思源黑体 Regular" w:eastAsia="思源黑体 Regular"/>
                        <w:color w:val="000000" w:themeColor="text1"/>
                        <w:sz w:val="13"/>
                        <w:szCs w:val="13"/>
                        <w14:textFill>
                          <w14:solidFill>
                            <w14:schemeClr w14:val="tx1"/>
                          </w14:solidFill>
                        </w14:textFill>
                      </w:rPr>
                      <w:t>北京诺禾致源</w:t>
                    </w:r>
                    <w:r>
                      <w:rPr>
                        <w:rFonts w:ascii="思源黑体 Regular" w:hAnsi="思源黑体 Regular" w:eastAsia="思源黑体 Regular"/>
                        <w:color w:val="000000" w:themeColor="text1"/>
                        <w:sz w:val="13"/>
                        <w:szCs w:val="13"/>
                        <w14:textFill>
                          <w14:solidFill>
                            <w14:schemeClr w14:val="tx1"/>
                          </w14:solidFill>
                        </w14:textFill>
                      </w:rPr>
                      <w:t>科技股份</w:t>
                    </w:r>
                    <w:r>
                      <w:rPr>
                        <w:rFonts w:hint="eastAsia" w:ascii="思源黑体 Regular" w:hAnsi="思源黑体 Regular" w:eastAsia="思源黑体 Regular"/>
                        <w:color w:val="000000" w:themeColor="text1"/>
                        <w:sz w:val="13"/>
                        <w:szCs w:val="13"/>
                        <w14:textFill>
                          <w14:solidFill>
                            <w14:schemeClr w14:val="tx1"/>
                          </w14:solidFill>
                        </w14:textFill>
                      </w:rPr>
                      <w:t>有限</w:t>
                    </w:r>
                    <w:r>
                      <w:rPr>
                        <w:rFonts w:ascii="思源黑体 Regular" w:hAnsi="思源黑体 Regular" w:eastAsia="思源黑体 Regular"/>
                        <w:color w:val="000000" w:themeColor="text1"/>
                        <w:sz w:val="13"/>
                        <w:szCs w:val="13"/>
                        <w14:textFill>
                          <w14:solidFill>
                            <w14:schemeClr w14:val="tx1"/>
                          </w14:solidFill>
                        </w14:textFill>
                      </w:rPr>
                      <w:t>公司</w:t>
                    </w:r>
                    <w:r>
                      <w:rPr>
                        <w:rFonts w:hint="eastAsia" w:ascii="思源黑体 Regular" w:hAnsi="思源黑体 Regular" w:eastAsia="思源黑体 Regular"/>
                        <w:color w:val="000000" w:themeColor="text1"/>
                        <w:sz w:val="13"/>
                        <w:szCs w:val="13"/>
                        <w14:textFill>
                          <w14:solidFill>
                            <w14:schemeClr w14:val="tx1"/>
                          </w14:solidFill>
                        </w14:textFill>
                      </w:rPr>
                      <w:t xml:space="preserve"> </w:t>
                    </w:r>
                    <w:r>
                      <w:rPr>
                        <w:rFonts w:ascii="思源黑体 Regular" w:hAnsi="思源黑体 Regular" w:eastAsia="思源黑体 Regular"/>
                        <w:color w:val="000000" w:themeColor="text1"/>
                        <w:sz w:val="13"/>
                        <w:szCs w:val="13"/>
                        <w14:textFill>
                          <w14:solidFill>
                            <w14:schemeClr w14:val="tx1"/>
                          </w14:solidFill>
                        </w14:textFill>
                      </w:rPr>
                      <w:t xml:space="preserve"> 网址：www.novogene.com  邮箱</w:t>
                    </w:r>
                    <w:r>
                      <w:rPr>
                        <w:rFonts w:hint="eastAsia" w:ascii="思源黑体 Regular" w:hAnsi="思源黑体 Regular" w:eastAsia="思源黑体 Regular"/>
                        <w:color w:val="000000" w:themeColor="text1"/>
                        <w:sz w:val="13"/>
                        <w:szCs w:val="13"/>
                        <w14:textFill>
                          <w14:solidFill>
                            <w14:schemeClr w14:val="tx1"/>
                          </w14:solidFill>
                        </w14:textFill>
                      </w:rPr>
                      <w:t>：</w:t>
                    </w:r>
                    <w:r>
                      <w:rPr>
                        <w:rFonts w:ascii="思源黑体 Regular" w:hAnsi="思源黑体 Regular" w:eastAsia="思源黑体 Regular"/>
                        <w:color w:val="000000" w:themeColor="text1"/>
                        <w:sz w:val="13"/>
                        <w:szCs w:val="13"/>
                        <w14:textFill>
                          <w14:solidFill>
                            <w14:schemeClr w14:val="tx1"/>
                          </w14:solidFill>
                        </w14:textFill>
                      </w:rPr>
                      <w:t>service@novogene.com  电话</w:t>
                    </w:r>
                    <w:r>
                      <w:rPr>
                        <w:rFonts w:hint="eastAsia" w:ascii="思源黑体 Regular" w:hAnsi="思源黑体 Regular" w:eastAsia="思源黑体 Regular"/>
                        <w:color w:val="000000" w:themeColor="text1"/>
                        <w:sz w:val="13"/>
                        <w:szCs w:val="13"/>
                        <w14:textFill>
                          <w14:solidFill>
                            <w14:schemeClr w14:val="tx1"/>
                          </w14:solidFill>
                        </w14:textFill>
                      </w:rPr>
                      <w:t>：0</w:t>
                    </w:r>
                    <w:r>
                      <w:rPr>
                        <w:rFonts w:ascii="思源黑体 Regular" w:hAnsi="思源黑体 Regular" w:eastAsia="思源黑体 Regular"/>
                        <w:color w:val="000000" w:themeColor="text1"/>
                        <w:sz w:val="13"/>
                        <w:szCs w:val="13"/>
                        <w14:textFill>
                          <w14:solidFill>
                            <w14:schemeClr w14:val="tx1"/>
                          </w14:solidFill>
                        </w14:textFill>
                      </w:rPr>
                      <w:t>10-8283 7801</w:t>
                    </w:r>
                  </w:p>
                </w:txbxContent>
              </v:textbox>
            </v:rect>
          </w:pict>
        </mc:Fallback>
      </mc:AlternateContent>
    </w:r>
    <w:r>
      <w:rPr>
        <w:lang w:eastAsia="zh-CN"/>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-2540</wp:posOffset>
              </wp:positionV>
              <wp:extent cx="6228080" cy="0"/>
              <wp:effectExtent l="0" t="4445" r="1270" b="5080"/>
              <wp:wrapNone/>
              <wp:docPr id="30" name="直接连接符 30"/>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top:-0.2pt;height:0pt;width:490.4pt;mso-position-horizontal:center;mso-position-horizontal-relative:margin;z-index:251662336;mso-width-relative:page;mso-height-relative:page;" filled="f" stroked="t" coordsize="21600,21600" o:gfxdata="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DtalV0gAAAAQBAAAP&#10;AAAAAAAAAAEAIAAAACIAAABkcnMvZG93bnJldi54bWxQSwECFAAUAAAACACHTuJAJ2EHNuUBAACs&#10;AwAADgAAAAAAAAABACAAAAAhAQAAZHJzL2Uyb0RvYy54bWxQSwUGAAAAAAYABgBZAQAAeAUAAAAA&#10;">
              <v:fill on="f" focussize="0,0"/>
              <v:stroke color="#000000" joinstyle="round"/>
              <v:imagedata o:title=""/>
              <o:lock v:ext="edit" aspectratio="f"/>
            </v:line>
          </w:pict>
        </mc:Fallback>
      </mc:AlternateContent>
    </w:r>
  </w:p>
  <w:p>
    <w:pPr>
      <w:spacing w:line="14" w:lineRule="auto"/>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rFonts w:hint="eastAsia"/>
        <w:lang w:eastAsia="zh-CN"/>
      </w:rPr>
      <mc:AlternateContent>
        <mc:Choice Requires="wps">
          <w:drawing>
            <wp:anchor distT="0" distB="0" distL="114300" distR="114300" simplePos="0" relativeHeight="251668480" behindDoc="0" locked="0" layoutInCell="1" allowOverlap="1">
              <wp:simplePos x="0" y="0"/>
              <wp:positionH relativeFrom="column">
                <wp:posOffset>477520</wp:posOffset>
              </wp:positionH>
              <wp:positionV relativeFrom="paragraph">
                <wp:posOffset>-247650</wp:posOffset>
              </wp:positionV>
              <wp:extent cx="5283200" cy="428625"/>
              <wp:effectExtent l="0" t="0" r="0" b="0"/>
              <wp:wrapNone/>
              <wp:docPr id="69" name="矩形 69"/>
              <wp:cNvGraphicFramePr/>
              <a:graphic xmlns:a="http://schemas.openxmlformats.org/drawingml/2006/main">
                <a:graphicData uri="http://schemas.microsoft.com/office/word/2010/wordprocessingShape">
                  <wps:wsp>
                    <wps:cNvSpPr/>
                    <wps:spPr>
                      <a:xfrm>
                        <a:off x="0" y="0"/>
                        <a:ext cx="5283200"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olor w:val="000000" w:themeColor="text1"/>
                              <w:sz w:val="13"/>
                              <w:szCs w:val="13"/>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6pt;margin-top:-19.5pt;height:33.75pt;width:416pt;z-index:251668480;v-text-anchor:middle;mso-width-relative:page;mso-height-relative:page;" filled="f" stroked="f" coordsize="21600,21600" o:gfxdata="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2+y6K2QAAAAkB&#10;AAAPAAAAAAAAAAEAIAAAACIAAABkcnMvZG93bnJldi54bWxQSwECFAAUAAAACACHTuJA325+CVMC&#10;AACYBAAADgAAAAAAAAABACAAAAAoAQAAZHJzL2Uyb0RvYy54bWxQSwUGAAAAAAYABgBZAQAA7QUA&#10;AAAA&#10;">
              <v:fill on="f" focussize="0,0"/>
              <v:stroke on="f" weight="2pt"/>
              <v:imagedata o:title=""/>
              <o:lock v:ext="edit" aspectratio="f"/>
              <v:textbox>
                <w:txbxContent>
                  <w:p>
                    <w:pPr>
                      <w:jc w:val="center"/>
                      <w:rPr>
                        <w:rFonts w:ascii="思源黑体 Regular" w:hAnsi="思源黑体 Regular" w:eastAsia="思源黑体 Regular"/>
                        <w:color w:val="000000" w:themeColor="text1"/>
                        <w:sz w:val="13"/>
                        <w:szCs w:val="13"/>
                        <w14:textFill>
                          <w14:solidFill>
                            <w14:schemeClr w14:val="tx1"/>
                          </w14:solidFill>
                        </w14:textFill>
                      </w:rPr>
                    </w:pP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sz w:val="20"/>
        <w:szCs w:val="20"/>
      </w:rPr>
    </w:pPr>
    <w:r>
      <w:rPr>
        <w:rFonts w:hint="eastAsia"/>
      </w:rPr>
      <mc:AlternateContent>
        <mc:Choice Requires="wps">
          <w:drawing>
            <wp:anchor distT="0" distB="0" distL="114300" distR="114300" simplePos="0" relativeHeight="251670528" behindDoc="0" locked="0" layoutInCell="1" allowOverlap="1">
              <wp:simplePos x="0" y="0"/>
              <wp:positionH relativeFrom="column">
                <wp:posOffset>428625</wp:posOffset>
              </wp:positionH>
              <wp:positionV relativeFrom="paragraph">
                <wp:posOffset>-1270</wp:posOffset>
              </wp:positionV>
              <wp:extent cx="5283200" cy="428625"/>
              <wp:effectExtent l="0" t="0" r="0" b="0"/>
              <wp:wrapNone/>
              <wp:docPr id="41" name="矩形 41"/>
              <wp:cNvGraphicFramePr/>
              <a:graphic xmlns:a="http://schemas.openxmlformats.org/drawingml/2006/main">
                <a:graphicData uri="http://schemas.microsoft.com/office/word/2010/wordprocessingShape">
                  <wps:wsp>
                    <wps:cNvSpPr/>
                    <wps:spPr>
                      <a:xfrm>
                        <a:off x="0" y="0"/>
                        <a:ext cx="5283200"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olor w:val="000000" w:themeColor="text1"/>
                              <w:sz w:val="13"/>
                              <w:szCs w:val="13"/>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75pt;margin-top:-0.1pt;height:33.75pt;width:416pt;z-index:251670528;v-text-anchor:middle;mso-width-relative:page;mso-height-relative:page;" filled="f" stroked="f" coordsize="21600,21600" o:gfxdata="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JgcRNNUAAAAHAQAADwAA&#10;AAAAAAABACAAAAAiAAAAZHJzL2Rvd25yZXYueG1sUEsBAhQAFAAAAAgAh07iQMGIf+tSAgAAmAQA&#10;AA4AAAAAAAAAAQAgAAAAJAEAAGRycy9lMm9Eb2MueG1sUEsFBgAAAAAGAAYAWQEAAOgFAAAAAA==&#10;">
              <v:fill on="f" focussize="0,0"/>
              <v:stroke on="f" weight="2pt"/>
              <v:imagedata o:title=""/>
              <o:lock v:ext="edit" aspectratio="f"/>
              <v:textbox>
                <w:txbxContent>
                  <w:p>
                    <w:pPr>
                      <w:jc w:val="center"/>
                      <w:rPr>
                        <w:rFonts w:ascii="思源黑体 Regular" w:hAnsi="思源黑体 Regular" w:eastAsia="思源黑体 Regular"/>
                        <w:color w:val="000000" w:themeColor="text1"/>
                        <w:sz w:val="13"/>
                        <w:szCs w:val="13"/>
                        <w14:textFill>
                          <w14:solidFill>
                            <w14:schemeClr w14:val="tx1"/>
                          </w14:solidFill>
                        </w14:textFill>
                      </w:rPr>
                    </w:pPr>
                  </w:p>
                </w:txbxContent>
              </v:textbox>
            </v:rect>
          </w:pict>
        </mc:Fallback>
      </mc:AlternateContent>
    </w: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-2540</wp:posOffset>
              </wp:positionV>
              <wp:extent cx="6228080" cy="0"/>
              <wp:effectExtent l="0" t="4445" r="1270" b="5080"/>
              <wp:wrapNone/>
              <wp:docPr id="31" name="直接连接符 31"/>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top:-0.2pt;height:0pt;width:490.4pt;mso-position-horizontal:center;mso-position-horizontal-relative:margin;z-index:251663360;mso-width-relative:page;mso-height-relative:page;" filled="f" stroked="t" coordsize="21600,21600" o:gfxdata="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DtalV0gAAAAQBAAAP&#10;AAAAAAAAAAEAIAAAACIAAABkcnMvZG93bnJldi54bWxQSwECFAAUAAAACACHTuJAFTTBbOUBAACs&#10;AwAADgAAAAAAAAABACAAAAAhAQAAZHJzL2Uyb0RvYy54bWxQSwUGAAAAAAYABgBZAQAAeAU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pPr>
                            <w:pStyle w:val="16"/>
                            <w:tabs>
                              <w:tab w:val="center" w:pos="4153"/>
                              <w:tab w:val="right" w:pos="8306"/>
                            </w:tabs>
                            <w:rPr>
                              <w:lang w:eastAsia="zh-CN"/>
                            </w:rPr>
                          </w:pPr>
                        </w:p>
                      </w:txbxContent>
                    </wps:txbx>
                    <wps:bodyPr vert="horz" wrap="none" lIns="0" tIns="0" rIns="0" bIns="0" anchor="t" upright="1">
                      <a:spAutoFit/>
                    </wps:bodyPr>
                  </wps:wsp>
                </a:graphicData>
              </a:graphic>
            </wp:anchor>
          </w:drawing>
        </mc:Choice>
        <mc:Fallback>
          <w:pict>
            <v:shape id="文本框 9"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s0lY7tAAAAAFAQAADwAAAAAA&#10;AAABACAAAAAiAAAAZHJzL2Rvd25yZXYueG1sUEsBAhQAFAAAAAgAh07iQCpW/6ziAQAAugMAAA4A&#10;AAAAAAAAAQAgAAAAHwEAAGRycy9lMm9Eb2MueG1sUEsFBgAAAAAGAAYAWQEAAHMFAAAAAA==&#10;">
              <v:fill on="f" focussize="0,0"/>
              <v:stroke on="f" weight="0.5pt"/>
              <v:imagedata o:title=""/>
              <o:lock v:ext="edit" aspectratio="f"/>
              <v:textbox inset="0mm,0mm,0mm,0mm" style="mso-fit-shape-to-text:t;">
                <w:txbxContent>
                  <w:p>
                    <w:pPr>
                      <w:pStyle w:val="16"/>
                      <w:tabs>
                        <w:tab w:val="center" w:pos="4153"/>
                        <w:tab w:val="right" w:pos="8306"/>
                      </w:tabs>
                      <w:rPr>
                        <w:lang w:eastAsia="zh-CN"/>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82220044"/>
    </w:sdtPr>
    <w:sdtContent>
      <w:p>
        <w:pPr>
          <w:pStyle w:val="16"/>
          <w:jc w:val="center"/>
        </w:pPr>
        <w:r>
          <w:rPr>
            <w:rFonts w:hint="eastAsia"/>
            <w:lang w:eastAsia="zh-CN"/>
          </w:rPr>
          <mc:AlternateContent>
            <mc:Choice Requires="wps">
              <w:drawing>
                <wp:anchor distT="0" distB="0" distL="114300" distR="114300" simplePos="0" relativeHeight="251671552" behindDoc="0" locked="0" layoutInCell="1" allowOverlap="1">
                  <wp:simplePos x="0" y="0"/>
                  <wp:positionH relativeFrom="column">
                    <wp:posOffset>451485</wp:posOffset>
                  </wp:positionH>
                  <wp:positionV relativeFrom="paragraph">
                    <wp:posOffset>24765</wp:posOffset>
                  </wp:positionV>
                  <wp:extent cx="5283200" cy="428625"/>
                  <wp:effectExtent l="0" t="0" r="0" b="0"/>
                  <wp:wrapNone/>
                  <wp:docPr id="73" name="矩形 73"/>
                  <wp:cNvGraphicFramePr/>
                  <a:graphic xmlns:a="http://schemas.openxmlformats.org/drawingml/2006/main">
                    <a:graphicData uri="http://schemas.microsoft.com/office/word/2010/wordprocessingShape">
                      <wps:wsp>
                        <wps:cNvSpPr/>
                        <wps:spPr>
                          <a:xfrm>
                            <a:off x="0" y="0"/>
                            <a:ext cx="5283200"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olor w:val="000000" w:themeColor="text1"/>
                                  <w:sz w:val="13"/>
                                  <w:szCs w:val="13"/>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55pt;margin-top:1.95pt;height:33.75pt;width:416pt;z-index:251671552;v-text-anchor:middle;mso-width-relative:page;mso-height-relative:page;" filled="f" stroked="f" coordsize="21600,21600" o:gfxdata="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QTWofdQAAAAHAQAADwAA&#10;AAAAAAABACAAAAAiAAAAZHJzL2Rvd25yZXYueG1sUEsBAhQAFAAAAAgAh07iQA+/jqBTAgAAmAQA&#10;AA4AAAAAAAAAAQAgAAAAIwEAAGRycy9lMm9Eb2MueG1sUEsFBgAAAAAGAAYAWQEAAOgFAAAAAA==&#10;">
                  <v:fill on="f" focussize="0,0"/>
                  <v:stroke on="f" weight="2pt"/>
                  <v:imagedata o:title=""/>
                  <o:lock v:ext="edit" aspectratio="f"/>
                  <v:textbox>
                    <w:txbxContent>
                      <w:p>
                        <w:pPr>
                          <w:jc w:val="center"/>
                          <w:rPr>
                            <w:rFonts w:ascii="思源黑体 Regular" w:hAnsi="思源黑体 Regular" w:eastAsia="思源黑体 Regular"/>
                            <w:color w:val="000000" w:themeColor="text1"/>
                            <w:sz w:val="13"/>
                            <w:szCs w:val="13"/>
                            <w14:textFill>
                              <w14:solidFill>
                                <w14:schemeClr w14:val="tx1"/>
                              </w14:solidFill>
                            </w14:textFill>
                          </w:rPr>
                        </w:pPr>
                      </w:p>
                    </w:txbxContent>
                  </v:textbox>
                </v:rect>
              </w:pict>
            </mc:Fallback>
          </mc:AlternateContent>
        </w:r>
        <w:r>
          <w:rPr>
            <w:lang w:eastAsia="zh-CN"/>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-2540</wp:posOffset>
                  </wp:positionV>
                  <wp:extent cx="6228080" cy="0"/>
                  <wp:effectExtent l="0" t="4445" r="1270" b="5080"/>
                  <wp:wrapNone/>
                  <wp:docPr id="32" name="直接连接符 32"/>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top:-0.2pt;height:0pt;width:490.4pt;mso-position-horizontal:center;mso-position-horizontal-relative:margin;z-index:251664384;mso-width-relative:page;mso-height-relative:page;" filled="f" stroked="t" coordsize="21600,21600" o:gfxdata="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DtalV0gAAAAQBAAAP&#10;AAAAAAAAAAEAIAAAACIAAABkcnMvZG93bnJldi54bWxQSwECFAAUAAAACACHTuJAQ8uLg+UBAACs&#10;AwAADgAAAAAAAAABACAAAAAhAQAAZHJzL2Uyb0RvYy54bWxQSwUGAAAAAAYABgBZAQAAeAUAAAAA&#10;">
                  <v:fill on="f" focussize="0,0"/>
                  <v:stroke color="#000000" joinstyle="round"/>
                  <v:imagedata o:title=""/>
                  <o:lock v:ext="edit" aspectratio="f"/>
                </v:line>
              </w:pict>
            </mc:Fallback>
          </mc:AlternateContent>
        </w:r>
        <w:r>
          <w:fldChar w:fldCharType="begin"/>
        </w:r>
        <w:r>
          <w:instrText xml:space="preserve">PAGE   \* MERGEFORMAT</w:instrText>
        </w:r>
        <w:r>
          <w:fldChar w:fldCharType="separate"/>
        </w:r>
        <w:r>
          <w:rPr>
            <w:lang w:val="zh-CN" w:eastAsia="zh-CN"/>
          </w:rPr>
          <w:t>5</w:t>
        </w:r>
        <w:r>
          <w:fldChar w:fldCharType="end"/>
        </w:r>
      </w:p>
    </w:sdtContent>
  </w:sdt>
  <w:p>
    <w:pPr>
      <w:tabs>
        <w:tab w:val="left" w:pos="2869"/>
      </w:tabs>
      <w:spacing w:line="14" w:lineRule="auto"/>
      <w:rPr>
        <w:sz w:val="20"/>
        <w:szCs w:val="20"/>
      </w:rPr>
    </w:pPr>
    <w:r>
      <w:rPr>
        <w:rFonts w:hint="eastAsia"/>
        <w:sz w:val="20"/>
        <w:szCs w:val="20"/>
      </w:rP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68774134"/>
    </w:sdtPr>
    <w:sdtContent>
      <w:p>
        <w:pPr>
          <w:pStyle w:val="16"/>
          <w:jc w:val="center"/>
        </w:pPr>
        <w:r>
          <w:fldChar w:fldCharType="begin"/>
        </w:r>
        <w:r>
          <w:instrText xml:space="preserve">PAGE   \* MERGEFORMAT</w:instrText>
        </w:r>
        <w:r>
          <w:fldChar w:fldCharType="separate"/>
        </w:r>
        <w:r>
          <w:rPr>
            <w:lang w:val="zh-CN" w:eastAsia="zh-CN"/>
          </w:rPr>
          <w:t>15</w:t>
        </w:r>
        <w:r>
          <w:fldChar w:fldCharType="end"/>
        </w:r>
      </w:p>
    </w:sdtContent>
  </w:sdt>
  <w:p>
    <w:pPr>
      <w:spacing w:line="14" w:lineRule="auto"/>
      <w:rPr>
        <w:sz w:val="20"/>
        <w:szCs w:val="20"/>
      </w:rPr>
    </w:pPr>
    <w:r>
      <w:rPr>
        <w:rFonts w:hint="eastAsia"/>
      </w:rPr>
      <mc:AlternateContent>
        <mc:Choice Requires="wps">
          <w:drawing>
            <wp:anchor distT="0" distB="0" distL="114300" distR="114300" simplePos="0" relativeHeight="251672576" behindDoc="0" locked="0" layoutInCell="1" allowOverlap="1">
              <wp:simplePos x="0" y="0"/>
              <wp:positionH relativeFrom="column">
                <wp:posOffset>425450</wp:posOffset>
              </wp:positionH>
              <wp:positionV relativeFrom="paragraph">
                <wp:posOffset>-235585</wp:posOffset>
              </wp:positionV>
              <wp:extent cx="5283200" cy="428625"/>
              <wp:effectExtent l="0" t="0" r="0" b="0"/>
              <wp:wrapNone/>
              <wp:docPr id="66" name="矩形 66"/>
              <wp:cNvGraphicFramePr/>
              <a:graphic xmlns:a="http://schemas.openxmlformats.org/drawingml/2006/main">
                <a:graphicData uri="http://schemas.microsoft.com/office/word/2010/wordprocessingShape">
                  <wps:wsp>
                    <wps:cNvSpPr/>
                    <wps:spPr>
                      <a:xfrm>
                        <a:off x="0" y="0"/>
                        <a:ext cx="5283200"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olor w:val="000000" w:themeColor="text1"/>
                              <w:sz w:val="13"/>
                              <w:szCs w:val="13"/>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5pt;margin-top:-18.55pt;height:33.75pt;width:416pt;z-index:251672576;v-text-anchor:middle;mso-width-relative:page;mso-height-relative:page;" filled="f" stroked="f" coordsize="21600,21600" o:gfxdata="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Jls3ozZAAAACQEA&#10;AA8AAAAAAAAAAQAgAAAAIgAAAGRycy9kb3ducmV2LnhtbFBLAQIUABQAAAAIAIdO4kA0pCUoUgIA&#10;AJgEAAAOAAAAAAAAAAEAIAAAACgBAABkcnMvZTJvRG9jLnhtbFBLBQYAAAAABgAGAFkBAADsBQAA&#10;AAA=&#10;">
              <v:fill on="f" focussize="0,0"/>
              <v:stroke on="f" weight="2pt"/>
              <v:imagedata o:title=""/>
              <o:lock v:ext="edit" aspectratio="f"/>
              <v:textbox>
                <w:txbxContent>
                  <w:p>
                    <w:pPr>
                      <w:jc w:val="center"/>
                      <w:rPr>
                        <w:rFonts w:ascii="思源黑体 Regular" w:hAnsi="思源黑体 Regular" w:eastAsia="思源黑体 Regular"/>
                        <w:color w:val="000000" w:themeColor="text1"/>
                        <w:sz w:val="13"/>
                        <w:szCs w:val="13"/>
                        <w14:textFill>
                          <w14:solidFill>
                            <w14:schemeClr w14:val="tx1"/>
                          </w14:solidFill>
                        </w14:textFill>
                      </w:rPr>
                    </w:pPr>
                  </w:p>
                </w:txbxContent>
              </v:textbox>
            </v:rect>
          </w:pict>
        </mc:Fallback>
      </mc:AlternateContent>
    </w: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-254635</wp:posOffset>
              </wp:positionV>
              <wp:extent cx="6228080" cy="0"/>
              <wp:effectExtent l="0" t="0" r="0" b="0"/>
              <wp:wrapNone/>
              <wp:docPr id="38" name="直接连接符 38"/>
              <wp:cNvGraphicFramePr/>
              <a:graphic xmlns:a="http://schemas.openxmlformats.org/drawingml/2006/main">
                <a:graphicData uri="http://schemas.microsoft.com/office/word/2010/wordprocessingShape">
                  <wps:wsp>
                    <wps:cNvCnPr>
                      <a:cxnSpLocks noChangeShapeType="1"/>
                    </wps:cNvCnPr>
                    <wps:spPr bwMode="auto">
                      <a:xfrm>
                        <a:off x="0" y="0"/>
                        <a:ext cx="628015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top:-20.05pt;height:0pt;width:490.4pt;mso-position-horizontal:center;mso-position-horizontal-relative:margin;z-index:251667456;mso-width-relative:page;mso-height-relative:page;" filled="f" stroked="t" coordsize="21600,21600" o:gfxdata="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Rw/id1QAAAAgB&#10;AAAPAAAAAAAAAAEAIAAAACIAAABkcnMvZG93bnJldi54bWxQSwECFAAUAAAACACHTuJANp5/6OUB&#10;AACsAwAADgAAAAAAAAABACAAAAAkAQAAZHJzL2Uyb0RvYy54bWxQSwUGAAAAAAYABgBZAQAAewUA&#10;AAAA&#10;">
              <v:fill on="f" focussize="0,0"/>
              <v:stroke color="#000000" joinstyle="round"/>
              <v:imagedata o:title=""/>
              <o:lock v:ext="edit" aspectratio="f"/>
            </v:lin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9074830"/>
    </w:sdtPr>
    <w:sdtContent>
      <w:p>
        <w:pPr>
          <w:pStyle w:val="16"/>
          <w:jc w:val="center"/>
        </w:pPr>
        <w:r>
          <w:fldChar w:fldCharType="begin"/>
        </w:r>
        <w:r>
          <w:instrText xml:space="preserve">PAGE   \* MERGEFORMAT</w:instrText>
        </w:r>
        <w:r>
          <w:fldChar w:fldCharType="separate"/>
        </w:r>
        <w:r>
          <w:rPr>
            <w:lang w:val="zh-CN" w:eastAsia="zh-CN"/>
          </w:rPr>
          <w:t>29</w:t>
        </w:r>
        <w:r>
          <w:fldChar w:fldCharType="end"/>
        </w:r>
      </w:p>
    </w:sdtContent>
  </w:sdt>
  <w:p>
    <w:pPr>
      <w:spacing w:line="14" w:lineRule="auto"/>
      <w:rPr>
        <w:sz w:val="20"/>
        <w:szCs w:val="20"/>
      </w:rPr>
    </w:pPr>
    <w:r>
      <w:rPr>
        <w:rFonts w:hint="eastAsia"/>
      </w:rPr>
      <mc:AlternateContent>
        <mc:Choice Requires="wps">
          <w:drawing>
            <wp:anchor distT="0" distB="0" distL="114300" distR="114300" simplePos="0" relativeHeight="251673600" behindDoc="0" locked="0" layoutInCell="1" allowOverlap="1">
              <wp:simplePos x="0" y="0"/>
              <wp:positionH relativeFrom="column">
                <wp:posOffset>425450</wp:posOffset>
              </wp:positionH>
              <wp:positionV relativeFrom="paragraph">
                <wp:posOffset>-235585</wp:posOffset>
              </wp:positionV>
              <wp:extent cx="5283200" cy="428625"/>
              <wp:effectExtent l="0" t="0" r="0" b="0"/>
              <wp:wrapNone/>
              <wp:docPr id="79" name="矩形 79"/>
              <wp:cNvGraphicFramePr/>
              <a:graphic xmlns:a="http://schemas.openxmlformats.org/drawingml/2006/main">
                <a:graphicData uri="http://schemas.microsoft.com/office/word/2010/wordprocessingShape">
                  <wps:wsp>
                    <wps:cNvSpPr/>
                    <wps:spPr>
                      <a:xfrm>
                        <a:off x="0" y="0"/>
                        <a:ext cx="5283200"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olor w:val="000000" w:themeColor="text1"/>
                              <w:sz w:val="13"/>
                              <w:szCs w:val="13"/>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5pt;margin-top:-18.55pt;height:33.75pt;width:416pt;z-index:251673600;v-text-anchor:middle;mso-width-relative:page;mso-height-relative:page;" filled="f" stroked="f" coordsize="21600,21600" o:gfxdata="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bN6M2QAAAAkB&#10;AAAPAAAAAAAAAAEAIAAAACIAAABkcnMvZG93bnJldi54bWxQSwECFAAUAAAACACHTuJAgjEzKFMC&#10;AACYBAAADgAAAAAAAAABACAAAAAoAQAAZHJzL2Uyb0RvYy54bWxQSwUGAAAAAAYABgBZAQAA7QUA&#10;AAAA&#10;">
              <v:fill on="f" focussize="0,0"/>
              <v:stroke on="f" weight="2pt"/>
              <v:imagedata o:title=""/>
              <o:lock v:ext="edit" aspectratio="f"/>
              <v:textbox>
                <w:txbxContent>
                  <w:p>
                    <w:pPr>
                      <w:jc w:val="center"/>
                      <w:rPr>
                        <w:rFonts w:ascii="思源黑体 Regular" w:hAnsi="思源黑体 Regular" w:eastAsia="思源黑体 Regular"/>
                        <w:color w:val="000000" w:themeColor="text1"/>
                        <w:sz w:val="13"/>
                        <w:szCs w:val="13"/>
                        <w14:textFill>
                          <w14:solidFill>
                            <w14:schemeClr w14:val="tx1"/>
                          </w14:solidFill>
                        </w14:textFill>
                      </w:rPr>
                    </w:pPr>
                  </w:p>
                </w:txbxContent>
              </v:textbox>
            </v:rect>
          </w:pict>
        </mc:Fallback>
      </mc:AlternateContent>
    </w: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-254635</wp:posOffset>
              </wp:positionV>
              <wp:extent cx="6228080" cy="0"/>
              <wp:effectExtent l="0" t="4445" r="1270" b="5080"/>
              <wp:wrapNone/>
              <wp:docPr id="33" name="直接连接符 33"/>
              <wp:cNvGraphicFramePr/>
              <a:graphic xmlns:a="http://schemas.openxmlformats.org/drawingml/2006/main">
                <a:graphicData uri="http://schemas.microsoft.com/office/word/2010/wordprocessingShape">
                  <wps:wsp>
                    <wps:cNvCnPr>
                      <a:cxnSpLocks noChangeShapeType="1"/>
                    </wps:cNvCnPr>
                    <wps:spPr bwMode="auto">
                      <a:xfrm>
                        <a:off x="0" y="0"/>
                        <a:ext cx="628015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top:-20.05pt;height:0pt;width:490.4pt;mso-position-horizontal:center;mso-position-horizontal-relative:margin;z-index:251666432;mso-width-relative:page;mso-height-relative:page;" filled="f" stroked="t" coordsize="21600,21600" o:gfxdata="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Rw/id1QAAAAgB&#10;AAAPAAAAAAAAAAEAIAAAACIAAABkcnMvZG93bnJldi54bWxQSwECFAAUAAAACACHTuJAM8KUvOUB&#10;AACsAwAADgAAAAAAAAABACAAAAAkAQAAZHJzL2Uyb0RvYy54bWxQSwUGAAAAAAYABgBZAQAAewUA&#10;AAAA&#10;">
              <v:fill on="f" focussize="0,0"/>
              <v:stroke color="#000000" joinstyle="round"/>
              <v:imagedata o:title=""/>
              <o:lock v:ext="edit" aspectratio="f"/>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950"/>
      </w:tabs>
      <w:spacing w:line="14" w:lineRule="auto"/>
      <w:rPr>
        <w:sz w:val="20"/>
        <w:szCs w:val="20"/>
      </w:rPr>
    </w:pPr>
    <w:r>
      <w:rPr>
        <w:sz w:val="20"/>
        <w:szCs w:val="20"/>
      </w:rPr>
      <w:tab/>
    </w:r>
  </w:p>
  <w:p>
    <w:pPr>
      <w:spacing w:line="14" w:lineRule="auto"/>
      <w:rPr>
        <w:sz w:val="20"/>
        <w:szCs w:val="20"/>
      </w:rPr>
    </w:pPr>
    <w:r>
      <w:rPr>
        <w:rFonts w:eastAsia="Calibri"/>
      </w:rPr>
      <mc:AlternateContent>
        <mc:Choice Requires="wpg">
          <w:drawing>
            <wp:anchor distT="0" distB="0" distL="114300" distR="114300" simplePos="0" relativeHeight="251660288" behindDoc="1" locked="0" layoutInCell="1" allowOverlap="1">
              <wp:simplePos x="0" y="0"/>
              <wp:positionH relativeFrom="margin">
                <wp:align>center</wp:align>
              </wp:positionH>
              <wp:positionV relativeFrom="paragraph">
                <wp:posOffset>19685</wp:posOffset>
              </wp:positionV>
              <wp:extent cx="6228080" cy="54610"/>
              <wp:effectExtent l="0" t="2540" r="0" b="0"/>
              <wp:wrapNone/>
              <wp:docPr id="25" name="组合 1"/>
              <wp:cNvGraphicFramePr/>
              <a:graphic xmlns:a="http://schemas.openxmlformats.org/drawingml/2006/main">
                <a:graphicData uri="http://schemas.microsoft.com/office/word/2010/wordprocessingGroup">
                  <wpg:wgp>
                    <wpg:cNvGrpSpPr/>
                    <wpg:grpSpPr>
                      <a:xfrm>
                        <a:off x="0" y="0"/>
                        <a:ext cx="6228080" cy="54610"/>
                        <a:chOff x="1103" y="-1523"/>
                        <a:chExt cx="9693" cy="86"/>
                      </a:xfrm>
                    </wpg:grpSpPr>
                    <wpg:grpSp>
                      <wpg:cNvPr id="22" name="组合 2"/>
                      <wpg:cNvGrpSpPr/>
                      <wpg:grpSpPr>
                        <a:xfrm>
                          <a:off x="1133" y="-1520"/>
                          <a:ext cx="9634" cy="2"/>
                          <a:chOff x="1133" y="-1520"/>
                          <a:chExt cx="9634" cy="2"/>
                        </a:xfrm>
                      </wpg:grpSpPr>
                      <wps:wsp>
                        <wps:cNvPr id="21" name="任意多边形 3"/>
                        <wps:cNvSpPr/>
                        <wps:spPr>
                          <a:xfrm>
                            <a:off x="1133" y="-1520"/>
                            <a:ext cx="9634" cy="0"/>
                          </a:xfrm>
                          <a:custGeom>
                            <a:avLst/>
                            <a:gdLst/>
                            <a:ahLst/>
                            <a:cxnLst/>
                            <a:rect l="0" t="0" r="0" b="0"/>
                            <a:pathLst>
                              <a:path w="9634" h="2">
                                <a:moveTo>
                                  <a:pt x="0" y="0"/>
                                </a:moveTo>
                                <a:lnTo>
                                  <a:pt x="9634" y="0"/>
                                </a:lnTo>
                              </a:path>
                            </a:pathLst>
                          </a:custGeom>
                          <a:noFill/>
                          <a:ln w="3794" cap="flat" cmpd="sng">
                            <a:solidFill>
                              <a:srgbClr val="001639"/>
                            </a:solidFill>
                            <a:prstDash val="solid"/>
                            <a:round/>
                            <a:headEnd type="none" w="med" len="med"/>
                            <a:tailEnd type="none" w="med" len="med"/>
                          </a:ln>
                        </wps:spPr>
                        <wps:bodyPr vert="horz" wrap="square" anchor="t" upright="1"/>
                      </wps:wsp>
                    </wpg:grpSp>
                    <wpg:grpSp>
                      <wpg:cNvPr id="24" name="组合 4"/>
                      <wpg:cNvGrpSpPr/>
                      <wpg:grpSpPr>
                        <a:xfrm>
                          <a:off x="1133" y="-1468"/>
                          <a:ext cx="9634" cy="2"/>
                          <a:chOff x="1133" y="-1468"/>
                          <a:chExt cx="9634" cy="2"/>
                        </a:xfrm>
                      </wpg:grpSpPr>
                      <wps:wsp>
                        <wps:cNvPr id="23" name="任意多边形 5"/>
                        <wps:cNvSpPr/>
                        <wps:spPr>
                          <a:xfrm>
                            <a:off x="1133" y="-1468"/>
                            <a:ext cx="9634" cy="0"/>
                          </a:xfrm>
                          <a:custGeom>
                            <a:avLst/>
                            <a:gdLst/>
                            <a:ahLst/>
                            <a:cxnLst/>
                            <a:rect l="0" t="0" r="0" b="0"/>
                            <a:pathLst>
                              <a:path w="9634" h="2">
                                <a:moveTo>
                                  <a:pt x="0" y="0"/>
                                </a:moveTo>
                                <a:lnTo>
                                  <a:pt x="9634" y="0"/>
                                </a:lnTo>
                              </a:path>
                            </a:pathLst>
                          </a:custGeom>
                          <a:noFill/>
                          <a:ln w="37940" cap="flat" cmpd="sng">
                            <a:solidFill>
                              <a:srgbClr val="001639"/>
                            </a:solidFill>
                            <a:prstDash val="solid"/>
                            <a:round/>
                            <a:headEnd type="none" w="med" len="med"/>
                            <a:tailEnd type="none" w="med" len="med"/>
                          </a:ln>
                        </wps:spPr>
                        <wps:bodyPr vert="horz" wrap="square" anchor="t" upright="1"/>
                      </wps:wsp>
                    </wpg:grpSp>
                  </wpg:wgp>
                </a:graphicData>
              </a:graphic>
            </wp:anchor>
          </w:drawing>
        </mc:Choice>
        <mc:Fallback>
          <w:pict>
            <v:group id="组合 1" o:spid="_x0000_s1026" o:spt="203" style="position:absolute;left:0pt;margin-top:1.55pt;height:4.3pt;width:490.4pt;mso-position-horizontal:center;mso-position-horizontal-relative:margin;z-index:-251656192;mso-width-relative:page;mso-height-relative:page;" coordorigin="1103,-1523" coordsize="9693,86" o:gfxdata="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BgkDuk1QAAAAUBAAAPAAAAAAAA&#10;AAEAIAAAACIAAABkcnMvZG93bnJldi54bWxQSwECFAAUAAAACACHTuJAroTzDTIDAABwCwAADgAA&#10;AAAAAAABACAAAAAkAQAAZHJzL2Uyb0RvYy54bWxQSwUGAAAAAAYABgBZAQAAyAYAAAAA&#10;">
              <o:lock v:ext="edit" aspectratio="f"/>
              <v:group id="组合 2" o:spid="_x0000_s1026" o:spt="203" style="position:absolute;left:1133;top:-1520;height:2;width:9634;" coordorigin="1133,-1520" coordsize="9634,2" o:gfxdata="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P8YES+AAAA2wAAAA8AAAAAAAAAAQAgAAAAIgAAAGRycy9kb3ducmV2Lnht&#10;bFBLAQIUABQAAAAIAIdO4kAzLwWeOwAAADkAAAAVAAAAAAAAAAEAIAAAAA0BAABkcnMvZ3JvdXBz&#10;aGFwZXhtbC54bWxQSwUGAAAAAAYABgBgAQAAygMAAAAA&#10;">
                <o:lock v:ext="edit" aspectratio="f"/>
                <v:shape id="任意多边形 3" o:spid="_x0000_s1026" o:spt="100" style="position:absolute;left:1133;top:-1520;height:0;width:9634;" filled="f" stroked="t" coordsize="9634,2" o:gfxdata="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GR4ErsAAADb&#10;AAAADwAAAAAAAAABACAAAAAiAAAAZHJzL2Rvd25yZXYueG1sUEsBAhQAFAAAAAgAh07iQDMvBZ47&#10;AAAAOQAAABAAAAAAAAAAAQAgAAAACgEAAGRycy9zaGFwZXhtbC54bWxQSwUGAAAAAAYABgBbAQAA&#10;tAMAAAAA&#10;" path="m0,0l9634,0e">
                  <v:fill on="f" focussize="0,0"/>
                  <v:stroke weight="0.298740157480315pt" color="#001639" joinstyle="round"/>
                  <v:imagedata o:title=""/>
                  <o:lock v:ext="edit" aspectratio="f"/>
                </v:shape>
              </v:group>
              <v:group id="组合 4" o:spid="_x0000_s1026" o:spt="203" style="position:absolute;left:1133;top:-1468;height:2;width:9634;" coordorigin="1133,-1468" coordsize="9634,2" o:gfxdata="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DWV2rvwAAANsAAAAPAAAAAAAAAAEAIAAAACIAAABkcnMvZG93bnJldi54&#10;bWxQSwECFAAUAAAACACHTuJAMy8FnjsAAAA5AAAAFQAAAAAAAAABACAAAAAOAQAAZHJzL2dyb3Vw&#10;c2hhcGV4bWwueG1sUEsFBgAAAAAGAAYAYAEAAMsDAAAAAA==&#10;">
                <o:lock v:ext="edit" aspectratio="f"/>
                <v:shape id="任意多边形 5" o:spid="_x0000_s1026" o:spt="100" style="position:absolute;left:1133;top:-1468;height:0;width:9634;" filled="f" stroked="t" coordsize="9634,2" o:gfxdata="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CWM7S5AAAA2wAA&#10;AA8AAAAAAAAAAQAgAAAAIgAAAGRycy9kb3ducmV2LnhtbFBLAQIUABQAAAAIAIdO4kAzLwWeOwAA&#10;ADkAAAAQAAAAAAAAAAEAIAAAAAgBAABkcnMvc2hhcGV4bWwueG1sUEsFBgAAAAAGAAYAWwEAALID&#10;AAAAAA==&#10;" path="m0,0l9634,0e">
                  <v:fill on="f" focussize="0,0"/>
                  <v:stroke weight="2.98740157480315pt" color="#001639" joinstyle="round"/>
                  <v:imagedata o:title=""/>
                  <o:lock v:ext="edit" aspectratio="f"/>
                </v:shape>
              </v:group>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jc w:val="right"/>
      <w:rPr>
        <w:lang w:eastAsia="zh-CN"/>
      </w:rPr>
    </w:pPr>
    <w:r>
      <w:rPr>
        <w:rFonts w:eastAsia="Calibri"/>
        <w:lang w:eastAsia="zh-CN"/>
      </w:rPr>
      <mc:AlternateContent>
        <mc:Choice Requires="wpg">
          <w:drawing>
            <wp:anchor distT="0" distB="0" distL="114300" distR="114300" simplePos="0" relativeHeight="251665408" behindDoc="1" locked="0" layoutInCell="1" allowOverlap="1">
              <wp:simplePos x="0" y="0"/>
              <wp:positionH relativeFrom="margin">
                <wp:align>center</wp:align>
              </wp:positionH>
              <wp:positionV relativeFrom="paragraph">
                <wp:posOffset>17780</wp:posOffset>
              </wp:positionV>
              <wp:extent cx="6228080" cy="54610"/>
              <wp:effectExtent l="0" t="2540" r="0" b="0"/>
              <wp:wrapNone/>
              <wp:docPr id="26" name="组合 1"/>
              <wp:cNvGraphicFramePr/>
              <a:graphic xmlns:a="http://schemas.openxmlformats.org/drawingml/2006/main">
                <a:graphicData uri="http://schemas.microsoft.com/office/word/2010/wordprocessingGroup">
                  <wpg:wgp>
                    <wpg:cNvGrpSpPr/>
                    <wpg:grpSpPr>
                      <a:xfrm>
                        <a:off x="0" y="0"/>
                        <a:ext cx="6228080" cy="54610"/>
                        <a:chOff x="1103" y="-1523"/>
                        <a:chExt cx="9693" cy="86"/>
                      </a:xfrm>
                    </wpg:grpSpPr>
                    <wpg:grpSp>
                      <wpg:cNvPr id="27" name="组合 2"/>
                      <wpg:cNvGrpSpPr/>
                      <wpg:grpSpPr>
                        <a:xfrm>
                          <a:off x="1133" y="-1520"/>
                          <a:ext cx="9634" cy="2"/>
                          <a:chOff x="1133" y="-1520"/>
                          <a:chExt cx="9634" cy="2"/>
                        </a:xfrm>
                      </wpg:grpSpPr>
                      <wps:wsp>
                        <wps:cNvPr id="28" name="任意多边形 3"/>
                        <wps:cNvSpPr/>
                        <wps:spPr>
                          <a:xfrm>
                            <a:off x="1133" y="-1520"/>
                            <a:ext cx="9634" cy="0"/>
                          </a:xfrm>
                          <a:custGeom>
                            <a:avLst/>
                            <a:gdLst/>
                            <a:ahLst/>
                            <a:cxnLst/>
                            <a:rect l="0" t="0" r="0" b="0"/>
                            <a:pathLst>
                              <a:path w="9634" h="2">
                                <a:moveTo>
                                  <a:pt x="0" y="0"/>
                                </a:moveTo>
                                <a:lnTo>
                                  <a:pt x="9634" y="0"/>
                                </a:lnTo>
                              </a:path>
                            </a:pathLst>
                          </a:custGeom>
                          <a:noFill/>
                          <a:ln w="3794" cap="flat" cmpd="sng">
                            <a:solidFill>
                              <a:srgbClr val="001639"/>
                            </a:solidFill>
                            <a:prstDash val="solid"/>
                            <a:round/>
                            <a:headEnd type="none" w="med" len="med"/>
                            <a:tailEnd type="none" w="med" len="med"/>
                          </a:ln>
                        </wps:spPr>
                        <wps:bodyPr vert="horz" wrap="square" anchor="t" upright="1"/>
                      </wps:wsp>
                    </wpg:grpSp>
                    <wpg:grpSp>
                      <wpg:cNvPr id="29" name="组合 4"/>
                      <wpg:cNvGrpSpPr/>
                      <wpg:grpSpPr>
                        <a:xfrm>
                          <a:off x="1133" y="-1468"/>
                          <a:ext cx="9634" cy="2"/>
                          <a:chOff x="1133" y="-1468"/>
                          <a:chExt cx="9634" cy="2"/>
                        </a:xfrm>
                      </wpg:grpSpPr>
                      <wps:wsp>
                        <wps:cNvPr id="37" name="任意多边形 5"/>
                        <wps:cNvSpPr/>
                        <wps:spPr>
                          <a:xfrm>
                            <a:off x="1133" y="-1468"/>
                            <a:ext cx="9634" cy="0"/>
                          </a:xfrm>
                          <a:custGeom>
                            <a:avLst/>
                            <a:gdLst/>
                            <a:ahLst/>
                            <a:cxnLst/>
                            <a:rect l="0" t="0" r="0" b="0"/>
                            <a:pathLst>
                              <a:path w="9634" h="2">
                                <a:moveTo>
                                  <a:pt x="0" y="0"/>
                                </a:moveTo>
                                <a:lnTo>
                                  <a:pt x="9634" y="0"/>
                                </a:lnTo>
                              </a:path>
                            </a:pathLst>
                          </a:custGeom>
                          <a:noFill/>
                          <a:ln w="37940" cap="flat" cmpd="sng">
                            <a:solidFill>
                              <a:srgbClr val="001639"/>
                            </a:solidFill>
                            <a:prstDash val="solid"/>
                            <a:round/>
                            <a:headEnd type="none" w="med" len="med"/>
                            <a:tailEnd type="none" w="med" len="med"/>
                          </a:ln>
                        </wps:spPr>
                        <wps:bodyPr vert="horz" wrap="square" anchor="t" upright="1"/>
                      </wps:wsp>
                    </wpg:grpSp>
                  </wpg:wgp>
                </a:graphicData>
              </a:graphic>
            </wp:anchor>
          </w:drawing>
        </mc:Choice>
        <mc:Fallback>
          <w:pict>
            <v:group id="组合 1" o:spid="_x0000_s1026" o:spt="203" style="position:absolute;left:0pt;margin-top:1.4pt;height:4.3pt;width:490.4pt;mso-position-horizontal:center;mso-position-horizontal-relative:margin;z-index:-251651072;mso-width-relative:page;mso-height-relative:page;" coordorigin="1103,-1523" coordsize="9693,86" o:gfxdata="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bWRNYtUAAAAFAQAADwAAAAAA&#10;AAABACAAAAAiAAAAZHJzL2Rvd25yZXYueG1sUEsBAhQAFAAAAAgAh07iQD9+xgUzAwAAcAsAAA4A&#10;AAAAAAAAAQAgAAAAJAEAAGRycy9lMm9Eb2MueG1sUEsFBgAAAAAGAAYAWQEAAMkGAAAAAA==&#10;">
              <o:lock v:ext="edit" aspectratio="f"/>
              <v:group id="组合 2" o:spid="_x0000_s1026" o:spt="203" style="position:absolute;left:1133;top:-1520;height:2;width:9634;" coordorigin="1133,-1520" coordsize="9634,2" o:gfxdata="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zi8PcvwAAANsAAAAPAAAAAAAAAAEAIAAAACIAAABkcnMvZG93bnJldi54&#10;bWxQSwECFAAUAAAACACHTuJAMy8FnjsAAAA5AAAAFQAAAAAAAAABACAAAAAOAQAAZHJzL2dyb3Vw&#10;c2hhcGV4bWwueG1sUEsFBgAAAAAGAAYAYAEAAMsDAAAAAA==&#10;">
                <o:lock v:ext="edit" aspectratio="f"/>
                <v:shape id="任意多边形 3" o:spid="_x0000_s1026" o:spt="100" style="position:absolute;left:1133;top:-1520;height:0;width:9634;" filled="f" stroked="t" coordsize="9634,2" o:gfxdata="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V7Rj7gAAADbAAAA&#10;DwAAAAAAAAABACAAAAAiAAAAZHJzL2Rvd25yZXYueG1sUEsBAhQAFAAAAAgAh07iQDMvBZ47AAAA&#10;OQAAABAAAAAAAAAAAQAgAAAABwEAAGRycy9zaGFwZXhtbC54bWxQSwUGAAAAAAYABgBbAQAAsQMA&#10;AAAA&#10;" path="m0,0l9634,0e">
                  <v:fill on="f" focussize="0,0"/>
                  <v:stroke weight="0.298740157480315pt" color="#001639" joinstyle="round"/>
                  <v:imagedata o:title=""/>
                  <o:lock v:ext="edit" aspectratio="f"/>
                </v:shape>
              </v:group>
              <v:group id="组合 4" o:spid="_x0000_s1026" o:spt="203" style="position:absolute;left:1133;top:-1468;height:2;width:9634;" coordorigin="1133,-1468" coordsize="9634,2" o:gfxdata="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tWPI1vwAAANsAAAAPAAAAAAAAAAEAIAAAACIAAABkcnMvZG93bnJldi54&#10;bWxQSwECFAAUAAAACACHTuJAMy8FnjsAAAA5AAAAFQAAAAAAAAABACAAAAAOAQAAZHJzL2dyb3Vw&#10;c2hhcGV4bWwueG1sUEsFBgAAAAAGAAYAYAEAAMsDAAAAAA==&#10;">
                <o:lock v:ext="edit" aspectratio="f"/>
                <v:shape id="任意多边形 5" o:spid="_x0000_s1026" o:spt="100" style="position:absolute;left:1133;top:-1468;height:0;width:9634;" filled="f" stroked="t" coordsize="9634,2" o:gfxdata="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nSjarsAAADb&#10;AAAADwAAAAAAAAABACAAAAAiAAAAZHJzL2Rvd25yZXYueG1sUEsBAhQAFAAAAAgAh07iQDMvBZ47&#10;AAAAOQAAABAAAAAAAAAAAQAgAAAACgEAAGRycy9zaGFwZXhtbC54bWxQSwUGAAAAAAYABgBbAQAA&#10;tAMAAAAA&#10;" path="m0,0l9634,0e">
                  <v:fill on="f" focussize="0,0"/>
                  <v:stroke weight="2.98740157480315pt" color="#001639" joinstyle="round"/>
                  <v:imagedata o:title=""/>
                  <o:lock v:ext="edit" aspectratio="f"/>
                </v:shape>
              </v:group>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894559"/>
    <w:multiLevelType w:val="singleLevel"/>
    <w:tmpl w:val="B5894559"/>
    <w:lvl w:ilvl="0" w:tentative="0">
      <w:start w:val="1"/>
      <w:numFmt w:val="decimal"/>
      <w:lvlText w:val="%1."/>
      <w:lvlJc w:val="left"/>
      <w:pPr>
        <w:tabs>
          <w:tab w:val="left" w:pos="312"/>
        </w:tabs>
      </w:pPr>
    </w:lvl>
  </w:abstractNum>
  <w:abstractNum w:abstractNumId="1">
    <w:nsid w:val="CA5B9778"/>
    <w:multiLevelType w:val="singleLevel"/>
    <w:tmpl w:val="CA5B9778"/>
    <w:lvl w:ilvl="0" w:tentative="0">
      <w:start w:val="1"/>
      <w:numFmt w:val="decimal"/>
      <w:suff w:val="nothing"/>
      <w:lvlText w:val="%1、"/>
      <w:lvlJc w:val="left"/>
    </w:lvl>
  </w:abstractNum>
  <w:abstractNum w:abstractNumId="2">
    <w:nsid w:val="CDF7081B"/>
    <w:multiLevelType w:val="multilevel"/>
    <w:tmpl w:val="CDF7081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4">
    <w:nsid w:val="56BBCE47"/>
    <w:multiLevelType w:val="multilevel"/>
    <w:tmpl w:val="56BBCE47"/>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5">
    <w:nsid w:val="6EFF0652"/>
    <w:multiLevelType w:val="multilevel"/>
    <w:tmpl w:val="6EFF065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num w:numId="1">
    <w:abstractNumId w:val="2"/>
  </w:num>
  <w:num w:numId="2">
    <w:abstractNumId w:val="1"/>
  </w:num>
  <w:num w:numId="3">
    <w:abstractNumId w:val="3"/>
  </w:num>
  <w:num w:numId="4">
    <w:abstractNumId w:val="0"/>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61D8"/>
    <w:rsid w:val="000112EB"/>
    <w:rsid w:val="00022184"/>
    <w:rsid w:val="00041814"/>
    <w:rsid w:val="000474D7"/>
    <w:rsid w:val="00080A2F"/>
    <w:rsid w:val="00097159"/>
    <w:rsid w:val="000A5330"/>
    <w:rsid w:val="000C5FD9"/>
    <w:rsid w:val="000E1441"/>
    <w:rsid w:val="000E3E77"/>
    <w:rsid w:val="000E5E43"/>
    <w:rsid w:val="001039AD"/>
    <w:rsid w:val="00107EE9"/>
    <w:rsid w:val="00117B2E"/>
    <w:rsid w:val="00121B20"/>
    <w:rsid w:val="00151F44"/>
    <w:rsid w:val="00153EFA"/>
    <w:rsid w:val="001671D4"/>
    <w:rsid w:val="00172A27"/>
    <w:rsid w:val="00187395"/>
    <w:rsid w:val="00196655"/>
    <w:rsid w:val="001A64C4"/>
    <w:rsid w:val="001B6815"/>
    <w:rsid w:val="001C16A7"/>
    <w:rsid w:val="001C69B6"/>
    <w:rsid w:val="001D3E48"/>
    <w:rsid w:val="001E47F3"/>
    <w:rsid w:val="001F6383"/>
    <w:rsid w:val="00204D32"/>
    <w:rsid w:val="00221013"/>
    <w:rsid w:val="00225D72"/>
    <w:rsid w:val="002547D7"/>
    <w:rsid w:val="00263564"/>
    <w:rsid w:val="00264571"/>
    <w:rsid w:val="00266037"/>
    <w:rsid w:val="00277BA8"/>
    <w:rsid w:val="0028386C"/>
    <w:rsid w:val="002A2EB1"/>
    <w:rsid w:val="002E0315"/>
    <w:rsid w:val="003056C9"/>
    <w:rsid w:val="00313480"/>
    <w:rsid w:val="00325812"/>
    <w:rsid w:val="003359DD"/>
    <w:rsid w:val="00341971"/>
    <w:rsid w:val="003442D5"/>
    <w:rsid w:val="00351C1B"/>
    <w:rsid w:val="00387D71"/>
    <w:rsid w:val="00393527"/>
    <w:rsid w:val="003B0F44"/>
    <w:rsid w:val="003B1689"/>
    <w:rsid w:val="0041729D"/>
    <w:rsid w:val="004A15FB"/>
    <w:rsid w:val="004B5C51"/>
    <w:rsid w:val="004B6AD8"/>
    <w:rsid w:val="004C3ED3"/>
    <w:rsid w:val="004C7A64"/>
    <w:rsid w:val="005014CC"/>
    <w:rsid w:val="005022D1"/>
    <w:rsid w:val="0050324A"/>
    <w:rsid w:val="005220E1"/>
    <w:rsid w:val="005251EE"/>
    <w:rsid w:val="00531CB1"/>
    <w:rsid w:val="00561FB0"/>
    <w:rsid w:val="00565183"/>
    <w:rsid w:val="00567E29"/>
    <w:rsid w:val="00571286"/>
    <w:rsid w:val="00581F02"/>
    <w:rsid w:val="005C537A"/>
    <w:rsid w:val="005C5BB8"/>
    <w:rsid w:val="005E1B79"/>
    <w:rsid w:val="005F444D"/>
    <w:rsid w:val="00600CDC"/>
    <w:rsid w:val="006115D7"/>
    <w:rsid w:val="0061758E"/>
    <w:rsid w:val="00623BF1"/>
    <w:rsid w:val="00641C63"/>
    <w:rsid w:val="00661FA2"/>
    <w:rsid w:val="006852C8"/>
    <w:rsid w:val="00694DB4"/>
    <w:rsid w:val="006A7B1E"/>
    <w:rsid w:val="006C15C9"/>
    <w:rsid w:val="006C6BB0"/>
    <w:rsid w:val="006F5AA2"/>
    <w:rsid w:val="0074412C"/>
    <w:rsid w:val="007475C7"/>
    <w:rsid w:val="00770710"/>
    <w:rsid w:val="007761D9"/>
    <w:rsid w:val="00783BBC"/>
    <w:rsid w:val="00792D89"/>
    <w:rsid w:val="0079441E"/>
    <w:rsid w:val="007A364B"/>
    <w:rsid w:val="007C266B"/>
    <w:rsid w:val="007C4850"/>
    <w:rsid w:val="007C76FE"/>
    <w:rsid w:val="007E0361"/>
    <w:rsid w:val="00814200"/>
    <w:rsid w:val="00854563"/>
    <w:rsid w:val="008572C7"/>
    <w:rsid w:val="00860D9F"/>
    <w:rsid w:val="008F22BA"/>
    <w:rsid w:val="00904D49"/>
    <w:rsid w:val="009146B4"/>
    <w:rsid w:val="0093248C"/>
    <w:rsid w:val="009422FA"/>
    <w:rsid w:val="00953142"/>
    <w:rsid w:val="009627AB"/>
    <w:rsid w:val="00972CA8"/>
    <w:rsid w:val="009741D0"/>
    <w:rsid w:val="00975366"/>
    <w:rsid w:val="0099309C"/>
    <w:rsid w:val="009A00C6"/>
    <w:rsid w:val="009A3450"/>
    <w:rsid w:val="009A3875"/>
    <w:rsid w:val="009A4443"/>
    <w:rsid w:val="009B781F"/>
    <w:rsid w:val="009C01A4"/>
    <w:rsid w:val="009D71C0"/>
    <w:rsid w:val="00A445A2"/>
    <w:rsid w:val="00A45150"/>
    <w:rsid w:val="00A45A4C"/>
    <w:rsid w:val="00A6188C"/>
    <w:rsid w:val="00A6200C"/>
    <w:rsid w:val="00A81598"/>
    <w:rsid w:val="00AA2746"/>
    <w:rsid w:val="00AA3230"/>
    <w:rsid w:val="00AA5B0F"/>
    <w:rsid w:val="00AB2676"/>
    <w:rsid w:val="00AB2B86"/>
    <w:rsid w:val="00AD3455"/>
    <w:rsid w:val="00AE0832"/>
    <w:rsid w:val="00B05CDA"/>
    <w:rsid w:val="00B83187"/>
    <w:rsid w:val="00BA3618"/>
    <w:rsid w:val="00BB2AEE"/>
    <w:rsid w:val="00BD0344"/>
    <w:rsid w:val="00BE2FD9"/>
    <w:rsid w:val="00BF1080"/>
    <w:rsid w:val="00BF4AB4"/>
    <w:rsid w:val="00C07E9E"/>
    <w:rsid w:val="00C11153"/>
    <w:rsid w:val="00C25D42"/>
    <w:rsid w:val="00C273C4"/>
    <w:rsid w:val="00C4698A"/>
    <w:rsid w:val="00C81CF2"/>
    <w:rsid w:val="00C94B2D"/>
    <w:rsid w:val="00CC0E68"/>
    <w:rsid w:val="00CE29C7"/>
    <w:rsid w:val="00CE344E"/>
    <w:rsid w:val="00D15A0B"/>
    <w:rsid w:val="00D74BD1"/>
    <w:rsid w:val="00DA20DD"/>
    <w:rsid w:val="00DA75FD"/>
    <w:rsid w:val="00DC1A46"/>
    <w:rsid w:val="00E058A0"/>
    <w:rsid w:val="00E1161C"/>
    <w:rsid w:val="00E31803"/>
    <w:rsid w:val="00E43327"/>
    <w:rsid w:val="00E511C9"/>
    <w:rsid w:val="00E5387F"/>
    <w:rsid w:val="00E63463"/>
    <w:rsid w:val="00E81CFE"/>
    <w:rsid w:val="00EA015E"/>
    <w:rsid w:val="00EA1524"/>
    <w:rsid w:val="00EB1448"/>
    <w:rsid w:val="00ED57B8"/>
    <w:rsid w:val="00EE5541"/>
    <w:rsid w:val="00F0347C"/>
    <w:rsid w:val="00F135F5"/>
    <w:rsid w:val="00F176F8"/>
    <w:rsid w:val="00F30BEB"/>
    <w:rsid w:val="00F410AB"/>
    <w:rsid w:val="00F66E09"/>
    <w:rsid w:val="00FA0D8D"/>
    <w:rsid w:val="00FB2741"/>
    <w:rsid w:val="00FC30B4"/>
    <w:rsid w:val="00FC5C5A"/>
    <w:rsid w:val="00FD34B8"/>
    <w:rsid w:val="00FD40E2"/>
    <w:rsid w:val="00FD4DAB"/>
    <w:rsid w:val="00FD71D6"/>
    <w:rsid w:val="00FE7618"/>
    <w:rsid w:val="0516342C"/>
    <w:rsid w:val="05C90E0A"/>
    <w:rsid w:val="05CD2EC1"/>
    <w:rsid w:val="06640AA0"/>
    <w:rsid w:val="080F01FD"/>
    <w:rsid w:val="08763B54"/>
    <w:rsid w:val="0BDD4C0F"/>
    <w:rsid w:val="0CDC38A8"/>
    <w:rsid w:val="0D9037F8"/>
    <w:rsid w:val="0DD813C8"/>
    <w:rsid w:val="0EDB1EC0"/>
    <w:rsid w:val="0EF73DF0"/>
    <w:rsid w:val="0F2608D2"/>
    <w:rsid w:val="10EC435D"/>
    <w:rsid w:val="123314AD"/>
    <w:rsid w:val="138D7B40"/>
    <w:rsid w:val="13B263E1"/>
    <w:rsid w:val="14FE5D65"/>
    <w:rsid w:val="15277487"/>
    <w:rsid w:val="1573E7D4"/>
    <w:rsid w:val="166D0B5E"/>
    <w:rsid w:val="1677191E"/>
    <w:rsid w:val="17ED0C4F"/>
    <w:rsid w:val="19542A56"/>
    <w:rsid w:val="19E00A34"/>
    <w:rsid w:val="19FF4BF2"/>
    <w:rsid w:val="1AB55B00"/>
    <w:rsid w:val="1C537102"/>
    <w:rsid w:val="1CE407B8"/>
    <w:rsid w:val="1D1A2F67"/>
    <w:rsid w:val="1D596BDF"/>
    <w:rsid w:val="1E1A576B"/>
    <w:rsid w:val="1F053C4D"/>
    <w:rsid w:val="1F7F74E9"/>
    <w:rsid w:val="208337BA"/>
    <w:rsid w:val="21C07983"/>
    <w:rsid w:val="22787AE0"/>
    <w:rsid w:val="2417128C"/>
    <w:rsid w:val="250C7404"/>
    <w:rsid w:val="25227A45"/>
    <w:rsid w:val="253A7BF8"/>
    <w:rsid w:val="256B495A"/>
    <w:rsid w:val="28F25389"/>
    <w:rsid w:val="294100AB"/>
    <w:rsid w:val="2A9A4DB9"/>
    <w:rsid w:val="2DD219FB"/>
    <w:rsid w:val="2E5043F2"/>
    <w:rsid w:val="2EC1694E"/>
    <w:rsid w:val="322850C9"/>
    <w:rsid w:val="36143A93"/>
    <w:rsid w:val="36705F1B"/>
    <w:rsid w:val="37692AB0"/>
    <w:rsid w:val="378F5EAF"/>
    <w:rsid w:val="37B44F57"/>
    <w:rsid w:val="37F12E81"/>
    <w:rsid w:val="386466F3"/>
    <w:rsid w:val="394C04BA"/>
    <w:rsid w:val="39BC626A"/>
    <w:rsid w:val="39D87EC0"/>
    <w:rsid w:val="39E058BC"/>
    <w:rsid w:val="39FB633D"/>
    <w:rsid w:val="3B1763F6"/>
    <w:rsid w:val="3B6A680C"/>
    <w:rsid w:val="3C822EA8"/>
    <w:rsid w:val="3DEFBA70"/>
    <w:rsid w:val="3DFD1664"/>
    <w:rsid w:val="3E150DBD"/>
    <w:rsid w:val="3E7F2301"/>
    <w:rsid w:val="3EEE09DB"/>
    <w:rsid w:val="40343412"/>
    <w:rsid w:val="40470A9D"/>
    <w:rsid w:val="40711152"/>
    <w:rsid w:val="40D02ADD"/>
    <w:rsid w:val="42463945"/>
    <w:rsid w:val="426E6811"/>
    <w:rsid w:val="43374264"/>
    <w:rsid w:val="446A72A9"/>
    <w:rsid w:val="44E42B34"/>
    <w:rsid w:val="4685435B"/>
    <w:rsid w:val="46BD3051"/>
    <w:rsid w:val="46C32562"/>
    <w:rsid w:val="476D5F64"/>
    <w:rsid w:val="48A96088"/>
    <w:rsid w:val="49130203"/>
    <w:rsid w:val="4A665010"/>
    <w:rsid w:val="4B2C060C"/>
    <w:rsid w:val="4B392FC1"/>
    <w:rsid w:val="4B996712"/>
    <w:rsid w:val="4C444E3B"/>
    <w:rsid w:val="4E206756"/>
    <w:rsid w:val="4E356E24"/>
    <w:rsid w:val="4F615F9E"/>
    <w:rsid w:val="502B5150"/>
    <w:rsid w:val="52243F9C"/>
    <w:rsid w:val="528405AB"/>
    <w:rsid w:val="530F53C9"/>
    <w:rsid w:val="557F0843"/>
    <w:rsid w:val="55A02424"/>
    <w:rsid w:val="55AD59F9"/>
    <w:rsid w:val="55E70B51"/>
    <w:rsid w:val="567D3F51"/>
    <w:rsid w:val="56DB6FDA"/>
    <w:rsid w:val="571C6C94"/>
    <w:rsid w:val="57AC2533"/>
    <w:rsid w:val="57CFF70C"/>
    <w:rsid w:val="58A240D0"/>
    <w:rsid w:val="58A953F5"/>
    <w:rsid w:val="5AED5B84"/>
    <w:rsid w:val="5BD83BA3"/>
    <w:rsid w:val="5C55628A"/>
    <w:rsid w:val="5C8E7333"/>
    <w:rsid w:val="5D2F3697"/>
    <w:rsid w:val="5D553990"/>
    <w:rsid w:val="5F2D55AE"/>
    <w:rsid w:val="5FEF1711"/>
    <w:rsid w:val="5FF7A1AF"/>
    <w:rsid w:val="60B04D5F"/>
    <w:rsid w:val="62666A0E"/>
    <w:rsid w:val="636E3E71"/>
    <w:rsid w:val="63BE7AF9"/>
    <w:rsid w:val="63D36BBB"/>
    <w:rsid w:val="63FE6F27"/>
    <w:rsid w:val="643429D4"/>
    <w:rsid w:val="64C05CA4"/>
    <w:rsid w:val="6639539F"/>
    <w:rsid w:val="667E8F68"/>
    <w:rsid w:val="670561A3"/>
    <w:rsid w:val="670D5430"/>
    <w:rsid w:val="675F6781"/>
    <w:rsid w:val="67D74976"/>
    <w:rsid w:val="6A534E1A"/>
    <w:rsid w:val="6B226A4C"/>
    <w:rsid w:val="6CC26103"/>
    <w:rsid w:val="6CC54938"/>
    <w:rsid w:val="6DA86043"/>
    <w:rsid w:val="6DD688EC"/>
    <w:rsid w:val="6E5B2E78"/>
    <w:rsid w:val="6F7F49A3"/>
    <w:rsid w:val="70B95ECD"/>
    <w:rsid w:val="72A716DA"/>
    <w:rsid w:val="72CE7E91"/>
    <w:rsid w:val="732A4A61"/>
    <w:rsid w:val="74EFD510"/>
    <w:rsid w:val="751D7347"/>
    <w:rsid w:val="75850B3D"/>
    <w:rsid w:val="759F2438"/>
    <w:rsid w:val="75FC65BC"/>
    <w:rsid w:val="797D2E2E"/>
    <w:rsid w:val="7A4E5E7B"/>
    <w:rsid w:val="7A9861FE"/>
    <w:rsid w:val="7AB65DAC"/>
    <w:rsid w:val="7B35172F"/>
    <w:rsid w:val="7B570950"/>
    <w:rsid w:val="7B7F295D"/>
    <w:rsid w:val="7CFE7873"/>
    <w:rsid w:val="7D5F435E"/>
    <w:rsid w:val="7DB84F29"/>
    <w:rsid w:val="7DEB2465"/>
    <w:rsid w:val="7F223A97"/>
    <w:rsid w:val="7F4BB557"/>
    <w:rsid w:val="7FAE60F6"/>
    <w:rsid w:val="7FEE9E47"/>
    <w:rsid w:val="BDB3ABA0"/>
    <w:rsid w:val="BF7FC543"/>
    <w:rsid w:val="BFBB6496"/>
    <w:rsid w:val="D7DFFCC3"/>
    <w:rsid w:val="D7FB1A80"/>
    <w:rsid w:val="DFFF8193"/>
    <w:rsid w:val="F46ACC35"/>
    <w:rsid w:val="FF5F3C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宋体" w:cs="Times New Roman"/>
      <w:sz w:val="24"/>
      <w:szCs w:val="24"/>
      <w:lang w:val="en-US" w:eastAsia="zh-CN" w:bidi="ar-SA"/>
    </w:rPr>
  </w:style>
  <w:style w:type="paragraph" w:styleId="2">
    <w:name w:val="heading 1"/>
    <w:basedOn w:val="1"/>
    <w:next w:val="1"/>
    <w:link w:val="50"/>
    <w:qFormat/>
    <w:uiPriority w:val="0"/>
    <w:pPr>
      <w:widowControl w:val="0"/>
      <w:spacing w:before="7"/>
      <w:ind w:left="412"/>
      <w:outlineLvl w:val="0"/>
    </w:pPr>
    <w:rPr>
      <w:rFonts w:ascii="黑体" w:hAnsi="黑体" w:eastAsia="黑体"/>
      <w:b/>
      <w:sz w:val="30"/>
      <w:szCs w:val="30"/>
      <w:lang w:eastAsia="en-US"/>
    </w:rPr>
  </w:style>
  <w:style w:type="paragraph" w:styleId="3">
    <w:name w:val="heading 2"/>
    <w:basedOn w:val="1"/>
    <w:next w:val="1"/>
    <w:qFormat/>
    <w:uiPriority w:val="0"/>
    <w:pPr>
      <w:widowControl w:val="0"/>
      <w:ind w:left="4132"/>
      <w:outlineLvl w:val="1"/>
    </w:pPr>
    <w:rPr>
      <w:rFonts w:ascii="宋体" w:hAnsi="宋体"/>
      <w:b/>
      <w:lang w:eastAsia="en-US"/>
    </w:rPr>
  </w:style>
  <w:style w:type="paragraph" w:styleId="4">
    <w:name w:val="heading 3"/>
    <w:basedOn w:val="1"/>
    <w:next w:val="1"/>
    <w:qFormat/>
    <w:uiPriority w:val="0"/>
    <w:pPr>
      <w:widowControl w:val="0"/>
      <w:ind w:left="20"/>
      <w:outlineLvl w:val="2"/>
    </w:pPr>
    <w:rPr>
      <w:rFonts w:eastAsia="Times New Roman"/>
      <w:b/>
      <w:sz w:val="21"/>
      <w:szCs w:val="21"/>
      <w:lang w:eastAsia="en-US"/>
    </w:rPr>
  </w:style>
  <w:style w:type="paragraph" w:styleId="5">
    <w:name w:val="heading 4"/>
    <w:basedOn w:val="1"/>
    <w:next w:val="1"/>
    <w:qFormat/>
    <w:uiPriority w:val="0"/>
    <w:pPr>
      <w:widowControl w:val="0"/>
      <w:ind w:left="459"/>
      <w:outlineLvl w:val="3"/>
    </w:pPr>
    <w:rPr>
      <w:rFonts w:eastAsia="Times New Roman"/>
      <w:sz w:val="20"/>
      <w:szCs w:val="20"/>
      <w:lang w:eastAsia="en-US"/>
    </w:rPr>
  </w:style>
  <w:style w:type="paragraph" w:styleId="6">
    <w:name w:val="heading 5"/>
    <w:basedOn w:val="1"/>
    <w:next w:val="1"/>
    <w:qFormat/>
    <w:uiPriority w:val="0"/>
    <w:pPr>
      <w:widowControl w:val="0"/>
      <w:spacing w:before="44"/>
      <w:ind w:left="133"/>
      <w:outlineLvl w:val="4"/>
    </w:pPr>
    <w:rPr>
      <w:rFonts w:ascii="宋体" w:hAnsi="宋体"/>
      <w:b/>
      <w:sz w:val="18"/>
      <w:szCs w:val="18"/>
      <w:lang w:eastAsia="en-US"/>
    </w:rPr>
  </w:style>
  <w:style w:type="paragraph" w:styleId="7">
    <w:name w:val="heading 6"/>
    <w:basedOn w:val="1"/>
    <w:next w:val="1"/>
    <w:link w:val="58"/>
    <w:qFormat/>
    <w:uiPriority w:val="0"/>
    <w:pPr>
      <w:keepNext/>
      <w:keepLines/>
      <w:spacing w:before="240" w:after="64" w:line="320" w:lineRule="auto"/>
      <w:outlineLvl w:val="5"/>
    </w:pPr>
    <w:rPr>
      <w:rFonts w:ascii="Cambria" w:hAnsi="Cambria"/>
      <w:b/>
    </w:rPr>
  </w:style>
  <w:style w:type="paragraph" w:styleId="8">
    <w:name w:val="heading 7"/>
    <w:basedOn w:val="1"/>
    <w:next w:val="1"/>
    <w:qFormat/>
    <w:uiPriority w:val="0"/>
    <w:pPr>
      <w:ind w:left="133"/>
      <w:outlineLvl w:val="6"/>
    </w:pPr>
    <w:rPr>
      <w:b/>
      <w:sz w:val="18"/>
      <w:szCs w:val="18"/>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9">
    <w:name w:val="toc 7"/>
    <w:basedOn w:val="1"/>
    <w:next w:val="1"/>
    <w:qFormat/>
    <w:uiPriority w:val="0"/>
    <w:pPr>
      <w:ind w:left="1440"/>
    </w:pPr>
    <w:rPr>
      <w:rFonts w:ascii="Calibri" w:hAnsi="Calibri"/>
      <w:sz w:val="20"/>
      <w:szCs w:val="20"/>
    </w:rPr>
  </w:style>
  <w:style w:type="paragraph" w:styleId="10">
    <w:name w:val="annotation text"/>
    <w:basedOn w:val="1"/>
    <w:link w:val="35"/>
    <w:qFormat/>
    <w:uiPriority w:val="0"/>
    <w:pPr>
      <w:widowControl w:val="0"/>
    </w:pPr>
    <w:rPr>
      <w:rFonts w:ascii="Calibri" w:hAnsi="Calibri"/>
      <w:sz w:val="22"/>
      <w:szCs w:val="22"/>
      <w:lang w:eastAsia="en-US"/>
    </w:rPr>
  </w:style>
  <w:style w:type="paragraph" w:styleId="11">
    <w:name w:val="Body Text"/>
    <w:basedOn w:val="1"/>
    <w:link w:val="41"/>
    <w:qFormat/>
    <w:uiPriority w:val="0"/>
    <w:pPr>
      <w:widowControl w:val="0"/>
      <w:spacing w:before="61"/>
      <w:ind w:left="631" w:hanging="362"/>
    </w:pPr>
    <w:rPr>
      <w:rFonts w:eastAsia="Times New Roman"/>
      <w:sz w:val="15"/>
      <w:szCs w:val="15"/>
      <w:lang w:eastAsia="en-US"/>
    </w:rPr>
  </w:style>
  <w:style w:type="paragraph" w:styleId="12">
    <w:name w:val="toc 5"/>
    <w:basedOn w:val="1"/>
    <w:next w:val="1"/>
    <w:qFormat/>
    <w:uiPriority w:val="0"/>
    <w:pPr>
      <w:ind w:left="960"/>
    </w:pPr>
    <w:rPr>
      <w:rFonts w:ascii="Calibri" w:hAnsi="Calibri"/>
      <w:sz w:val="20"/>
      <w:szCs w:val="20"/>
    </w:rPr>
  </w:style>
  <w:style w:type="paragraph" w:styleId="13">
    <w:name w:val="toc 3"/>
    <w:basedOn w:val="1"/>
    <w:next w:val="1"/>
    <w:qFormat/>
    <w:uiPriority w:val="39"/>
    <w:pPr>
      <w:ind w:left="480"/>
    </w:pPr>
    <w:rPr>
      <w:rFonts w:ascii="Calibri" w:hAnsi="Calibri"/>
      <w:sz w:val="22"/>
      <w:szCs w:val="22"/>
    </w:rPr>
  </w:style>
  <w:style w:type="paragraph" w:styleId="14">
    <w:name w:val="toc 8"/>
    <w:basedOn w:val="1"/>
    <w:next w:val="1"/>
    <w:qFormat/>
    <w:uiPriority w:val="0"/>
    <w:pPr>
      <w:ind w:left="1680"/>
    </w:pPr>
    <w:rPr>
      <w:rFonts w:ascii="Calibri" w:hAnsi="Calibri"/>
      <w:sz w:val="20"/>
      <w:szCs w:val="20"/>
    </w:rPr>
  </w:style>
  <w:style w:type="paragraph" w:styleId="15">
    <w:name w:val="Balloon Text"/>
    <w:basedOn w:val="1"/>
    <w:link w:val="34"/>
    <w:qFormat/>
    <w:uiPriority w:val="0"/>
    <w:pPr>
      <w:widowControl w:val="0"/>
    </w:pPr>
    <w:rPr>
      <w:rFonts w:ascii="Calibri" w:hAnsi="Calibri"/>
      <w:sz w:val="18"/>
      <w:szCs w:val="18"/>
      <w:lang w:eastAsia="en-US"/>
    </w:rPr>
  </w:style>
  <w:style w:type="paragraph" w:styleId="16">
    <w:name w:val="footer"/>
    <w:basedOn w:val="1"/>
    <w:link w:val="38"/>
    <w:qFormat/>
    <w:uiPriority w:val="99"/>
    <w:pPr>
      <w:widowControl w:val="0"/>
      <w:snapToGrid w:val="0"/>
    </w:pPr>
    <w:rPr>
      <w:rFonts w:ascii="Calibri" w:hAnsi="Calibri"/>
      <w:sz w:val="18"/>
      <w:szCs w:val="18"/>
      <w:lang w:eastAsia="en-US"/>
    </w:rPr>
  </w:style>
  <w:style w:type="paragraph" w:styleId="17">
    <w:name w:val="header"/>
    <w:basedOn w:val="1"/>
    <w:link w:val="37"/>
    <w:qFormat/>
    <w:uiPriority w:val="99"/>
    <w:pPr>
      <w:widowControl w:val="0"/>
      <w:pBdr>
        <w:bottom w:val="single" w:color="auto" w:sz="6" w:space="1"/>
      </w:pBdr>
      <w:snapToGrid w:val="0"/>
      <w:jc w:val="center"/>
    </w:pPr>
    <w:rPr>
      <w:rFonts w:ascii="Calibri" w:hAnsi="Calibri"/>
      <w:sz w:val="18"/>
      <w:szCs w:val="18"/>
      <w:lang w:eastAsia="en-US"/>
    </w:rPr>
  </w:style>
  <w:style w:type="paragraph" w:styleId="18">
    <w:name w:val="toc 1"/>
    <w:basedOn w:val="1"/>
    <w:next w:val="1"/>
    <w:qFormat/>
    <w:uiPriority w:val="39"/>
    <w:pPr>
      <w:spacing w:line="360" w:lineRule="auto"/>
    </w:pPr>
    <w:rPr>
      <w:rFonts w:ascii="Calibri" w:hAnsi="Calibri"/>
      <w:b/>
      <w:sz w:val="32"/>
    </w:rPr>
  </w:style>
  <w:style w:type="paragraph" w:styleId="19">
    <w:name w:val="toc 4"/>
    <w:basedOn w:val="1"/>
    <w:next w:val="1"/>
    <w:qFormat/>
    <w:uiPriority w:val="0"/>
    <w:pPr>
      <w:ind w:left="720"/>
    </w:pPr>
    <w:rPr>
      <w:rFonts w:ascii="Calibri" w:hAnsi="Calibri"/>
      <w:sz w:val="20"/>
      <w:szCs w:val="20"/>
    </w:rPr>
  </w:style>
  <w:style w:type="paragraph" w:styleId="20">
    <w:name w:val="toc 6"/>
    <w:basedOn w:val="1"/>
    <w:next w:val="1"/>
    <w:qFormat/>
    <w:uiPriority w:val="0"/>
    <w:pPr>
      <w:ind w:left="1200"/>
    </w:pPr>
    <w:rPr>
      <w:rFonts w:ascii="Calibri" w:hAnsi="Calibri"/>
      <w:sz w:val="20"/>
      <w:szCs w:val="20"/>
    </w:rPr>
  </w:style>
  <w:style w:type="paragraph" w:styleId="21">
    <w:name w:val="toc 2"/>
    <w:basedOn w:val="1"/>
    <w:next w:val="1"/>
    <w:qFormat/>
    <w:uiPriority w:val="39"/>
    <w:pPr>
      <w:spacing w:line="360" w:lineRule="auto"/>
      <w:ind w:left="238"/>
    </w:pPr>
    <w:rPr>
      <w:rFonts w:ascii="Calibri" w:hAnsi="Calibri"/>
      <w:b/>
      <w:sz w:val="28"/>
      <w:szCs w:val="22"/>
    </w:rPr>
  </w:style>
  <w:style w:type="paragraph" w:styleId="22">
    <w:name w:val="toc 9"/>
    <w:basedOn w:val="1"/>
    <w:next w:val="1"/>
    <w:qFormat/>
    <w:uiPriority w:val="0"/>
    <w:pPr>
      <w:ind w:left="1920"/>
    </w:pPr>
    <w:rPr>
      <w:rFonts w:ascii="Calibri" w:hAnsi="Calibri"/>
      <w:sz w:val="20"/>
      <w:szCs w:val="20"/>
    </w:rPr>
  </w:style>
  <w:style w:type="paragraph" w:styleId="23">
    <w:name w:val="Normal (Web)"/>
    <w:basedOn w:val="1"/>
    <w:qFormat/>
    <w:uiPriority w:val="99"/>
    <w:pPr>
      <w:spacing w:before="100" w:beforeAutospacing="1" w:after="100" w:afterAutospacing="1" w:line="240" w:lineRule="auto"/>
    </w:pPr>
    <w:rPr>
      <w:rFonts w:ascii="宋体" w:hAnsi="宋体" w:cs="宋体"/>
    </w:rPr>
  </w:style>
  <w:style w:type="table" w:styleId="25">
    <w:name w:val="Table Grid"/>
    <w:basedOn w:val="24"/>
    <w:qFormat/>
    <w:uiPriority w:val="0"/>
    <w:rPr>
      <w:kern w:val="2"/>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Hyperlink"/>
    <w:basedOn w:val="26"/>
    <w:qFormat/>
    <w:uiPriority w:val="99"/>
    <w:rPr>
      <w:color w:val="0000FF"/>
      <w:u w:val="single"/>
    </w:rPr>
  </w:style>
  <w:style w:type="character" w:styleId="28">
    <w:name w:val="annotation reference"/>
    <w:basedOn w:val="26"/>
    <w:qFormat/>
    <w:uiPriority w:val="0"/>
    <w:rPr>
      <w:sz w:val="21"/>
      <w:szCs w:val="21"/>
    </w:rPr>
  </w:style>
  <w:style w:type="paragraph" w:customStyle="1" w:styleId="29">
    <w:name w:val="批注主题1"/>
    <w:basedOn w:val="10"/>
    <w:next w:val="10"/>
    <w:link w:val="36"/>
    <w:qFormat/>
    <w:uiPriority w:val="0"/>
    <w:rPr>
      <w:b/>
    </w:rPr>
  </w:style>
  <w:style w:type="paragraph" w:customStyle="1" w:styleId="30">
    <w:name w:val="普通(网站)1"/>
    <w:basedOn w:val="1"/>
    <w:qFormat/>
    <w:uiPriority w:val="0"/>
    <w:pPr>
      <w:spacing w:before="100" w:beforeAutospacing="1" w:after="100" w:afterAutospacing="1"/>
    </w:pPr>
    <w:rPr>
      <w:rFonts w:ascii="宋体" w:hAnsi="宋体" w:cs="宋体"/>
    </w:rPr>
  </w:style>
  <w:style w:type="table" w:customStyle="1" w:styleId="31">
    <w:name w:val="Table Normal1"/>
    <w:qFormat/>
    <w:uiPriority w:val="2"/>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32">
    <w:name w:val="列出段落1"/>
    <w:basedOn w:val="1"/>
    <w:qFormat/>
    <w:uiPriority w:val="0"/>
    <w:pPr>
      <w:widowControl w:val="0"/>
    </w:pPr>
    <w:rPr>
      <w:rFonts w:ascii="Calibri" w:hAnsi="Calibri"/>
      <w:sz w:val="22"/>
      <w:szCs w:val="22"/>
      <w:lang w:eastAsia="en-US"/>
    </w:rPr>
  </w:style>
  <w:style w:type="paragraph" w:customStyle="1" w:styleId="33">
    <w:name w:val="Table Paragraph"/>
    <w:basedOn w:val="1"/>
    <w:qFormat/>
    <w:uiPriority w:val="1"/>
    <w:pPr>
      <w:widowControl w:val="0"/>
    </w:pPr>
    <w:rPr>
      <w:rFonts w:ascii="Calibri" w:hAnsi="Calibri"/>
      <w:sz w:val="22"/>
      <w:szCs w:val="22"/>
      <w:lang w:eastAsia="en-US"/>
    </w:rPr>
  </w:style>
  <w:style w:type="character" w:customStyle="1" w:styleId="34">
    <w:name w:val="批注框文本 字符"/>
    <w:basedOn w:val="26"/>
    <w:link w:val="15"/>
    <w:qFormat/>
    <w:uiPriority w:val="0"/>
    <w:rPr>
      <w:sz w:val="18"/>
      <w:szCs w:val="18"/>
    </w:rPr>
  </w:style>
  <w:style w:type="character" w:customStyle="1" w:styleId="35">
    <w:name w:val="批注文字 字符"/>
    <w:basedOn w:val="26"/>
    <w:link w:val="10"/>
    <w:qFormat/>
    <w:uiPriority w:val="0"/>
  </w:style>
  <w:style w:type="character" w:customStyle="1" w:styleId="36">
    <w:name w:val="批注主题 字符"/>
    <w:basedOn w:val="35"/>
    <w:link w:val="29"/>
    <w:qFormat/>
    <w:uiPriority w:val="0"/>
    <w:rPr>
      <w:b/>
    </w:rPr>
  </w:style>
  <w:style w:type="character" w:customStyle="1" w:styleId="37">
    <w:name w:val="页眉 字符"/>
    <w:basedOn w:val="26"/>
    <w:link w:val="17"/>
    <w:qFormat/>
    <w:uiPriority w:val="99"/>
    <w:rPr>
      <w:sz w:val="18"/>
      <w:szCs w:val="18"/>
    </w:rPr>
  </w:style>
  <w:style w:type="character" w:customStyle="1" w:styleId="38">
    <w:name w:val="页脚 字符"/>
    <w:basedOn w:val="26"/>
    <w:link w:val="16"/>
    <w:qFormat/>
    <w:uiPriority w:val="99"/>
    <w:rPr>
      <w:sz w:val="18"/>
      <w:szCs w:val="18"/>
    </w:rPr>
  </w:style>
  <w:style w:type="paragraph" w:customStyle="1" w:styleId="39">
    <w:name w:val="Default"/>
    <w:qFormat/>
    <w:uiPriority w:val="0"/>
    <w:pPr>
      <w:widowControl w:val="0"/>
      <w:autoSpaceDE w:val="0"/>
      <w:autoSpaceDN w:val="0"/>
      <w:adjustRightInd w:val="0"/>
      <w:spacing w:after="160" w:line="259" w:lineRule="auto"/>
    </w:pPr>
    <w:rPr>
      <w:rFonts w:ascii="Times New Roman" w:hAnsi="Times New Roman" w:eastAsia="宋体" w:cs="Times New Roman"/>
      <w:color w:val="000000"/>
      <w:sz w:val="24"/>
      <w:szCs w:val="24"/>
      <w:lang w:val="en-US" w:eastAsia="en-US" w:bidi="ar-SA"/>
    </w:rPr>
  </w:style>
  <w:style w:type="paragraph" w:customStyle="1" w:styleId="40">
    <w:name w:val="CM18"/>
    <w:basedOn w:val="39"/>
    <w:next w:val="39"/>
    <w:qFormat/>
    <w:uiPriority w:val="0"/>
    <w:rPr>
      <w:color w:val="auto"/>
    </w:rPr>
  </w:style>
  <w:style w:type="character" w:customStyle="1" w:styleId="41">
    <w:name w:val="正文文本 字符"/>
    <w:basedOn w:val="26"/>
    <w:link w:val="11"/>
    <w:qFormat/>
    <w:uiPriority w:val="0"/>
    <w:rPr>
      <w:rFonts w:hint="default" w:ascii="Times New Roman" w:hAnsi="Times New Roman" w:eastAsia="Times New Roman"/>
      <w:sz w:val="15"/>
      <w:szCs w:val="15"/>
    </w:rPr>
  </w:style>
  <w:style w:type="character" w:customStyle="1" w:styleId="42">
    <w:name w:val="fontstyle01"/>
    <w:basedOn w:val="26"/>
    <w:qFormat/>
    <w:uiPriority w:val="0"/>
    <w:rPr>
      <w:rFonts w:hint="default" w:ascii="ArialMT" w:hAnsi="ArialMT" w:eastAsia="ArialMT" w:cs="ArialMT"/>
      <w:color w:val="005B9A"/>
      <w:sz w:val="22"/>
      <w:szCs w:val="22"/>
    </w:rPr>
  </w:style>
  <w:style w:type="character" w:customStyle="1" w:styleId="43">
    <w:name w:val="fontstyle21"/>
    <w:basedOn w:val="26"/>
    <w:qFormat/>
    <w:uiPriority w:val="0"/>
    <w:rPr>
      <w:rFonts w:hint="default" w:ascii="TimesNewRomanPSMT" w:hAnsi="TimesNewRomanPSMT" w:eastAsia="TimesNewRomanPSMT" w:cs="TimesNewRomanPSMT"/>
      <w:color w:val="000000"/>
      <w:sz w:val="18"/>
      <w:szCs w:val="18"/>
    </w:rPr>
  </w:style>
  <w:style w:type="character" w:customStyle="1" w:styleId="44">
    <w:name w:val="fontstyle11"/>
    <w:basedOn w:val="26"/>
    <w:qFormat/>
    <w:uiPriority w:val="0"/>
    <w:rPr>
      <w:rFonts w:hint="default" w:ascii="TimesNewRomanPSMT" w:hAnsi="TimesNewRomanPSMT" w:eastAsia="TimesNewRomanPSMT" w:cs="TimesNewRomanPSMT"/>
      <w:color w:val="000000"/>
      <w:sz w:val="18"/>
      <w:szCs w:val="18"/>
    </w:rPr>
  </w:style>
  <w:style w:type="paragraph" w:customStyle="1" w:styleId="45">
    <w:name w:val="列出段落2"/>
    <w:basedOn w:val="1"/>
    <w:qFormat/>
    <w:uiPriority w:val="0"/>
    <w:pPr>
      <w:widowControl w:val="0"/>
      <w:ind w:firstLine="420" w:firstLineChars="200"/>
    </w:pPr>
    <w:rPr>
      <w:rFonts w:ascii="Calibri" w:hAnsi="Calibri"/>
      <w:sz w:val="22"/>
      <w:szCs w:val="22"/>
      <w:lang w:eastAsia="en-US"/>
    </w:rPr>
  </w:style>
  <w:style w:type="paragraph" w:customStyle="1" w:styleId="46">
    <w:name w:val="目录标题1"/>
    <w:basedOn w:val="2"/>
    <w:next w:val="1"/>
    <w:qFormat/>
    <w:uiPriority w:val="0"/>
    <w:pPr>
      <w:keepNext/>
      <w:keepLines/>
      <w:widowControl/>
      <w:spacing w:before="480" w:line="276" w:lineRule="auto"/>
      <w:ind w:left="0"/>
      <w:outlineLvl w:val="9"/>
    </w:pPr>
    <w:rPr>
      <w:rFonts w:ascii="Cambria" w:hAnsi="Cambria" w:eastAsia="宋体"/>
      <w:color w:val="366091"/>
      <w:sz w:val="28"/>
      <w:szCs w:val="28"/>
      <w:lang w:eastAsia="zh-CN"/>
    </w:rPr>
  </w:style>
  <w:style w:type="table" w:customStyle="1" w:styleId="47">
    <w:name w:val="网格型浅色1"/>
    <w:basedOn w:val="24"/>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style>
  <w:style w:type="table" w:customStyle="1" w:styleId="48">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table" w:customStyle="1" w:styleId="49">
    <w:name w:val="网格型浅色11"/>
    <w:basedOn w:val="24"/>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style>
  <w:style w:type="character" w:customStyle="1" w:styleId="50">
    <w:name w:val="标题 1 字符"/>
    <w:basedOn w:val="26"/>
    <w:link w:val="2"/>
    <w:qFormat/>
    <w:uiPriority w:val="0"/>
    <w:rPr>
      <w:rFonts w:hint="default" w:ascii="黑体" w:hAnsi="黑体" w:eastAsia="黑体" w:cs="Times New Roman"/>
      <w:b/>
      <w:sz w:val="30"/>
      <w:szCs w:val="30"/>
      <w:lang w:eastAsia="en-US"/>
    </w:rPr>
  </w:style>
  <w:style w:type="character" w:customStyle="1" w:styleId="51">
    <w:name w:val="font21"/>
    <w:basedOn w:val="26"/>
    <w:qFormat/>
    <w:uiPriority w:val="0"/>
    <w:rPr>
      <w:rFonts w:hint="default" w:ascii="Times New Roman" w:hAnsi="Times New Roman" w:cs="Times New Roman"/>
      <w:color w:val="000000"/>
      <w:sz w:val="18"/>
      <w:szCs w:val="18"/>
      <w:u w:val="none"/>
    </w:rPr>
  </w:style>
  <w:style w:type="character" w:customStyle="1" w:styleId="52">
    <w:name w:val="font11"/>
    <w:basedOn w:val="26"/>
    <w:qFormat/>
    <w:uiPriority w:val="0"/>
    <w:rPr>
      <w:rFonts w:hint="eastAsia" w:ascii="宋体" w:hAnsi="宋体" w:eastAsia="宋体"/>
      <w:color w:val="000000"/>
      <w:sz w:val="18"/>
      <w:szCs w:val="18"/>
      <w:u w:val="none"/>
    </w:rPr>
  </w:style>
  <w:style w:type="paragraph" w:customStyle="1" w:styleId="53">
    <w:name w:val="默认"/>
    <w:qFormat/>
    <w:uiPriority w:val="0"/>
    <w:pPr>
      <w:spacing w:after="160" w:line="259" w:lineRule="auto"/>
    </w:pPr>
    <w:rPr>
      <w:rFonts w:ascii="Helvetica Neue" w:hAnsi="Helvetica Neue" w:eastAsia="Helvetica Neue" w:cs="Helvetica Neue"/>
      <w:color w:val="000000"/>
      <w:sz w:val="22"/>
      <w:szCs w:val="22"/>
      <w:lang w:val="en-US" w:eastAsia="zh-CN" w:bidi="ar-SA"/>
    </w:rPr>
  </w:style>
  <w:style w:type="paragraph" w:customStyle="1" w:styleId="54">
    <w:name w:val="正文文本1"/>
    <w:qFormat/>
    <w:uiPriority w:val="0"/>
    <w:pPr>
      <w:widowControl w:val="0"/>
      <w:spacing w:before="61" w:after="160" w:line="259" w:lineRule="auto"/>
      <w:ind w:left="631" w:hanging="362"/>
    </w:pPr>
    <w:rPr>
      <w:rFonts w:ascii="Times New Roman" w:hAnsi="Times New Roman" w:eastAsia="Times New Roman" w:cs="Times New Roman"/>
      <w:color w:val="000000"/>
      <w:sz w:val="15"/>
      <w:szCs w:val="15"/>
      <w:lang w:val="en-US" w:eastAsia="zh-CN" w:bidi="ar-SA"/>
    </w:rPr>
  </w:style>
  <w:style w:type="paragraph" w:customStyle="1" w:styleId="55">
    <w:name w:val="列出段落3"/>
    <w:basedOn w:val="1"/>
    <w:qFormat/>
    <w:uiPriority w:val="0"/>
    <w:pPr>
      <w:widowControl w:val="0"/>
      <w:ind w:firstLine="420" w:firstLineChars="200"/>
    </w:pPr>
    <w:rPr>
      <w:rFonts w:ascii="Calibri" w:hAnsi="Calibri"/>
      <w:sz w:val="22"/>
      <w:szCs w:val="22"/>
      <w:lang w:eastAsia="en-US"/>
    </w:rPr>
  </w:style>
  <w:style w:type="table" w:customStyle="1" w:styleId="56">
    <w:name w:val="网格型1"/>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7">
    <w:name w:val="TOC 标题1"/>
    <w:basedOn w:val="2"/>
    <w:next w:val="1"/>
    <w:qFormat/>
    <w:uiPriority w:val="0"/>
    <w:pPr>
      <w:keepNext/>
      <w:keepLines/>
      <w:widowControl/>
      <w:spacing w:before="240"/>
      <w:ind w:left="0"/>
      <w:outlineLvl w:val="9"/>
    </w:pPr>
    <w:rPr>
      <w:rFonts w:ascii="Cambria" w:hAnsi="Cambria" w:eastAsia="宋体"/>
      <w:b w:val="0"/>
      <w:color w:val="366091"/>
      <w:sz w:val="32"/>
      <w:szCs w:val="32"/>
      <w:lang w:eastAsia="zh-CN"/>
    </w:rPr>
  </w:style>
  <w:style w:type="character" w:customStyle="1" w:styleId="58">
    <w:name w:val="标题 6 字符"/>
    <w:basedOn w:val="26"/>
    <w:link w:val="7"/>
    <w:qFormat/>
    <w:uiPriority w:val="0"/>
    <w:rPr>
      <w:rFonts w:hint="default" w:ascii="Cambria" w:hAnsi="Cambria" w:eastAsia="宋体" w:cs="Times New Roman"/>
      <w:b/>
      <w:sz w:val="24"/>
      <w:szCs w:val="24"/>
    </w:rPr>
  </w:style>
  <w:style w:type="character" w:customStyle="1" w:styleId="59">
    <w:name w:val="font01"/>
    <w:basedOn w:val="26"/>
    <w:qFormat/>
    <w:uiPriority w:val="0"/>
    <w:rPr>
      <w:rFonts w:hint="default" w:ascii="font-weight : 400" w:hAnsi="font-weight : 400" w:eastAsia="font-weight : 400" w:cs="font-weight : 400"/>
      <w:color w:val="000000"/>
      <w:sz w:val="22"/>
      <w:szCs w:val="22"/>
      <w:u w:val="none"/>
    </w:rPr>
  </w:style>
  <w:style w:type="paragraph" w:customStyle="1" w:styleId="60">
    <w:name w:val="WPSOffice手动目录 1"/>
    <w:qFormat/>
    <w:uiPriority w:val="0"/>
    <w:pPr>
      <w:spacing w:after="160" w:line="259" w:lineRule="auto"/>
    </w:pPr>
    <w:rPr>
      <w:rFonts w:asciiTheme="minorHAnsi" w:hAnsiTheme="minorHAnsi" w:eastAsiaTheme="minorEastAsia" w:cstheme="minorBidi"/>
      <w:lang w:val="en-US" w:eastAsia="zh-CN" w:bidi="ar-SA"/>
    </w:rPr>
  </w:style>
  <w:style w:type="paragraph" w:customStyle="1" w:styleId="61">
    <w:name w:val="WPSOffice手动目录 2"/>
    <w:qFormat/>
    <w:uiPriority w:val="0"/>
    <w:pPr>
      <w:spacing w:after="160" w:line="259" w:lineRule="auto"/>
      <w:ind w:left="200" w:leftChars="200"/>
    </w:pPr>
    <w:rPr>
      <w:rFonts w:asciiTheme="minorHAnsi" w:hAnsiTheme="minorHAnsi" w:eastAsiaTheme="minorEastAsia" w:cstheme="minorBidi"/>
      <w:lang w:val="en-US" w:eastAsia="zh-CN" w:bidi="ar-SA"/>
    </w:rPr>
  </w:style>
  <w:style w:type="paragraph" w:customStyle="1" w:styleId="62">
    <w:name w:val="TOC 标题2"/>
    <w:basedOn w:val="2"/>
    <w:next w:val="1"/>
    <w:unhideWhenUsed/>
    <w:qFormat/>
    <w:uiPriority w:val="39"/>
    <w:pPr>
      <w:keepNext/>
      <w:keepLines/>
      <w:widowControl/>
      <w:spacing w:before="240"/>
      <w:ind w:left="0"/>
      <w:outlineLvl w:val="9"/>
    </w:pPr>
    <w:rPr>
      <w:rFonts w:asciiTheme="majorHAnsi" w:hAnsiTheme="majorHAnsi" w:eastAsiaTheme="majorEastAsia" w:cstheme="majorBidi"/>
      <w:b w:val="0"/>
      <w:color w:val="376092" w:themeColor="accent1" w:themeShade="BF"/>
      <w:sz w:val="32"/>
      <w:szCs w:val="32"/>
      <w:lang w:eastAsia="zh-CN"/>
    </w:rPr>
  </w:style>
  <w:style w:type="paragraph" w:customStyle="1" w:styleId="63">
    <w:name w:val="列出段落4"/>
    <w:basedOn w:val="1"/>
    <w:qFormat/>
    <w:uiPriority w:val="99"/>
    <w:pPr>
      <w:ind w:firstLine="420" w:firstLineChars="200"/>
    </w:pPr>
  </w:style>
  <w:style w:type="paragraph" w:customStyle="1" w:styleId="64">
    <w:name w:val="无间隔1"/>
    <w:link w:val="65"/>
    <w:qFormat/>
    <w:uiPriority w:val="1"/>
    <w:pPr>
      <w:spacing w:after="160" w:line="259" w:lineRule="auto"/>
    </w:pPr>
    <w:rPr>
      <w:rFonts w:asciiTheme="minorHAnsi" w:hAnsiTheme="minorHAnsi" w:eastAsiaTheme="minorEastAsia" w:cstheme="minorBidi"/>
      <w:sz w:val="22"/>
      <w:szCs w:val="22"/>
      <w:lang w:val="en-US" w:eastAsia="zh-CN" w:bidi="ar-SA"/>
    </w:rPr>
  </w:style>
  <w:style w:type="character" w:customStyle="1" w:styleId="65">
    <w:name w:val="No Spacing Char"/>
    <w:basedOn w:val="26"/>
    <w:link w:val="64"/>
    <w:qFormat/>
    <w:uiPriority w:val="1"/>
    <w:rPr>
      <w:rFonts w:asciiTheme="minorHAnsi" w:hAnsiTheme="minorHAnsi" w:eastAsiaTheme="minorEastAsia" w:cstheme="minorBidi"/>
      <w:sz w:val="22"/>
      <w:szCs w:val="22"/>
    </w:rPr>
  </w:style>
  <w:style w:type="paragraph" w:customStyle="1" w:styleId="66">
    <w:name w:val="列表段落1"/>
    <w:basedOn w:val="1"/>
    <w:qFormat/>
    <w:uiPriority w:val="0"/>
    <w:pPr>
      <w:widowControl w:val="0"/>
      <w:ind w:firstLine="420" w:firstLineChars="200"/>
    </w:pPr>
    <w:rPr>
      <w:rFonts w:ascii="宋体" w:hAnsi="宋体" w:cs="宋体"/>
      <w:sz w:val="22"/>
      <w:szCs w:val="22"/>
      <w:lang w:eastAsia="en-US"/>
    </w:rPr>
  </w:style>
  <w:style w:type="paragraph" w:customStyle="1" w:styleId="67">
    <w:name w:val="正文1"/>
    <w:qFormat/>
    <w:uiPriority w:val="0"/>
    <w:rPr>
      <w:rFonts w:ascii="Times New Roman" w:hAnsi="Times New Roman" w:eastAsia="宋体" w:cs="Times New Roman"/>
      <w:sz w:val="24"/>
      <w:szCs w:val="24"/>
      <w:lang w:val="en-US" w:eastAsia="zh-CN" w:bidi="ar-SA"/>
    </w:rPr>
  </w:style>
  <w:style w:type="table" w:customStyle="1" w:styleId="68">
    <w:name w:val="网格型2"/>
    <w:basedOn w:val="24"/>
    <w:qFormat/>
    <w:uiPriority w:val="0"/>
    <w:rPr>
      <w:rFonts w:eastAsia="Times New Roman"/>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9">
    <w:name w:val="普通(网站)2"/>
    <w:basedOn w:val="1"/>
    <w:qFormat/>
    <w:uiPriority w:val="0"/>
    <w:pPr>
      <w:spacing w:after="0" w:line="240" w:lineRule="auto"/>
    </w:pPr>
  </w:style>
  <w:style w:type="table" w:customStyle="1" w:styleId="70">
    <w:name w:val="普通表格1"/>
    <w:semiHidden/>
    <w:qFormat/>
    <w:uiPriority w:val="0"/>
    <w:rPr>
      <w:rFonts w:eastAsia="Times New Roman"/>
    </w:rPr>
    <w:tblPr>
      <w:tblCellMar>
        <w:top w:w="0" w:type="dxa"/>
        <w:left w:w="108" w:type="dxa"/>
        <w:bottom w:w="0" w:type="dxa"/>
        <w:right w:w="108" w:type="dxa"/>
      </w:tblCellMar>
    </w:tblPr>
  </w:style>
  <w:style w:type="table" w:customStyle="1" w:styleId="71">
    <w:name w:val="Table Normal"/>
    <w:qFormat/>
    <w:uiPriority w:val="0"/>
    <w:tblPr>
      <w:tblCellMar>
        <w:top w:w="0" w:type="dxa"/>
        <w:left w:w="0" w:type="dxa"/>
        <w:bottom w:w="0" w:type="dxa"/>
        <w:right w:w="0" w:type="dxa"/>
      </w:tblCellMar>
    </w:tblPr>
  </w:style>
  <w:style w:type="paragraph" w:customStyle="1" w:styleId="72">
    <w:name w:val="列表段落2"/>
    <w:basedOn w:val="1"/>
    <w:qFormat/>
    <w:uiPriority w:val="99"/>
    <w:pPr>
      <w:ind w:firstLine="420" w:firstLineChars="200"/>
    </w:pPr>
  </w:style>
  <w:style w:type="paragraph" w:customStyle="1" w:styleId="73">
    <w:name w:val="样式1"/>
    <w:basedOn w:val="11"/>
    <w:autoRedefine/>
    <w:qFormat/>
    <w:uiPriority w:val="1"/>
    <w:pPr>
      <w:spacing w:line="276" w:lineRule="auto"/>
    </w:pPr>
    <w:rPr>
      <w:rFonts w:ascii="Times New Roman" w:hAnsi="Times New Roman" w:eastAsia="微软雅黑" w:cs="Times New Roman"/>
      <w:b/>
      <w:color w:val="45A3A7"/>
      <w:sz w:val="24"/>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9925</Words>
  <Characters>27557</Characters>
  <Lines>197</Lines>
  <Paragraphs>55</Paragraphs>
  <TotalTime>2</TotalTime>
  <ScaleCrop>false</ScaleCrop>
  <LinksUpToDate>false</LinksUpToDate>
  <CharactersWithSpaces>30492</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2019-07-21T07:00:00Z</dcterms:created>
  <dc:creator>caojun</dc:creator>
  <cp:lastModifiedBy>tassles-L</cp:lastModifiedBy>
  <cp:lastPrinted>2019-12-12T08:39:00Z</cp:lastPrinted>
  <dcterms:modified xsi:type="dcterms:W3CDTF">2024-07-09T03:05:42Z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KSORubyTemplateID" linkTarget="0">
    <vt:lpwstr>6</vt:lpwstr>
  </property>
  <property fmtid="{D5CDD505-2E9C-101B-9397-08002B2CF9AE}" pid="4" name="ICV">
    <vt:lpwstr>82127808E65D4F34B663EC2F9D1DBBB4</vt:lpwstr>
  </property>
</Properties>
</file>