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ascii="Times New Roman" w:hAnsi="Times New Roman" w:eastAsia="微软雅黑" w:cs="Times New Roman"/>
          <w:sz w:val="52"/>
          <w:szCs w:val="44"/>
          <w:lang w:eastAsia="zh-CN"/>
        </w:rPr>
      </w:pPr>
      <w:bookmarkStart w:id="0" w:name="_Toc26189"/>
      <w:bookmarkStart w:id="1" w:name="_Toc12869"/>
    </w:p>
    <w:p>
      <w:pPr>
        <w:rPr>
          <w:rFonts w:ascii="Times New Roman" w:hAnsi="Times New Roman" w:eastAsia="微软雅黑" w:cs="Times New Roman"/>
          <w:sz w:val="52"/>
          <w:szCs w:val="44"/>
          <w:lang w:eastAsia="zh-CN"/>
        </w:rPr>
      </w:pPr>
    </w:p>
    <w:p>
      <w:pPr>
        <w:rPr>
          <w:rFonts w:ascii="Times New Roman" w:hAnsi="Times New Roman" w:eastAsia="微软雅黑" w:cs="Times New Roman"/>
          <w:sz w:val="52"/>
          <w:szCs w:val="44"/>
          <w:lang w:eastAsia="zh-CN"/>
        </w:rPr>
      </w:pPr>
    </w:p>
    <w:p>
      <w:pPr>
        <w:rPr>
          <w:rFonts w:ascii="Times New Roman" w:hAnsi="Times New Roman" w:eastAsia="微软雅黑" w:cs="Times New Roman"/>
          <w:sz w:val="52"/>
          <w:szCs w:val="44"/>
          <w:lang w:eastAsia="zh-CN"/>
        </w:rPr>
      </w:pPr>
    </w:p>
    <w:p>
      <w:pPr>
        <w:rPr>
          <w:rFonts w:ascii="Times New Roman" w:hAnsi="Times New Roman" w:eastAsia="微软雅黑" w:cs="Times New Roman"/>
          <w:sz w:val="52"/>
          <w:szCs w:val="44"/>
          <w:lang w:eastAsia="zh-CN"/>
        </w:rPr>
      </w:pPr>
    </w:p>
    <w:bookmarkEnd w:id="0"/>
    <w:bookmarkEnd w:id="1"/>
    <w:p>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%}骨及软组织肿瘤融合基因谱</w:t>
      </w:r>
    </w:p>
    <w:p>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检测报告{% else %}骨及软组织肿瘤融合基因谱+PD-L1检测报告{% endif %}</w:t>
      </w:r>
    </w:p>
    <w:p>
      <w:pPr>
        <w:tabs>
          <w:tab w:val="left" w:pos="6082"/>
          <w:tab w:val="left" w:pos="6324"/>
          <w:tab w:val="left" w:pos="9183"/>
        </w:tabs>
        <w:spacing w:before="411" w:line="308" w:lineRule="auto"/>
        <w:ind w:right="2699"/>
        <w:jc w:val="both"/>
        <w:rPr>
          <w:sz w:val="30"/>
          <w:u w:val="single"/>
          <w:lang w:eastAsia="zh-CN"/>
        </w:rPr>
      </w:pPr>
    </w:p>
    <w:p>
      <w:pPr>
        <w:tabs>
          <w:tab w:val="left" w:pos="6082"/>
          <w:tab w:val="left" w:pos="6324"/>
          <w:tab w:val="left" w:pos="9183"/>
        </w:tabs>
        <w:spacing w:before="411" w:line="308" w:lineRule="auto"/>
        <w:ind w:right="2699"/>
        <w:jc w:val="both"/>
        <w:rPr>
          <w:sz w:val="30"/>
          <w:u w:val="single"/>
          <w:lang w:eastAsia="zh-CN"/>
        </w:rPr>
      </w:pP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pPr>
              <w:pStyle w:val="6"/>
              <w:jc w:val="center"/>
              <w:rPr>
                <w:rFonts w:ascii="黑体"/>
                <w:sz w:val="48"/>
                <w:lang w:eastAsia="zh-CN"/>
              </w:rPr>
            </w:pPr>
            <w:r>
              <w:rPr>
                <w:rFonts w:hint="eastAsia" w:ascii="微软雅黑" w:eastAsia="微软雅黑"/>
                <w:sz w:val="30"/>
                <w:lang w:eastAsia="zh-CN"/>
              </w:rPr>
              <w:t>{{ client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commission_date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subbarcode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reportdate }}</w:t>
            </w:r>
          </w:p>
        </w:tc>
      </w:tr>
    </w:tbl>
    <w:p>
      <w:pPr>
        <w:tabs>
          <w:tab w:val="left" w:pos="6082"/>
          <w:tab w:val="left" w:pos="6324"/>
          <w:tab w:val="left" w:pos="9183"/>
        </w:tabs>
        <w:spacing w:before="411" w:line="308" w:lineRule="auto"/>
        <w:ind w:right="2699"/>
        <w:jc w:val="both"/>
        <w:rPr>
          <w:sz w:val="30"/>
          <w:u w:val="single"/>
          <w:lang w:eastAsia="zh-CN"/>
        </w:rPr>
        <w:sectPr>
          <w:headerReference r:id="rId3" w:type="default"/>
          <w:footerReference r:id="rId4" w:type="default"/>
          <w:pgSz w:w="11911" w:h="16838"/>
          <w:pgMar w:top="1037" w:right="1020" w:bottom="981" w:left="1020" w:header="0" w:footer="720" w:gutter="0"/>
          <w:pgNumType w:start="1"/>
          <w:cols w:space="0" w:num="1"/>
        </w:sectPr>
      </w:pPr>
    </w:p>
    <w:p>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pPr>
        <w:jc w:val="center"/>
        <w:rPr>
          <w:sz w:val="24"/>
          <w:szCs w:val="24"/>
          <w:lang w:eastAsia="zh-CN"/>
        </w:rPr>
      </w:pPr>
      <w:r>
        <w:rPr>
          <w:rFonts w:hint="eastAsia" w:ascii="Times New Roman" w:hAnsi="Times New Roman" w:eastAsia="微软雅黑"/>
          <w:sz w:val="36"/>
          <w:szCs w:val="36"/>
          <w:lang w:eastAsia="zh-CN"/>
        </w:rPr>
        <w:t>Content</w:t>
      </w:r>
    </w:p>
    <w:p>
      <w:pPr>
        <w:jc w:val="center"/>
      </w:pPr>
    </w:p>
    <w:p>
      <w:pPr>
        <w:jc w:val="center"/>
      </w:pPr>
    </w:p>
    <w:p>
      <w:pPr>
        <w:jc w:val="center"/>
      </w:pPr>
    </w:p>
    <w:p>
      <w:pPr>
        <w:pStyle w:val="11"/>
        <w:tabs>
          <w:tab w:val="right" w:leader="dot" w:pos="9861"/>
        </w:tabs>
        <w:rPr>
          <w:rFonts w:ascii="Times New Roman" w:hAnsi="Times New Roman" w:eastAsia="微软雅黑"/>
          <w:b/>
          <w:color w:val="62B541"/>
          <w:sz w:val="32"/>
        </w:rPr>
      </w:pP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begin"/>
      </w:r>
      <w:r>
        <w:rPr>
          <w:rStyle w:val="18"/>
          <w:rFonts w:hint="eastAsia"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separate"/>
      </w:r>
      <w:r>
        <w:fldChar w:fldCharType="begin"/>
      </w:r>
      <w:r>
        <w:instrText xml:space="preserve"> HYPERLINK \l "_Toc2891" </w:instrText>
      </w:r>
      <w:r>
        <w:fldChar w:fldCharType="separate"/>
      </w:r>
      <w:r>
        <w:rPr>
          <w:rFonts w:ascii="Times New Roman" w:hAnsi="Times New Roman" w:eastAsia="微软雅黑"/>
          <w:b/>
          <w:color w:val="62B541"/>
          <w:sz w:val="32"/>
        </w:rPr>
        <w:t>样本信息</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_Toc2891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pPr>
        <w:pStyle w:val="11"/>
        <w:tabs>
          <w:tab w:val="right" w:leader="dot" w:pos="9861"/>
        </w:tabs>
        <w:rPr>
          <w:rFonts w:ascii="Times New Roman" w:hAnsi="Times New Roman" w:eastAsia="微软雅黑"/>
          <w:b/>
          <w:color w:val="62B541"/>
          <w:sz w:val="32"/>
        </w:rPr>
      </w:pPr>
      <w:r>
        <w:fldChar w:fldCharType="begin"/>
      </w:r>
      <w:r>
        <w:instrText xml:space="preserve"> HYPERLINK \l "_Toc19048" </w:instrText>
      </w:r>
      <w:r>
        <w:fldChar w:fldCharType="separate"/>
      </w:r>
      <w:r>
        <w:rPr>
          <w:rFonts w:ascii="Times New Roman" w:hAnsi="Times New Roman" w:eastAsia="微软雅黑"/>
          <w:b/>
          <w:color w:val="62B541"/>
          <w:sz w:val="32"/>
        </w:rPr>
        <w:t>检测项目</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_Toc19048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pPr>
        <w:pStyle w:val="11"/>
        <w:tabs>
          <w:tab w:val="right" w:leader="dot" w:pos="9861"/>
        </w:tabs>
      </w:pPr>
      <w:r>
        <w:fldChar w:fldCharType="begin"/>
      </w:r>
      <w:r>
        <w:instrText xml:space="preserve"> HYPERLINK \l "_Toc4150" </w:instrText>
      </w:r>
      <w:r>
        <w:fldChar w:fldCharType="separate"/>
      </w:r>
      <w:r>
        <w:rPr>
          <w:rFonts w:hint="eastAsia" w:ascii="Times New Roman" w:hAnsi="Times New Roman" w:eastAsia="微软雅黑"/>
          <w:b/>
          <w:color w:val="62B541"/>
          <w:sz w:val="32"/>
        </w:rPr>
        <w:t>检测结果</w:t>
      </w:r>
      <w:r>
        <w:rPr>
          <w:rFonts w:hint="eastAsia" w:ascii="Times New Roman" w:hAnsi="Times New Roman" w:eastAsia="微软雅黑"/>
          <w:b/>
          <w:color w:val="62B541"/>
          <w:sz w:val="32"/>
          <w:lang w:eastAsia="zh-CN"/>
        </w:rPr>
        <w:t>总览</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_Toc4150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pPr>
        <w:pStyle w:val="12"/>
        <w:tabs>
          <w:tab w:val="right" w:leader="dot" w:pos="9871"/>
        </w:tabs>
        <w:ind w:left="440"/>
      </w:pPr>
      <w:r>
        <w:fldChar w:fldCharType="begin"/>
      </w:r>
      <w:r>
        <w:instrText xml:space="preserve"> HYPERLINK \l "_Toc19089" </w:instrText>
      </w:r>
      <w:r>
        <w:fldChar w:fldCharType="separate"/>
      </w:r>
      <w:r>
        <w:rPr>
          <w:rFonts w:hint="eastAsia" w:ascii="Times New Roman" w:hAnsi="Times New Roman" w:eastAsia="微软雅黑" w:cs="Times New Roman"/>
          <w:sz w:val="28"/>
          <w:szCs w:val="28"/>
          <w:lang w:eastAsia="zh-CN"/>
        </w:rPr>
        <w:t>检测结果小结</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_Toc19089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pPr>
        <w:pStyle w:val="11"/>
        <w:tabs>
          <w:tab w:val="right" w:leader="dot" w:pos="9861"/>
        </w:tabs>
        <w:rPr>
          <w:rFonts w:ascii="Times New Roman" w:hAnsi="Times New Roman" w:eastAsia="微软雅黑"/>
          <w:b/>
          <w:color w:val="62B541"/>
          <w:sz w:val="32"/>
        </w:rPr>
      </w:pPr>
      <w:r>
        <w:fldChar w:fldCharType="begin"/>
      </w:r>
      <w:r>
        <w:instrText xml:space="preserve"> HYPERLINK \l "_Toc30879" </w:instrText>
      </w:r>
      <w:r>
        <w:fldChar w:fldCharType="separate"/>
      </w:r>
      <w:r>
        <w:rPr>
          <w:rFonts w:ascii="Times New Roman" w:hAnsi="Times New Roman" w:eastAsia="微软雅黑"/>
          <w:b/>
          <w:color w:val="62B541"/>
          <w:sz w:val="32"/>
        </w:rPr>
        <w:t>检测结果</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_Toc30879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2</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pPr>
        <w:pStyle w:val="12"/>
        <w:tabs>
          <w:tab w:val="right" w:leader="dot" w:pos="9871"/>
        </w:tabs>
        <w:ind w:left="440"/>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_Toc5571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PD-L1检测结果</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_Toc5571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4</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endif %}</w:t>
      </w:r>
    </w:p>
    <w:p>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_Toc19543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检测结果解析</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_Toc19543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6</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pPr>
        <w:pStyle w:val="11"/>
        <w:tabs>
          <w:tab w:val="right" w:leader="dot" w:pos="9871"/>
        </w:tabs>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_Toc13007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附录</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_Toc13007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7</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pPr>
        <w:pStyle w:val="12"/>
        <w:tabs>
          <w:tab w:val="right" w:leader="dot" w:pos="9870"/>
        </w:tabs>
        <w:ind w:left="440"/>
        <w:rPr>
          <w:rFonts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_Toc1088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样本质控情况</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_Toc1088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7</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pPr>
        <w:pStyle w:val="12"/>
        <w:tabs>
          <w:tab w:val="right" w:leader="dot" w:pos="9870"/>
        </w:tabs>
        <w:ind w:left="440"/>
        <w:rPr>
          <w:rFonts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_Toc22288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常见肉瘤分型相关基因变异</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_Toc22288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8</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pPr>
        <w:pStyle w:val="12"/>
        <w:tabs>
          <w:tab w:val="right" w:leader="dot" w:pos="9870"/>
        </w:tabs>
        <w:ind w:left="440"/>
        <w:rPr>
          <w:rFonts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_Toc18472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检测基因列表（596个基因）</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_Toc18472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18</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pPr>
        <w:pStyle w:val="12"/>
        <w:tabs>
          <w:tab w:val="right" w:leader="dot" w:pos="9870"/>
        </w:tabs>
        <w:ind w:left="440"/>
        <w:rPr>
          <w:rFonts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_Toc15227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检测方法与局限性</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_Toc15227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19</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pPr>
        <w:pStyle w:val="12"/>
        <w:tabs>
          <w:tab w:val="right" w:leader="dot" w:pos="9870"/>
        </w:tabs>
        <w:ind w:left="440"/>
        <w:rPr>
          <w:rFonts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_Toc7938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参考文献</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_Toc7938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21</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pPr>
        <w:spacing w:line="520" w:lineRule="atLeast"/>
        <w:rPr>
          <w:lang w:eastAsia="zh-CN"/>
        </w:rPr>
        <w:sectPr>
          <w:headerReference r:id="rId5" w:type="default"/>
          <w:footerReference r:id="rId6" w:type="default"/>
          <w:pgSz w:w="11911" w:h="16838"/>
          <w:pgMar w:top="1037" w:right="1020" w:bottom="981" w:left="1020" w:header="0" w:footer="720" w:gutter="0"/>
          <w:pgNumType w:start="1"/>
          <w:cols w:space="0" w:num="1"/>
          <w:docGrid w:linePitch="299" w:charSpace="0"/>
        </w:sectPr>
      </w:pPr>
      <w:r>
        <w:rPr>
          <w:lang w:eastAsia="zh-CN"/>
        </w:rPr>
        <w:fldChar w:fldCharType="end"/>
      </w:r>
    </w:p>
    <w:p>
      <w:pPr>
        <w:spacing w:line="520" w:lineRule="atLeast"/>
        <w:rPr>
          <w:lang w:eastAsia="zh-CN"/>
        </w:rPr>
      </w:pPr>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 w:name="_Toc14123"/>
      <w:bookmarkStart w:id="3" w:name="_Toc3619"/>
      <w:bookmarkStart w:id="4" w:name="_Toc24178_WPSOffice_Level1"/>
      <w:bookmarkStart w:id="5" w:name="_Toc2891"/>
      <w:bookmarkStart w:id="6" w:name="_Toc13806"/>
      <w:bookmarkStart w:id="7" w:name="_Toc107825547"/>
      <w:bookmarkStart w:id="8" w:name="_Toc21669"/>
      <w:bookmarkStart w:id="9" w:name="_Toc30143_WPSOffice_Level1"/>
      <w:bookmarkStart w:id="10" w:name="_Toc21009_WPSOffice_Level1"/>
      <w:r>
        <w:rPr>
          <w:color w:val="62B541"/>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样本条码：{{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送检科室：</w:t>
            </w:r>
            <w:r>
              <w:rPr>
                <w:rFonts w:hint="eastAsia" w:ascii="Times New Roman" w:hAnsi="Times New Roman" w:eastAsia="微软雅黑" w:cs="Times New Roman"/>
                <w:bCs/>
                <w:color w:val="000000"/>
                <w:sz w:val="21"/>
                <w:szCs w:val="21"/>
                <w:lang w:eastAsia="zh-CN"/>
              </w:rPr>
              <w:t>{{ locationname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样本编号：{{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送检医生：</w:t>
            </w:r>
            <w:r>
              <w:rPr>
                <w:rFonts w:hint="eastAsia" w:ascii="Times New Roman" w:hAnsi="Times New Roman" w:eastAsia="微软雅黑" w:cs="Times New Roman"/>
                <w:bCs/>
                <w:color w:val="000000"/>
                <w:sz w:val="21"/>
                <w:szCs w:val="21"/>
                <w:lang w:eastAsia="zh-CN"/>
              </w:rPr>
              <w:t>{{ doctorname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门诊/住院号：{{ room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送检时间：{{ commission_date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 xml:space="preserve">病理编号：{{ </w:t>
            </w:r>
            <w:r>
              <w:rPr>
                <w:rFonts w:ascii="Times New Roman" w:hAnsi="Times New Roman" w:eastAsia="微软雅黑" w:cs="Times New Roman"/>
                <w:bCs/>
                <w:color w:val="000000"/>
                <w:sz w:val="21"/>
                <w:szCs w:val="21"/>
                <w:lang w:eastAsia="zh-CN"/>
              </w:rPr>
              <w:t>specimenno</w:t>
            </w:r>
            <w:r>
              <w:rPr>
                <w:rFonts w:hint="eastAsia" w:ascii="Times New Roman" w:hAnsi="Times New Roman" w:eastAsia="微软雅黑" w:cs="Times New Roman"/>
                <w:bCs/>
                <w:color w:val="000000"/>
                <w:sz w:val="21"/>
                <w:szCs w:val="21"/>
                <w:lang w:eastAsia="zh-CN"/>
              </w:rPr>
              <w:t xml:space="preserv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接收时间：{{ receiveddate }}</w:t>
            </w:r>
          </w:p>
        </w:tc>
      </w:tr>
    </w:tbl>
    <w:p>
      <w:pPr>
        <w:rPr>
          <w:rFonts w:ascii="Times New Roman" w:hAnsi="Times New Roman" w:eastAsia="微软雅黑" w:cs="Times New Roman"/>
          <w:b/>
          <w:color w:val="00B050"/>
          <w:sz w:val="28"/>
          <w:szCs w:val="28"/>
          <w:lang w:eastAsia="zh-CN"/>
        </w:rPr>
      </w:pPr>
    </w:p>
    <w:p>
      <w:pPr>
        <w:rPr>
          <w:rFonts w:ascii="Times New Roman" w:hAnsi="Times New Roman" w:eastAsia="微软雅黑" w:cs="Times New Roman"/>
          <w:b/>
          <w:color w:val="00B050"/>
          <w:sz w:val="28"/>
          <w:szCs w:val="28"/>
          <w:lang w:eastAsia="zh-CN"/>
        </w:rPr>
      </w:pPr>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 w:name="_Toc19048"/>
      <w:bookmarkStart w:id="12" w:name="_Toc26731"/>
      <w:bookmarkStart w:id="13" w:name="_Toc7021_WPSOffice_Level1"/>
      <w:bookmarkStart w:id="14" w:name="_Toc17451"/>
      <w:bookmarkStart w:id="15" w:name="_Toc107825548"/>
      <w:bookmarkStart w:id="16" w:name="_Toc11015_WPSOffice_Level1"/>
      <w:bookmarkStart w:id="17" w:name="_Toc18062_WPSOffice_Level1"/>
      <w:bookmarkStart w:id="18" w:name="_Toc29272"/>
      <w:bookmarkStart w:id="19" w:name="_Toc3823"/>
      <w:r>
        <w:rPr>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p>
    <w:p>
      <w:pPr>
        <w:spacing w:line="276" w:lineRule="auto"/>
        <w:ind w:firstLine="420" w:firstLineChars="200"/>
        <w:jc w:val="both"/>
        <w:rPr>
          <w:rFonts w:ascii="Times New Roman" w:hAnsi="Times New Roman" w:eastAsia="微软雅黑" w:cs="Times New Roman"/>
          <w:bCs/>
          <w:sz w:val="21"/>
          <w:szCs w:val="21"/>
          <w:lang w:eastAsia="zh-CN"/>
        </w:rPr>
      </w:pPr>
      <w:bookmarkStart w:id="20" w:name="_Toc534807930"/>
      <w:r>
        <w:rPr>
          <w:rFonts w:hint="eastAsia" w:ascii="Times New Roman" w:hAnsi="Times New Roman" w:eastAsia="微软雅黑" w:cs="Times New Roman"/>
          <w:bCs/>
          <w:sz w:val="21"/>
          <w:szCs w:val="21"/>
          <w:lang w:eastAsia="zh-CN"/>
        </w:rPr>
        <w:t>本产品利用探针杂交捕获技术和高通量测序技术全面检测596个基因，基于RNA水平精准检测多种重排，包括已知、未知以及复杂融合变异类型，尤其适用尤文肉瘤、滑膜肉瘤等肉瘤分型辅助诊断。</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本报告全面分析基因融合变异，可以辅助肉瘤分型诊断，从而为临床制定治疗方案提供参考信息。</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pPr>
        <w:spacing w:line="276" w:lineRule="auto"/>
        <w:ind w:firstLine="420" w:firstLineChars="200"/>
        <w:jc w:val="both"/>
        <w:rPr>
          <w:rFonts w:ascii="Times New Roman" w:hAnsi="Times New Roman" w:eastAsia="微软雅黑" w:cs="Times New Roman"/>
          <w:bCs/>
          <w:sz w:val="21"/>
          <w:szCs w:val="21"/>
          <w:lang w:eastAsia="zh-CN"/>
        </w:rPr>
      </w:pPr>
    </w:p>
    <w:p>
      <w:pPr>
        <w:numPr>
          <w:ilvl w:val="255"/>
          <w:numId w:val="0"/>
        </w:numPr>
        <w:rPr>
          <w:rFonts w:ascii="Times New Roman" w:hAnsi="Times New Roman"/>
          <w:color w:val="62B541"/>
          <w:sz w:val="32"/>
          <w:lang w:eastAsia="zh-CN"/>
          <w14:shadow w14:blurRad="50800" w14:dist="38100" w14:dir="10800000" w14:sx="100000" w14:sy="100000" w14:kx="0" w14:ky="0" w14:algn="r">
            <w14:srgbClr w14:val="62B541">
              <w14:alpha w14:val="60000"/>
            </w14:srgbClr>
          </w14:shadow>
        </w:rPr>
      </w:pPr>
      <w:bookmarkStart w:id="21" w:name="_Toc115357585"/>
      <w:bookmarkStart w:id="22" w:name="_Toc27650"/>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3" w:name="_Toc4150"/>
      <w:r>
        <w:rPr>
          <w:rFonts w:hint="eastAsia"/>
          <w:color w:val="62B541"/>
          <w:sz w:val="32"/>
          <w14:shadow w14:blurRad="50800" w14:dist="38100" w14:dir="10800000" w14:sx="100000" w14:sy="100000" w14:kx="0" w14:ky="0" w14:algn="r">
            <w14:srgbClr w14:val="62B541">
              <w14:alpha w14:val="60000"/>
            </w14:srgbClr>
          </w14:shadow>
        </w:rPr>
        <w:t>检测结果</w:t>
      </w:r>
      <w:bookmarkEnd w:id="21"/>
      <w:bookmarkEnd w:id="22"/>
      <w:r>
        <w:rPr>
          <w:rFonts w:hint="eastAsia"/>
          <w:color w:val="62B541"/>
          <w:sz w:val="32"/>
          <w14:shadow w14:blurRad="50800" w14:dist="38100" w14:dir="10800000" w14:sx="100000" w14:sy="100000" w14:kx="0" w14:ky="0" w14:algn="r">
            <w14:srgbClr w14:val="62B541">
              <w14:alpha w14:val="60000"/>
            </w14:srgbClr>
          </w14:shadow>
        </w:rPr>
        <w:t>总览</w:t>
      </w:r>
      <w:bookmarkEnd w:id="23"/>
    </w:p>
    <w:p>
      <w:pPr>
        <w:pStyle w:val="3"/>
        <w:numPr>
          <w:ilvl w:val="255"/>
          <w:numId w:val="0"/>
        </w:numPr>
        <w:spacing w:before="120" w:beforeLines="50" w:after="100" w:afterAutospacing="1"/>
        <w:jc w:val="left"/>
        <w:rPr>
          <w:lang w:eastAsia="zh-CN"/>
        </w:rPr>
      </w:pPr>
      <w:bookmarkStart w:id="24" w:name="_Toc19089"/>
      <w:bookmarkStart w:id="25" w:name="_Toc149837254"/>
      <w:r>
        <w:rPr>
          <w:rFonts w:hint="eastAsia"/>
          <w:color w:val="auto"/>
          <w:sz w:val="30"/>
          <w:lang w:eastAsia="zh-CN"/>
        </w:rPr>
        <w:t>检测结果小结</w:t>
      </w:r>
      <w:bookmarkEnd w:id="24"/>
      <w:bookmarkEnd w:id="25"/>
    </w:p>
    <w:tbl>
      <w:tblPr>
        <w:tblStyle w:val="14"/>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62BC41"/>
            <w:vAlign w:val="center"/>
          </w:tcPr>
          <w:p>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4289" w:type="dxa"/>
            <w:tcBorders>
              <w:top w:val="nil"/>
              <w:tl2br w:val="nil"/>
              <w:tr2bl w:val="nil"/>
            </w:tcBorders>
            <w:shd w:val="clear" w:color="auto" w:fill="auto"/>
            <w:vAlign w:val="center"/>
          </w:tcPr>
          <w:p>
            <w:pPr>
              <w:pStyle w:val="20"/>
              <w:ind w:left="119"/>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辅助肉瘤</w:t>
            </w:r>
            <w:r>
              <w:rPr>
                <w:rFonts w:ascii="Times New Roman" w:hAnsi="Times New Roman" w:eastAsia="微软雅黑" w:cs="Times New Roman"/>
                <w:b/>
                <w:bCs/>
                <w:sz w:val="21"/>
                <w:szCs w:val="21"/>
                <w:lang w:eastAsia="zh-CN"/>
              </w:rPr>
              <w:t>诊断</w:t>
            </w:r>
          </w:p>
        </w:tc>
        <w:tc>
          <w:tcPr>
            <w:tcW w:w="5581" w:type="dxa"/>
            <w:tcBorders>
              <w:top w:val="nil"/>
              <w:tl2br w:val="nil"/>
              <w:tr2bl w:val="nil"/>
            </w:tcBorders>
            <w:shd w:val="clear" w:color="auto" w:fill="auto"/>
            <w:vAlign w:val="center"/>
          </w:tcPr>
          <w:p>
            <w:pPr>
              <w:pStyle w:val="20"/>
              <w:spacing w:before="100" w:line="187" w:lineRule="auto"/>
              <w:ind w:left="118" w:right="178"/>
              <w:rPr>
                <w:rFonts w:ascii="Times New Roman" w:hAnsi="Times New Roman" w:eastAsia="微软雅黑" w:cs="Times New Roman"/>
                <w:sz w:val="21"/>
                <w:szCs w:val="21"/>
                <w:highlight w:val="yellow"/>
                <w:lang w:eastAsia="zh-CN"/>
              </w:rPr>
            </w:pPr>
            <w:r>
              <w:rPr>
                <w:rFonts w:ascii="Times New Roman" w:hAnsi="Times New Roman" w:eastAsia="微软雅黑" w:cs="Times New Roman"/>
                <w:sz w:val="21"/>
                <w:lang w:eastAsia="zh-CN"/>
              </w:rPr>
              <w:t>共有{{ summaryOfRresults.geneRearrangementSize }}个基因重排，其中{{ summaryOfRresults.geneRearrangementVariationSize</w:t>
            </w:r>
            <w:r>
              <w:rPr>
                <w:rFonts w:hint="eastAsia" w:ascii="Times New Roman" w:hAnsi="Times New Roman" w:eastAsia="微软雅黑" w:cs="Times New Roman"/>
                <w:sz w:val="21"/>
                <w:lang w:eastAsia="zh-CN"/>
              </w:rPr>
              <w:t>2</w:t>
            </w:r>
            <w:r>
              <w:rPr>
                <w:rFonts w:ascii="Times New Roman" w:hAnsi="Times New Roman" w:eastAsia="微软雅黑" w:cs="Times New Roman"/>
                <w:sz w:val="21"/>
                <w:lang w:eastAsia="zh-CN"/>
              </w:rPr>
              <w:t xml:space="preserve"> }}个基因重排是分类/指南/专家共识中提及的辅助肉瘤诊断的基因变异。</w:t>
            </w:r>
          </w:p>
        </w:tc>
      </w:tr>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9870" w:type="dxa"/>
            <w:gridSpan w:val="2"/>
            <w:tcBorders>
              <w:tl2br w:val="nil"/>
              <w:tr2bl w:val="nil"/>
            </w:tcBorders>
            <w:shd w:val="clear" w:color="auto" w:fill="auto"/>
            <w:vAlign w:val="center"/>
          </w:tcPr>
          <w:p>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289" w:type="dxa"/>
            <w:tcBorders>
              <w:tl2br w:val="nil"/>
              <w:tr2bl w:val="nil"/>
            </w:tcBorders>
            <w:shd w:val="clear" w:color="auto" w:fill="auto"/>
            <w:vAlign w:val="center"/>
          </w:tcPr>
          <w:p>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pPr>
              <w:pStyle w:val="20"/>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9870" w:type="dxa"/>
            <w:gridSpan w:val="2"/>
            <w:tcBorders>
              <w:tl2br w:val="nil"/>
              <w:tr2bl w:val="nil"/>
            </w:tcBorders>
            <w:shd w:val="clear" w:color="auto" w:fill="auto"/>
            <w:vAlign w:val="center"/>
          </w:tcPr>
          <w:p>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289" w:type="dxa"/>
            <w:tcBorders>
              <w:tl2br w:val="nil"/>
              <w:tr2bl w:val="nil"/>
            </w:tcBorders>
            <w:shd w:val="clear" w:color="auto" w:fill="auto"/>
            <w:vAlign w:val="center"/>
          </w:tcPr>
          <w:p>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{%if rna != undefined%}</w:t>
            </w:r>
            <w:r>
              <w:rPr>
                <w:rFonts w:ascii="Times New Roman" w:hAnsi="Times New Roman" w:eastAsia="微软雅黑" w:cs="Times New Roman"/>
                <w:color w:val="000000"/>
                <w:sz w:val="21"/>
                <w:szCs w:val="21"/>
                <w:lang w:eastAsia="zh-CN"/>
              </w:rPr>
              <w:t xml:space="preserve">{{ </w:t>
            </w:r>
            <w:r>
              <w:rPr>
                <w:rFonts w:ascii="Times New Roman" w:hAnsi="Times New Roman" w:eastAsia="微软雅黑" w:cs="Times New Roman"/>
                <w:sz w:val="21"/>
                <w:szCs w:val="21"/>
                <w:lang w:eastAsia="zh-CN"/>
              </w:rPr>
              <w:t>rna.total_reads</w:t>
            </w:r>
            <w:r>
              <w:rPr>
                <w:rFonts w:ascii="Times New Roman" w:hAnsi="Times New Roman" w:eastAsia="微软雅黑" w:cs="Times New Roman"/>
                <w:color w:val="000000"/>
                <w:sz w:val="21"/>
                <w:szCs w:val="21"/>
                <w:lang w:eastAsia="zh-CN"/>
              </w:rPr>
              <w:t xml:space="preserve"> | oqa(</w:t>
            </w:r>
            <w:r>
              <w:rPr>
                <w:rFonts w:ascii="Times New Roman" w:hAnsi="Times New Roman" w:eastAsia="微软雅黑" w:cs="Times New Roman"/>
                <w:sz w:val="21"/>
                <w:szCs w:val="21"/>
                <w:lang w:eastAsia="zh-CN" w:bidi="ar"/>
              </w:rPr>
              <w:t>12000000</w:t>
            </w:r>
            <w:r>
              <w:rPr>
                <w:rFonts w:ascii="Times New Roman" w:hAnsi="Times New Roman" w:eastAsia="微软雅黑" w:cs="Times New Roman"/>
                <w:color w:val="000000"/>
                <w:sz w:val="21"/>
                <w:szCs w:val="21"/>
                <w:lang w:eastAsia="zh-CN"/>
              </w:rPr>
              <w:t>,</w:t>
            </w:r>
            <w:r>
              <w:rPr>
                <w:rFonts w:ascii="Times New Roman" w:hAnsi="Times New Roman" w:eastAsia="微软雅黑" w:cs="Times New Roman"/>
                <w:sz w:val="21"/>
                <w:szCs w:val="21"/>
                <w:lang w:eastAsia="zh-CN" w:bidi="ar"/>
              </w:rPr>
              <w:t>10000000</w:t>
            </w:r>
            <w:r>
              <w:rPr>
                <w:rFonts w:ascii="Times New Roman" w:hAnsi="Times New Roman" w:eastAsia="微软雅黑" w:cs="Times New Roman"/>
                <w:color w:val="000000"/>
                <w:sz w:val="21"/>
                <w:szCs w:val="21"/>
                <w:lang w:eastAsia="zh-CN"/>
              </w:rPr>
              <w:t>) }}</w:t>
            </w:r>
            <w:r>
              <w:rPr>
                <w:rFonts w:ascii="Times New Roman" w:hAnsi="Times New Roman" w:eastAsia="微软雅黑" w:cs="Times New Roman"/>
                <w:sz w:val="21"/>
                <w:szCs w:val="21"/>
                <w:lang w:eastAsia="zh-CN"/>
              </w:rPr>
              <w:t>{%endif%}</w:t>
            </w:r>
          </w:p>
        </w:tc>
      </w:tr>
    </w:tbl>
    <w:p>
      <w:pPr>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bidi="ar"/>
        </w:rPr>
        <w:t>注：</w:t>
      </w:r>
    </w:p>
    <w:p>
      <w:pPr>
        <w:pStyle w:val="13"/>
        <w:spacing w:before="77"/>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1.检测结果仅供医生参考，不作为临床诊断的依据。</w:t>
      </w:r>
    </w:p>
    <w:p>
      <w:pPr>
        <w:pStyle w:val="13"/>
        <w:spacing w:before="77"/>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2.检测结果仅对本样本负责，如有疑问，请在7个工作日内与我们联系。</w:t>
      </w:r>
    </w:p>
    <w:p>
      <w:pPr>
        <w:rPr>
          <w:rStyle w:val="37"/>
          <w:color w:val="62B541"/>
          <w:sz w:val="32"/>
          <w:szCs w:val="40"/>
          <w14:shadow w14:blurRad="50800" w14:dist="38100" w14:dir="10800000" w14:sx="100000" w14:sy="100000" w14:kx="0" w14:ky="0" w14:algn="r">
            <w14:srgbClr w14:val="62B541">
              <w14:alpha w14:val="60000"/>
            </w14:srgbClr>
          </w14:shadow>
        </w:rPr>
      </w:pPr>
      <w:r>
        <w:rPr>
          <w:rFonts w:ascii="Times New Roman" w:hAnsi="Times New Roman" w:cs="Times New Roman"/>
          <w:b/>
          <w:bCs/>
          <w:color w:val="00B050"/>
          <w:sz w:val="28"/>
          <w:szCs w:val="36"/>
          <w:lang w:eastAsia="zh-CN"/>
        </w:rPr>
        <w:br w:type="page"/>
      </w:r>
      <w:bookmarkStart w:id="26" w:name="_Toc2781"/>
      <w:bookmarkStart w:id="27" w:name="_Toc20136_WPSOffice_Level1"/>
      <w:bookmarkStart w:id="28" w:name="_Toc2866"/>
      <w:bookmarkStart w:id="29" w:name="_Toc19898_WPSOffice_Level1"/>
      <w:bookmarkStart w:id="30" w:name="_Toc22132"/>
      <w:bookmarkStart w:id="31" w:name="_Toc24235"/>
      <w:bookmarkStart w:id="32" w:name="_Toc107825550"/>
      <w:bookmarkStart w:id="33" w:name="_Toc30879"/>
      <w:r>
        <w:rPr>
          <w:rStyle w:val="37"/>
          <w:color w:val="62B541"/>
          <w:sz w:val="32"/>
          <w:szCs w:val="40"/>
          <w14:shadow w14:blurRad="50800" w14:dist="38100" w14:dir="10800000" w14:sx="100000" w14:sy="100000" w14:kx="0" w14:ky="0" w14:algn="r">
            <w14:srgbClr w14:val="62B541">
              <w14:alpha w14:val="60000"/>
            </w14:srgbClr>
          </w14:shadow>
        </w:rPr>
        <w:t>检测结果</w:t>
      </w:r>
      <w:bookmarkEnd w:id="20"/>
      <w:bookmarkEnd w:id="26"/>
      <w:bookmarkEnd w:id="27"/>
      <w:bookmarkEnd w:id="28"/>
      <w:bookmarkEnd w:id="29"/>
      <w:bookmarkEnd w:id="30"/>
      <w:bookmarkEnd w:id="31"/>
      <w:bookmarkEnd w:id="32"/>
    </w:p>
    <w:bookmarkEnd w:id="33"/>
    <w:p>
      <w:pPr>
        <w:spacing w:after="120"/>
        <w:ind w:firstLine="420" w:firstLineChars="200"/>
        <w:rPr>
          <w:rFonts w:ascii="Times New Roman" w:hAnsi="Times New Roman" w:eastAsia="微软雅黑" w:cs="Times New Roman"/>
          <w:b/>
          <w:color w:val="00B050"/>
          <w:sz w:val="24"/>
          <w:szCs w:val="24"/>
          <w:highlight w:val="yellow"/>
          <w:lang w:eastAsia="zh-CN"/>
        </w:rPr>
      </w:pPr>
      <w:r>
        <w:rPr>
          <w:rFonts w:ascii="Times New Roman" w:hAnsi="Times New Roman" w:eastAsia="微软雅黑" w:cs="Times New Roman"/>
          <w:b/>
          <w:color w:val="000000" w:themeColor="text1"/>
          <w:sz w:val="21"/>
          <w:szCs w:val="21"/>
          <w:lang w:eastAsia="zh-CN"/>
          <w14:textFill>
            <w14:solidFill>
              <w14:schemeClr w14:val="tx1"/>
            </w14:solidFill>
          </w14:textFill>
        </w:rPr>
        <w:t>共有{{ summaryOfRresults.geneRearrangementSize }}个基因重排，其中{{ summaryOfRresults.geneRearrangementVariationSize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2</w:t>
      </w:r>
      <w:r>
        <w:rPr>
          <w:rFonts w:ascii="Times New Roman" w:hAnsi="Times New Roman" w:eastAsia="微软雅黑" w:cs="Times New Roman"/>
          <w:b/>
          <w:color w:val="000000" w:themeColor="text1"/>
          <w:sz w:val="21"/>
          <w:szCs w:val="21"/>
          <w:lang w:eastAsia="zh-CN"/>
          <w14:textFill>
            <w14:solidFill>
              <w14:schemeClr w14:val="tx1"/>
            </w14:solidFill>
          </w14:textFill>
        </w:rPr>
        <w:t xml:space="preserve"> }}个基因重排是分类/指南/专家共识中提及的辅助肉瘤诊断的基因变异。具体信息详见“基因检测结果解析”</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1"/>
        <w:tblW w:w="10028"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434"/>
        <w:gridCol w:w="1300"/>
        <w:gridCol w:w="2469"/>
        <w:gridCol w:w="1825"/>
      </w:tblGrid>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trPr>
        <w:tc>
          <w:tcPr>
            <w:tcW w:w="4436" w:type="dxa"/>
            <w:tcBorders>
              <w:top w:val="nil"/>
              <w:left w:val="nil"/>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300" w:type="dxa"/>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823" w:type="dxa"/>
            <w:tcBorders>
              <w:top w:val="nil"/>
              <w:left w:val="single" w:color="FFFFFF" w:sz="18" w:space="0"/>
              <w:bottom w:val="nil"/>
              <w:right w:val="nil"/>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trPr>
        <w:tc>
          <w:tcPr>
            <w:tcW w:w="10028" w:type="dxa"/>
            <w:gridSpan w:val="4"/>
            <w:tcBorders>
              <w:top w:val="dotted" w:color="45A3A7" w:sz="4" w:space="0"/>
              <w:left w:val="nil"/>
              <w:bottom w:val="single" w:color="A4A4A4"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if sarcomaTyping != []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trPr>
        <w:tc>
          <w:tcPr>
            <w:tcW w:w="10028" w:type="dxa"/>
            <w:gridSpan w:val="4"/>
            <w:tcBorders>
              <w:top w:val="single" w:color="A4A4A4"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for st in sarcomaTyping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trPr>
        <w:tc>
          <w:tcPr>
            <w:tcW w:w="4436" w:type="dxa"/>
            <w:tcBorders>
              <w:top w:val="nil"/>
              <w:left w:val="nil"/>
              <w:bottom w:val="single" w:color="A4A4A4" w:sz="4" w:space="0"/>
              <w:right w:val="single" w:color="A4A4A4" w:sz="4" w:space="0"/>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st.mutation }}</w:t>
            </w:r>
          </w:p>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st.transcript }})</w:t>
            </w:r>
          </w:p>
        </w:tc>
        <w:tc>
          <w:tcPr>
            <w:tcW w:w="1299" w:type="dxa"/>
            <w:tcBorders>
              <w:top w:val="nil"/>
              <w:left w:val="single" w:color="A4A4A4" w:sz="4" w:space="0"/>
              <w:bottom w:val="single" w:color="A4A4A4" w:sz="4" w:space="0"/>
              <w:right w:val="single" w:color="A4A4A4" w:sz="4" w:space="0"/>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st.mutFreq }}</w:t>
            </w:r>
          </w:p>
        </w:tc>
        <w:tc>
          <w:tcPr>
            <w:tcW w:w="2468" w:type="dxa"/>
            <w:tcBorders>
              <w:top w:val="nil"/>
              <w:left w:val="single" w:color="A4A4A4" w:sz="4" w:space="0"/>
              <w:bottom w:val="single" w:color="A4A4A4" w:sz="4" w:space="0"/>
              <w:right w:val="single" w:color="A4A4A4" w:sz="4" w:space="0"/>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st.sarcomaAndEvidence == []%}/{% else%}{% for s in st.sarcomaAndEvidence %}{%if loop.last%}{{ s.sarcoma_subtype }}{%else%}{{ s.sarcoma_subtype }}；</w:t>
            </w:r>
          </w:p>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 endif%}</w:t>
            </w:r>
          </w:p>
        </w:tc>
        <w:tc>
          <w:tcPr>
            <w:tcW w:w="1825" w:type="dxa"/>
            <w:tcBorders>
              <w:top w:val="nil"/>
              <w:left w:val="single" w:color="A4A4A4" w:sz="4" w:space="0"/>
              <w:bottom w:val="single" w:color="A4A4A4"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 if st.sarcomaAndEvidence == []%}/{% else%}{% for s in st.sarcomaAndEvidence %}{%if loop.first%}{{ s.evidence }}{%endif%}{% endfor %}{% endif%}</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trPr>
        <w:tc>
          <w:tcPr>
            <w:tcW w:w="10028" w:type="dxa"/>
            <w:gridSpan w:val="4"/>
            <w:tcBorders>
              <w:top w:val="single" w:color="A4A4A4" w:sz="4" w:space="0"/>
              <w:left w:val="nil"/>
              <w:bottom w:val="single" w:color="A4A4A4"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trPr>
        <w:tc>
          <w:tcPr>
            <w:tcW w:w="10028" w:type="dxa"/>
            <w:gridSpan w:val="4"/>
            <w:tcBorders>
              <w:top w:val="single" w:color="A4A4A4"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else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trPr>
        <w:tc>
          <w:tcPr>
            <w:tcW w:w="4436" w:type="dxa"/>
            <w:tcBorders>
              <w:top w:val="nil"/>
              <w:left w:val="nil"/>
              <w:bottom w:val="single" w:color="A4A4A4" w:sz="4" w:space="0"/>
              <w:right w:val="single" w:color="A4A4A4" w:sz="4" w:space="0"/>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00" w:type="dxa"/>
            <w:tcBorders>
              <w:top w:val="nil"/>
              <w:left w:val="single" w:color="A4A4A4" w:sz="4" w:space="0"/>
              <w:bottom w:val="single" w:color="A4A4A4" w:sz="4" w:space="0"/>
              <w:right w:val="single" w:color="A4A4A4" w:sz="4" w:space="0"/>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3" w:type="dxa"/>
            <w:tcBorders>
              <w:top w:val="nil"/>
              <w:left w:val="single" w:color="A4A4A4" w:sz="4" w:space="0"/>
              <w:bottom w:val="single" w:color="A4A4A4"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trPr>
        <w:tc>
          <w:tcPr>
            <w:tcW w:w="10028" w:type="dxa"/>
            <w:gridSpan w:val="4"/>
            <w:tcBorders>
              <w:top w:val="single" w:color="A4A4A4" w:sz="4" w:space="0"/>
              <w:left w:val="nil"/>
              <w:bottom w:val="single" w:color="A4A4A4"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临床意义未明的基因突变是指在出具报告时文献尚未报道，或者是突变意义已经明确但是无相关的肉瘤分型诊断信息，或者是该突变意义不明确，可能存在潜在的临床意义。</w:t>
      </w:r>
    </w:p>
    <w:p>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分类/指南/专家共识中提及的辅助肉瘤诊断的基因变异见附录：常见肉瘤分型相关基因变异部分。</w:t>
      </w:r>
    </w:p>
    <w:p>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pPr>
        <w:pStyle w:val="3"/>
        <w:numPr>
          <w:ilvl w:val="255"/>
          <w:numId w:val="0"/>
        </w:numPr>
        <w:jc w:val="left"/>
        <w:rPr>
          <w:color w:val="auto"/>
          <w:sz w:val="30"/>
          <w:lang w:eastAsia="zh-CN"/>
        </w:rPr>
      </w:pPr>
      <w:bookmarkStart w:id="34" w:name="_Toc20034"/>
      <w:bookmarkStart w:id="35" w:name="_Toc106719764"/>
      <w:bookmarkStart w:id="36" w:name="_Toc10223"/>
      <w:bookmarkStart w:id="37" w:name="_Toc5571"/>
      <w:r>
        <w:rPr>
          <w:rFonts w:hint="eastAsia"/>
          <w:color w:val="auto"/>
          <w:sz w:val="30"/>
          <w:lang w:eastAsia="zh-CN"/>
        </w:rPr>
        <w:t>PD-L1检测结果</w:t>
      </w:r>
      <w:bookmarkEnd w:id="34"/>
      <w:bookmarkEnd w:id="35"/>
      <w:bookmarkEnd w:id="36"/>
      <w:bookmarkEnd w:id="37"/>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pPr>
              <w:pStyle w:val="38"/>
            </w:pPr>
            <w:r>
              <w:rPr>
                <w:rFonts w:hint="eastAsia"/>
              </w:rPr>
              <w:t>{{</w:t>
            </w:r>
            <w:r>
              <w:t xml:space="preserve"> PDInfo</w:t>
            </w:r>
            <w:r>
              <w:rPr>
                <w:rFonts w:hint="eastAsia"/>
              </w:rPr>
              <w:t>.</w:t>
            </w:r>
            <w:r>
              <w:t>Tumor_cell_count</w:t>
            </w:r>
            <w:r>
              <w:rPr>
                <w:rFonts w:hint="eastAsia"/>
              </w:rPr>
              <w:t xml:space="preserve"> }}</w:t>
            </w:r>
          </w:p>
        </w:tc>
      </w:tr>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pPr>
              <w:pStyle w:val="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pPr>
              <w:pStyle w:val="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pPr>
        <w:spacing w:line="276" w:lineRule="auto"/>
        <w:ind w:right="449" w:rightChars="204"/>
        <w:rPr>
          <w:rFonts w:ascii="微软雅黑" w:hAnsi="微软雅黑" w:eastAsia="微软雅黑" w:cs="微软雅黑"/>
          <w:b/>
          <w:color w:val="000000"/>
          <w:sz w:val="18"/>
          <w:szCs w:val="18"/>
        </w:rPr>
      </w:pPr>
    </w:p>
    <w:p>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bl>
    <w:p>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[1]实体肿瘤PD-L1免疫组织化学检测专家共识（2021版）</w:t>
      </w:r>
      <w:r>
        <w:rPr>
          <w:rFonts w:hint="eastAsia" w:ascii="Times New Roman" w:hAnsi="Times New Roman" w:eastAsia="微软雅黑" w:cs="Times New Roman"/>
          <w:bCs/>
          <w:sz w:val="18"/>
          <w:szCs w:val="18"/>
          <w:lang w:eastAsia="zh-CN"/>
        </w:rPr>
        <w:t>{% endif %}</w:t>
      </w:r>
    </w:p>
    <w:p>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pPr>
        <w:rPr>
          <w:rFonts w:ascii="Times New Roman" w:hAnsi="Times New Roman" w:eastAsia="微软雅黑" w:cs="Times New Roman"/>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38" w:name="_Toc180"/>
      <w:bookmarkStart w:id="39" w:name="_Toc4331_WPSOffice_Level1"/>
      <w:bookmarkStart w:id="40" w:name="_Toc24960"/>
      <w:bookmarkStart w:id="41" w:name="_Toc23846_WPSOffice_Level1"/>
      <w:bookmarkStart w:id="42" w:name="_Toc23903"/>
      <w:bookmarkStart w:id="43" w:name="_Toc19543"/>
      <w:bookmarkStart w:id="44" w:name="_Toc107825555"/>
      <w:bookmarkStart w:id="45" w:name="_Toc32443_WPSOffice_Level1"/>
      <w:bookmarkStart w:id="46" w:name="_Toc25727"/>
      <w:bookmarkStart w:id="47" w:name="_Toc29372"/>
      <w:r>
        <w:rPr>
          <w:color w:val="62B541"/>
          <w:sz w:val="32"/>
          <w14:shadow w14:blurRad="50800" w14:dist="38100" w14:dir="10800000" w14:sx="100000" w14:sy="100000" w14:kx="0" w14:ky="0" w14:algn="r">
            <w14:srgbClr w14:val="62B541">
              <w14:alpha w14:val="60000"/>
            </w14:srgbClr>
          </w14:shadow>
        </w:rPr>
        <w:t>检测结果解析</w:t>
      </w:r>
      <w:bookmarkEnd w:id="38"/>
      <w:bookmarkEnd w:id="39"/>
      <w:bookmarkEnd w:id="40"/>
      <w:bookmarkEnd w:id="41"/>
      <w:bookmarkEnd w:id="42"/>
      <w:bookmarkEnd w:id="43"/>
      <w:bookmarkEnd w:id="44"/>
      <w:bookmarkEnd w:id="45"/>
      <w:bookmarkEnd w:id="46"/>
      <w:bookmarkEnd w:id="47"/>
    </w:p>
    <w:p>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if sarcomaTyping != [] %}{% for st in sarcomaTyping %}</w:t>
      </w:r>
    </w:p>
    <w:p>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st.ori_variant }}</w:t>
      </w:r>
    </w:p>
    <w:p>
      <w:pPr>
        <w:rPr>
          <w:rFonts w:ascii="Times New Roman" w:hAnsi="Times New Roman"/>
          <w:color w:val="62B541"/>
          <w:sz w:val="32"/>
          <w14:shadow w14:blurRad="50800" w14:dist="38100" w14:dir="10800000" w14:sx="100000" w14:sy="100000" w14:kx="0" w14:ky="0" w14:algn="r">
            <w14:srgbClr w14:val="62B541">
              <w14:alpha w14:val="60000"/>
            </w14:srgbClr>
          </w14:shadow>
        </w:rPr>
      </w:pP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right w:val="nil"/>
            </w:tcBorders>
            <w:vAlign w:val="center"/>
          </w:tcPr>
          <w:p>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说明</w:t>
            </w:r>
          </w:p>
        </w:tc>
        <w:tc>
          <w:tcPr>
            <w:tcW w:w="8247" w:type="dxa"/>
            <w:tcBorders>
              <w:top w:val="single" w:color="A4A4A4" w:sz="4" w:space="0"/>
              <w:left w:val="nil"/>
              <w:bottom w:val="single" w:color="A4A4A4" w:sz="4" w:space="0"/>
              <w:right w:val="nil"/>
            </w:tcBorders>
            <w:vAlign w:val="center"/>
          </w:tcPr>
          <w:p>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st.mutDesc2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themeColor="background1" w:sz="18" w:space="0"/>
              <w:left w:val="nil"/>
              <w:bottom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变异</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解析</w:t>
            </w:r>
          </w:p>
        </w:tc>
        <w:tc>
          <w:tcPr>
            <w:tcW w:w="8247" w:type="dxa"/>
            <w:tcBorders>
              <w:top w:val="single" w:color="A4A4A4" w:sz="4" w:space="0"/>
              <w:left w:val="nil"/>
              <w:bottom w:val="single" w:color="A4A4A4" w:sz="4" w:space="0"/>
              <w:right w:val="nil"/>
            </w:tcBorders>
            <w:vAlign w:val="center"/>
          </w:tcPr>
          <w:p>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st.mutationAnalysis }}</w:t>
            </w:r>
          </w:p>
        </w:tc>
      </w:tr>
    </w:tbl>
    <w:p>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endfor %}{% else %}</w:t>
      </w:r>
      <w:r>
        <w:rPr>
          <w:rFonts w:hint="eastAsia" w:ascii="Times New Roman" w:hAnsi="Times New Roman" w:eastAsia="微软雅黑" w:cs="Times New Roman"/>
          <w:bCs/>
          <w:color w:val="000000" w:themeColor="text1"/>
          <w:sz w:val="24"/>
          <w:szCs w:val="24"/>
          <w:lang w:eastAsia="zh-CN"/>
          <w14:textFill>
            <w14:solidFill>
              <w14:schemeClr w14:val="tx1"/>
            </w14:solidFill>
          </w14:textFill>
        </w:rPr>
        <w:t>未检出可用于辅助肉瘤分子分型的基因变异</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pPr>
        <w:rPr>
          <w:rFonts w:ascii="Times New Roman" w:hAnsi="Times New Roman"/>
          <w:color w:val="62B541"/>
          <w:sz w:val="32"/>
          <w14:shadow w14:blurRad="50800" w14:dist="38100" w14:dir="10800000" w14:sx="100000" w14:sy="100000" w14:kx="0" w14:ky="0" w14:algn="r">
            <w14:srgbClr w14:val="62B541">
              <w14:alpha w14:val="60000"/>
            </w14:srgbClr>
          </w14:shadow>
        </w:rPr>
      </w:pPr>
    </w:p>
    <w:p>
      <w:pPr>
        <w:rPr>
          <w:rStyle w:val="37"/>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r>
        <w:rPr>
          <w:rFonts w:ascii="Times New Roman" w:hAnsi="Times New Roman"/>
          <w:color w:val="62B541"/>
          <w:sz w:val="32"/>
          <w14:shadow w14:blurRad="50800" w14:dist="38100" w14:dir="10800000" w14:sx="100000" w14:sy="100000" w14:kx="0" w14:ky="0" w14:algn="r">
            <w14:srgbClr w14:val="62B541">
              <w14:alpha w14:val="60000"/>
            </w14:srgbClr>
          </w14:shadow>
        </w:rPr>
        <w:br w:type="page"/>
      </w:r>
      <w:bookmarkStart w:id="48" w:name="_Toc21764_WPSOffice_Level1"/>
      <w:bookmarkStart w:id="49" w:name="_Toc27302"/>
      <w:bookmarkStart w:id="50" w:name="_Toc13196_WPSOffice_Level1"/>
      <w:bookmarkStart w:id="51" w:name="_Toc13698"/>
      <w:bookmarkStart w:id="52" w:name="_Toc107825561"/>
      <w:bookmarkStart w:id="53" w:name="_Toc11294"/>
      <w:bookmarkStart w:id="54" w:name="_Toc1707_WPSOffice_Level1"/>
      <w:bookmarkStart w:id="55" w:name="_Toc28240"/>
      <w:bookmarkStart w:id="56" w:name="_Toc16835"/>
      <w:bookmarkStart w:id="57" w:name="_Toc13007"/>
      <w:r>
        <w:rPr>
          <w:rStyle w:val="37"/>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48"/>
      <w:bookmarkEnd w:id="49"/>
      <w:bookmarkEnd w:id="50"/>
      <w:bookmarkEnd w:id="51"/>
      <w:bookmarkEnd w:id="52"/>
      <w:bookmarkEnd w:id="53"/>
      <w:bookmarkEnd w:id="54"/>
      <w:bookmarkEnd w:id="55"/>
    </w:p>
    <w:bookmarkEnd w:id="56"/>
    <w:bookmarkEnd w:id="57"/>
    <w:p>
      <w:pPr>
        <w:pStyle w:val="3"/>
        <w:numPr>
          <w:ilvl w:val="255"/>
          <w:numId w:val="0"/>
        </w:numPr>
        <w:jc w:val="left"/>
        <w:rPr>
          <w:color w:val="auto"/>
          <w:sz w:val="30"/>
          <w:lang w:eastAsia="zh-CN"/>
        </w:rPr>
      </w:pPr>
      <w:bookmarkStart w:id="58" w:name="_Toc14255_WPSOffice_Level1"/>
      <w:bookmarkStart w:id="59" w:name="_Toc28605"/>
      <w:bookmarkStart w:id="60" w:name="_Toc32150"/>
      <w:bookmarkStart w:id="61" w:name="_Toc1088"/>
      <w:bookmarkStart w:id="62" w:name="_Toc9066"/>
      <w:bookmarkStart w:id="63" w:name="_Toc15840_WPSOffice_Level1"/>
      <w:bookmarkStart w:id="64" w:name="_Toc24085_WPSOffice_Level1"/>
      <w:bookmarkStart w:id="65" w:name="_Toc3674"/>
      <w:bookmarkStart w:id="66" w:name="_Toc27230"/>
      <w:bookmarkStart w:id="67" w:name="_Toc23688"/>
      <w:bookmarkStart w:id="68" w:name="_Toc11193_WPSOffice_Level1"/>
      <w:bookmarkStart w:id="69" w:name="_Toc28810_WPSOffice_Level1"/>
      <w:bookmarkStart w:id="70" w:name="_Toc11896_WPSOffice_Level1"/>
      <w:r>
        <w:rPr>
          <w:rFonts w:hint="eastAsia"/>
          <w:color w:val="auto"/>
          <w:sz w:val="30"/>
          <w:lang w:eastAsia="zh-CN"/>
        </w:rPr>
        <w:t>样本质控情况</w:t>
      </w:r>
      <w:bookmarkEnd w:id="58"/>
      <w:bookmarkEnd w:id="59"/>
      <w:bookmarkEnd w:id="60"/>
      <w:bookmarkEnd w:id="61"/>
      <w:bookmarkEnd w:id="62"/>
      <w:bookmarkEnd w:id="63"/>
      <w:bookmarkEnd w:id="64"/>
      <w:bookmarkEnd w:id="65"/>
      <w:bookmarkEnd w:id="66"/>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肿瘤细胞含量</w:t>
            </w:r>
          </w:p>
        </w:tc>
        <w:tc>
          <w:tcPr>
            <w:tcW w:w="2381" w:type="dxa"/>
            <w:tcBorders>
              <w:top w:val="nil"/>
            </w:tcBorders>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rna.tumorcellcontent }}{%endif%}</w:t>
            </w:r>
          </w:p>
        </w:tc>
        <w:tc>
          <w:tcPr>
            <w:tcW w:w="2721" w:type="dxa"/>
            <w:tcBorders>
              <w:top w:val="nil"/>
              <w:right w:val="nil"/>
            </w:tcBorders>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RNA总量（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rna.RNA_total }}{%endif%}</w:t>
            </w:r>
          </w:p>
        </w:tc>
        <w:tc>
          <w:tcPr>
            <w:tcW w:w="2721" w:type="dxa"/>
            <w:tcBorders>
              <w:right w:val="nil"/>
            </w:tcBorders>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ind w:left="119"/>
              <w:jc w:val="center"/>
              <w:rPr>
                <w:rFonts w:ascii="Times New Roman" w:hAnsi="Times New Roman" w:eastAsia="微软雅黑" w:cs="Times New Roman"/>
                <w:b/>
                <w:sz w:val="21"/>
              </w:rPr>
            </w:pPr>
          </w:p>
        </w:tc>
        <w:tc>
          <w:tcPr>
            <w:tcW w:w="2721" w:type="dxa"/>
            <w:vAlign w:val="center"/>
          </w:tcPr>
          <w:p>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RNA降解程度（DV200）</w:t>
            </w:r>
          </w:p>
        </w:tc>
        <w:tc>
          <w:tcPr>
            <w:tcW w:w="2381" w:type="dxa"/>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rna.RNA_degradation }}{%endif%}</w:t>
            </w:r>
          </w:p>
        </w:tc>
        <w:tc>
          <w:tcPr>
            <w:tcW w:w="2721" w:type="dxa"/>
            <w:tcBorders>
              <w:right w:val="nil"/>
            </w:tcBorders>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≥30 (2100)</w:t>
            </w:r>
          </w:p>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≥70 (QSEP)</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ind w:left="119"/>
              <w:jc w:val="center"/>
              <w:rPr>
                <w:rFonts w:ascii="Times New Roman" w:hAnsi="Times New Roman" w:eastAsia="微软雅黑" w:cs="Times New Roman"/>
                <w:b/>
                <w:sz w:val="21"/>
              </w:rPr>
            </w:pPr>
          </w:p>
        </w:tc>
        <w:tc>
          <w:tcPr>
            <w:tcW w:w="2721" w:type="dxa"/>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预文库总量（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rna.outbound_quantity }}{%endif%}</w:t>
            </w:r>
          </w:p>
        </w:tc>
        <w:tc>
          <w:tcPr>
            <w:tcW w:w="2721" w:type="dxa"/>
            <w:tcBorders>
              <w:right w:val="nil"/>
            </w:tcBorders>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≥500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测序总reads数（条）</w:t>
            </w:r>
          </w:p>
        </w:tc>
        <w:tc>
          <w:tcPr>
            <w:tcW w:w="2381" w:type="dxa"/>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rna.total_reads }}{%endif%}</w:t>
            </w:r>
          </w:p>
        </w:tc>
        <w:tc>
          <w:tcPr>
            <w:tcW w:w="2721" w:type="dxa"/>
            <w:tcBorders>
              <w:right w:val="nil"/>
            </w:tcBorders>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≥12,000,000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ind w:left="119"/>
              <w:jc w:val="center"/>
              <w:rPr>
                <w:rFonts w:ascii="Times New Roman" w:hAnsi="Times New Roman" w:eastAsia="微软雅黑" w:cs="Times New Roman"/>
                <w:b/>
                <w:sz w:val="21"/>
              </w:rPr>
            </w:pPr>
          </w:p>
        </w:tc>
        <w:tc>
          <w:tcPr>
            <w:tcW w:w="2721" w:type="dxa"/>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碱基质量</w:t>
            </w:r>
            <w:r>
              <w:rPr>
                <w:rFonts w:ascii="Times New Roman" w:hAnsi="Times New Roman" w:eastAsia="微软雅黑" w:cs="Times New Roman"/>
                <w:bCs/>
                <w:sz w:val="21"/>
                <w:lang w:eastAsia="zh-CN"/>
              </w:rPr>
              <w:t>Q30</w:t>
            </w:r>
            <w:r>
              <w:rPr>
                <w:rFonts w:hint="eastAsia" w:ascii="Times New Roman" w:hAnsi="Times New Roman" w:eastAsia="微软雅黑" w:cs="Times New Roman"/>
                <w:bCs/>
                <w:sz w:val="21"/>
                <w:lang w:eastAsia="zh-CN"/>
              </w:rPr>
              <w:t>占比</w:t>
            </w:r>
          </w:p>
        </w:tc>
        <w:tc>
          <w:tcPr>
            <w:tcW w:w="2381" w:type="dxa"/>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rna.base_quality }}{%endif%}</w:t>
            </w:r>
          </w:p>
        </w:tc>
        <w:tc>
          <w:tcPr>
            <w:tcW w:w="2721" w:type="dxa"/>
            <w:tcBorders>
              <w:right w:val="nil"/>
            </w:tcBorders>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≥80%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pPr>
              <w:ind w:left="119"/>
              <w:jc w:val="center"/>
              <w:rPr>
                <w:rFonts w:ascii="Times New Roman" w:hAnsi="Times New Roman" w:eastAsia="微软雅黑" w:cs="Times New Roman"/>
                <w:bCs/>
                <w:sz w:val="21"/>
                <w:lang w:eastAsia="zh-CN"/>
              </w:rPr>
            </w:pPr>
            <w:r>
              <w:rPr>
                <w:rFonts w:hint="eastAsia" w:ascii="微软雅黑" w:hAnsi="微软雅黑" w:eastAsia="微软雅黑" w:cs="微软雅黑"/>
                <w:bCs/>
                <w:sz w:val="21"/>
                <w:lang w:eastAsia="zh-CN"/>
              </w:rPr>
              <w:t>{%if rna != undefined%}{{ rna.total_reads | oqa(12000000,10000000) }}{%endif%}</w:t>
            </w:r>
          </w:p>
        </w:tc>
      </w:tr>
    </w:tbl>
    <w:p>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pPr>
        <w:numPr>
          <w:ilvl w:val="0"/>
          <w:numId w:val="7"/>
        </w:numPr>
        <w:spacing w:before="53" w:line="301" w:lineRule="exact"/>
        <w:ind w:left="133"/>
        <w:rPr>
          <w:rFonts w:ascii="Times New Roman" w:hAnsi="Times New Roman" w:eastAsia="微软雅黑" w:cs="Times New Roman"/>
          <w:bCs/>
          <w:sz w:val="18"/>
          <w:szCs w:val="18"/>
          <w:lang w:eastAsia="zh-CN"/>
        </w:rPr>
      </w:pPr>
      <w:bookmarkStart w:id="71" w:name="_Hlk33190413"/>
      <w:bookmarkStart w:id="72" w:name="_Toc4303"/>
      <w:bookmarkStart w:id="73" w:name="_Toc31843"/>
      <w:bookmarkStart w:id="74" w:name="_Toc107330130"/>
      <w:bookmarkStart w:id="75" w:name="_Toc24780"/>
      <w:r>
        <w:rPr>
          <w:rFonts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RNA总量：送检样本的RNA提取总量。</w:t>
      </w:r>
    </w:p>
    <w:p>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RNA降解程度：大于 200 个核苷酸的 RNA 片段占 RNA 总片段的百分比。</w:t>
      </w:r>
    </w:p>
    <w:p>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预文库总量：核酸片段经过接头连接和扩增纯化后中间产物的总量。</w:t>
      </w:r>
    </w:p>
    <w:p>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测序总 reads 数：文库测序获得的数据总量（reads）。</w:t>
      </w:r>
    </w:p>
    <w:p>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碱基质量 Q30 占比：测序数据中碱基质量在 Q30 以上（即碱基识别错误率在千分之一以下）的占比。</w:t>
      </w:r>
    </w:p>
    <w:p>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总体质量评估：根据 RNA 测序总 reads 数进行评估，分为“合格”、“警戒“、”不合格”三个等级。总体质量评估为“警戒“或者“不合格”时，均会影响检测的准确性和敏感性。</w:t>
      </w:r>
    </w:p>
    <w:p>
      <w:pPr>
        <w:pStyle w:val="27"/>
        <w:rPr>
          <w:rFonts w:eastAsia="宋体"/>
        </w:rPr>
      </w:pPr>
      <w:r>
        <w:br w:type="page"/>
      </w:r>
      <w:bookmarkStart w:id="76" w:name="_Toc23373"/>
      <w:bookmarkStart w:id="77" w:name="_Toc22288"/>
      <w:r>
        <w:rPr>
          <w:rStyle w:val="37"/>
          <w:rFonts w:hint="eastAsia" w:ascii="微软雅黑" w:hAnsi="微软雅黑" w:cs="微软雅黑"/>
          <w:b/>
          <w:bCs/>
          <w:color w:val="62B541"/>
          <w:sz w:val="32"/>
          <w:szCs w:val="32"/>
          <w14:shadow w14:blurRad="50800" w14:dist="38100" w14:dir="10800000" w14:sx="100000" w14:sy="100000" w14:kx="0" w14:ky="0" w14:algn="r">
            <w14:srgbClr w14:val="62B541">
              <w14:alpha w14:val="60000"/>
            </w14:srgbClr>
          </w14:shadow>
        </w:rPr>
        <w:t>常见肉瘤分型相关基因变异</w:t>
      </w:r>
      <w:bookmarkEnd w:id="76"/>
      <w:bookmarkEnd w:id="77"/>
    </w:p>
    <w:bookmarkEnd w:id="19"/>
    <w:bookmarkEnd w:id="67"/>
    <w:bookmarkEnd w:id="68"/>
    <w:bookmarkEnd w:id="69"/>
    <w:bookmarkEnd w:id="70"/>
    <w:bookmarkEnd w:id="71"/>
    <w:bookmarkEnd w:id="72"/>
    <w:bookmarkEnd w:id="73"/>
    <w:bookmarkEnd w:id="74"/>
    <w:bookmarkEnd w:id="75"/>
    <w:p>
      <w:pPr>
        <w:numPr>
          <w:ilvl w:val="0"/>
          <w:numId w:val="8"/>
        </w:numPr>
        <w:rPr>
          <w:rFonts w:ascii="Times New Roman" w:hAnsi="Times New Roman" w:eastAsia="微软雅黑" w:cs="Times New Roman"/>
          <w:color w:val="000000"/>
          <w:sz w:val="21"/>
          <w:szCs w:val="21"/>
          <w:lang w:eastAsia="zh-Hans" w:bidi="ar"/>
        </w:rPr>
      </w:pPr>
      <w:bookmarkStart w:id="78" w:name="_Toc107825570"/>
      <w:bookmarkStart w:id="79" w:name="_Toc20170_WPSOffice_Level1"/>
      <w:bookmarkStart w:id="80" w:name="_Toc26985_WPSOffice_Level1"/>
      <w:bookmarkStart w:id="81" w:name="_Toc8911"/>
      <w:bookmarkStart w:id="82" w:name="_Toc28454_WPSOffice_Level1"/>
      <w:bookmarkStart w:id="83" w:name="_Toc5476"/>
      <w:bookmarkStart w:id="84" w:name="_Toc27034"/>
      <w:r>
        <w:rPr>
          <w:rFonts w:ascii="Times New Roman" w:hAnsi="Times New Roman" w:eastAsia="微软雅黑" w:cs="Times New Roman"/>
          <w:sz w:val="21"/>
          <w:szCs w:val="21"/>
          <w:lang w:eastAsia="zh-Hans"/>
        </w:rPr>
        <w:t>本部分内容参考：WHO-软组织与骨肿瘤指南</w:t>
      </w:r>
    </w:p>
    <w:tbl>
      <w:tblPr>
        <w:tblStyle w:val="14"/>
        <w:tblW w:w="997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8"/>
        <w:gridCol w:w="4888"/>
      </w:tblGrid>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8" w:type="dxa"/>
            <w:tcBorders>
              <w:top w:val="nil"/>
              <w:bottom w:val="nil"/>
              <w:right w:val="single" w:color="FFFFFF" w:sz="18" w:space="0"/>
            </w:tcBorders>
            <w:shd w:val="clear" w:color="auto" w:fill="62B541"/>
            <w:vAlign w:val="center"/>
          </w:tcPr>
          <w:p>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4888" w:type="dxa"/>
            <w:tcBorders>
              <w:top w:val="nil"/>
              <w:left w:val="single" w:color="FFFFFF" w:sz="18" w:space="0"/>
              <w:bottom w:val="nil"/>
            </w:tcBorders>
            <w:shd w:val="clear" w:color="auto" w:fill="62B541"/>
            <w:vAlign w:val="center"/>
          </w:tcPr>
          <w:p>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nil"/>
              <w:tl2br w:val="nil"/>
              <w:tr2bl w:val="nil"/>
            </w:tcBorders>
            <w:shd w:val="clear" w:color="auto" w:fill="auto"/>
            <w:vAlign w:val="center"/>
          </w:tcPr>
          <w:p>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脂肪母细胞瘤和脂肪母细胞瘤病</w:t>
            </w:r>
          </w:p>
        </w:tc>
        <w:tc>
          <w:tcPr>
            <w:tcW w:w="4888" w:type="dxa"/>
            <w:tcBorders>
              <w:top w:val="nil"/>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HAS2-PLAG1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COL1A2-PLAG1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RAD51B-PLAG1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COL3A1-PLAG1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RAB2A-PLAG1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BOC-PLAG1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黏液样脂肪肉瘤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FUS-DDIT3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EWSR1-DDIT3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结节性筋膜炎</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MYH9-USP6</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PPP6R3-USP6</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骨化性肌炎和指趾纤维骨性假瘤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USP6 重排</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钙化性腱膜纤维瘤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FN1-EGF</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EWSR1-SMAD3阳性纤维母细胞瘤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软组织血管纤维瘤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AHRR-NCOA2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GTF2I-NCOA2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巨细胞成纤维细胞瘤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隆突性皮肤纤维肉瘤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COL6A3-PDGFD</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EMILIN2-PDGFD</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孤立性纤维性肿瘤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NAB2-STAT6</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炎性肌成纤维细胞性肿瘤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TPM4-ALK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CLTC-ALK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CARS1(CARS)-ALK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ATIC-ALK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SEC31L1-ALK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PPFIBP1-ALK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DCTN1-ALK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PRKAR1A-ALK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HNRNPA1-ALK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TFG-ROS1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YWHAE-ROS1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上皮样炎性肌纤维母细胞肉瘤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RANBP2-ALK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RRBP1-ALK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婴儿纤维肉瘤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EML4-NTRK3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bottom w:val="single" w:color="A4A4A4" w:sz="4" w:space="0"/>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bottom w:val="single" w:color="A4A4A4" w:sz="4" w:space="0"/>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SQSTM1-NTRK1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4A4A4" w:sz="4" w:space="0"/>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op w:val="single" w:color="A4A4A4" w:sz="4" w:space="0"/>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MIR584F1-NTRK1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TFG-MET</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BRAF 融合</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低度恶性纤维黏液样肉瘤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硬化性上皮样纤维肉瘤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FUS-CREM</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PAX5-CREB3L1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腱鞘巨细胞肿瘤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CSF1 重排</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假性肌源性血管内皮瘤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SERPINE1-FOSB</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上皮样血管内皮瘤伴WWTR1-CAMTA1融合</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上皮样血管内皮瘤伴YAP1-TFE3融合</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血管球肿瘤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肌周细胞瘤，包括肌纤维瘤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SRF-RELA</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腺泡状横纹肌肉瘤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PAX3-FOXO1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PAX3 -FOXO4</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PAX3-NCOA1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PAX3-INO80D</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PAX7-FOXO1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FOXO1-FGFR1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先天性梭形细胞横纹肌肉瘤伴VGLL2/NCOA2/CITED2重排</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SRF-NCOA2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TEAD1-NCOA2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VGLL2-NCOA2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VGLL2-CITED2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骨内梭形细胞横纹肌肉瘤(伴TFCP2/NCOA2重排)</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EWSR1-TFCP2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FUS-TFCP2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MEIS1-NCOA2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胃肠道间质瘤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FGFR1-HOOK3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FGFR1-TACC1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深部（侵袭性）血管黏液瘤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HMGA2 重排</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血管瘤样纤维组织细胞瘤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骨化性纤维黏液样肿瘤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EP400-PHF1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MEAF6-PHF1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EPC1-PHF1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PHF1-TFE3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肌上皮瘤、肌上皮癌</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EWSR1-POU5F1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EWSR1-ZNF444</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EWSR1-KLF17</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FUS-ZNF444</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FUS-KLF17</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FUS-PBX3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混合瘤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LIFR-PLAG1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CTNNB1-PLAG1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TCEA1-PLAG1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CHCHD7-PLAG1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软组织多形性透明血管扩张瘤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含铁血黄素沉着性纤维脂肪瘤性肿瘤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磷酸盐尿性间叶性肿瘤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FN1-FGFR1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NTRK重排的梭形细胞肿瘤</w:t>
            </w:r>
          </w:p>
        </w:tc>
        <w:tc>
          <w:tcPr>
            <w:tcW w:w="4888" w:type="dxa"/>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NTRK2 融合</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NTRK3 融合</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滑膜肉瘤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SS18-SSX4</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腺泡状软组织肉瘤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ASPSCR1-TFE3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软组织透明细胞肉瘤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骨外黏液样软骨肉瘤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EWSR1-NR4A3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TAF15-NR4A3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TCF12-NR4A3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TFG-NR4A3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增生性小圆细胞肿瘤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EWSR1-WT1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血管周围上皮样细胞瘤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SFPQ-TFE3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DVL2-TFE3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NONO-TFE3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尤文肉瘤</w:t>
            </w:r>
          </w:p>
        </w:tc>
        <w:tc>
          <w:tcPr>
            <w:tcW w:w="4888" w:type="dxa"/>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EWSR1-FLI1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EWSR1-ERG</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EWSR1-FEV</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EWSR1-ETV4(E1AF)</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EWSR1-PATZ1(ZSG)</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EWSR1-SP3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EWSR1-SMARCA5</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FUS-ERG</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FUS-FEV</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EWSR1-非ETS融合圆细胞肉瘤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FUS-NFATC2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CIC重排肉瘤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bidi="ar"/>
              </w:rPr>
              <w:t>CIC-DUX4L1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CIC-FOXO4</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CIC-LEUTX</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CIC-NUTM2A</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伴有BCOR基因改变的肉瘤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BCOR-CCNB3</w:t>
            </w:r>
          </w:p>
        </w:tc>
      </w:tr>
      <w:tr>
        <w:tblPrEx>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BCOR-MAML2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软骨粘液样纤维瘤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TBL1XR1-GRM1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MEF2A-GRM1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间叶性软骨肉瘤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HEY1-NCOA2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骨样骨瘤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成骨细胞瘤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FOSB 重排</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骨上皮样血管内皮瘤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动脉瘤样骨囊肿</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CDH11-USP6</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THRAP3-USP6</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CNBP-USP6</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OMD-USP6</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COL1A1-USP6</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CTNNB1-USP6</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STAT3-USP6</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FOSL2-USP6</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EIF1-USP6</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SPARC-USP6</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PAFAH1B1-USP6</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USP9X-USP6</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RUNX2-USP6</w:t>
            </w:r>
          </w:p>
        </w:tc>
      </w:tr>
    </w:tbl>
    <w:p>
      <w:pPr>
        <w:rPr>
          <w:rFonts w:ascii="Times New Roman" w:hAnsi="Times New Roman" w:eastAsia="微软雅黑" w:cs="Times New Roman"/>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pPr>
        <w:rPr>
          <w:rFonts w:ascii="Times New Roman" w:hAnsi="Times New Roman" w:cs="Times New Roman"/>
          <w:lang w:eastAsia="zh-CN"/>
        </w:rPr>
      </w:pPr>
      <w:r>
        <w:rPr>
          <w:rFonts w:hint="eastAsia" w:ascii="Times New Roman" w:hAnsi="Times New Roman" w:cs="Times New Roman"/>
          <w:spacing w:val="-1"/>
          <w:sz w:val="18"/>
          <w:szCs w:val="18"/>
          <w:lang w:eastAsia="zh-Hans"/>
        </w:rPr>
        <w:br w:type="page"/>
      </w:r>
    </w:p>
    <w:p>
      <w:pPr>
        <w:numPr>
          <w:ilvl w:val="0"/>
          <w:numId w:val="8"/>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本部分内容参考：NCCN-软组织肉瘤等指南</w:t>
      </w:r>
    </w:p>
    <w:tbl>
      <w:tblPr>
        <w:tblStyle w:val="14"/>
        <w:tblW w:w="10026"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96"/>
        <w:gridCol w:w="4930"/>
      </w:tblGrid>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96" w:type="dxa"/>
            <w:tcBorders>
              <w:top w:val="nil"/>
              <w:bottom w:val="nil"/>
              <w:right w:val="single" w:color="FFFFFF" w:sz="18" w:space="0"/>
            </w:tcBorders>
            <w:shd w:val="clear" w:color="auto" w:fill="62B541"/>
            <w:vAlign w:val="center"/>
          </w:tcPr>
          <w:p>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930" w:type="dxa"/>
            <w:tcBorders>
              <w:top w:val="nil"/>
              <w:left w:val="single" w:color="FFFFFF" w:sz="18" w:space="0"/>
              <w:bottom w:val="nil"/>
            </w:tcBorders>
            <w:shd w:val="clear" w:color="auto" w:fill="62B541"/>
            <w:vAlign w:val="center"/>
          </w:tcPr>
          <w:p>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nil"/>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930" w:type="dxa"/>
            <w:tcBorders>
              <w:top w:val="nil"/>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PAX3-FOXO4(AFX)</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PAX3-INO80D</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尤文肉瘤/外周神经外胚层肿瘤</w:t>
            </w: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EWSR1-ETV4(E1AF)</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未分化圆形细胞肉瘤</w:t>
            </w: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黏液样/圆形细胞脂肪肉瘤</w:t>
            </w: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ASPSCR1(ASPL)-TFE3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血管瘤样纤维组织细胞瘤</w:t>
            </w: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FUS-ATF1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透明细胞肉瘤</w:t>
            </w: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先天性/婴幼儿纤维肉瘤</w:t>
            </w: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w:t>
            </w: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高级别子宫内膜间质肉瘤</w:t>
            </w: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YWHAE-NUTM2A</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胃肠道间质瘤</w:t>
            </w: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 融合</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炎性肌纤维母细胞瘤</w:t>
            </w: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腱鞘巨细胞瘤/色素沉着绒毛结节性滑膜炎</w:t>
            </w: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 重排</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子宫上皮样平滑肌肉瘤</w:t>
            </w: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PGR 融合</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子宫粘液样平滑肌肉瘤</w:t>
            </w: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PLAG1 融合</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低级别子宫内膜间质肉瘤</w:t>
            </w: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JAZF1-SUZ12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JAZF1-PHF1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EPC1-PHF1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MEAF6-PHF1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MBTD1-EZHIP(CXorf67)</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BRD8-PHF1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EPC2-PHF1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EPC1-SUZ12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子宫血管周上皮样细胞瘤</w:t>
            </w: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 融合</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RAD51B 融合</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HTR4-ST3GAL1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子宫炎性肌纤维母细胞瘤</w:t>
            </w: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IGFBP5-ALK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THBS1-ALK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TIMP3-ALK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NTRK重排子宫肉瘤</w:t>
            </w: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类似于卵巢性索肿瘤的子宫肿瘤</w:t>
            </w: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ESR1 融合</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GREB1 融合</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子宫腺泡状横纹肌肉瘤</w:t>
            </w: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 融合</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子宫Müllerian腺肉瘤</w:t>
            </w: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NCOA2 融合</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NCOA3 融合</w:t>
            </w:r>
          </w:p>
        </w:tc>
      </w:tr>
    </w:tbl>
    <w:p>
      <w:pPr>
        <w:rPr>
          <w:rFonts w:ascii="微软雅黑" w:hAnsi="微软雅黑" w:eastAsia="微软雅黑" w:cs="微软雅黑"/>
          <w:sz w:val="18"/>
          <w:szCs w:val="18"/>
          <w:lang w:eastAsia="zh-Hans"/>
        </w:rPr>
      </w:pPr>
      <w:r>
        <w:rPr>
          <w:rFonts w:hint="eastAsia" w:ascii="微软雅黑" w:hAnsi="微软雅黑" w:eastAsia="微软雅黑" w:cs="微软雅黑"/>
          <w:sz w:val="18"/>
          <w:szCs w:val="18"/>
          <w:lang w:eastAsia="zh-Hans"/>
        </w:rPr>
        <w:t>参考指南：</w:t>
      </w:r>
    </w:p>
    <w:p>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2</w:t>
      </w:r>
      <w:r>
        <w:rPr>
          <w:rFonts w:hint="eastAsia" w:ascii="Times New Roman" w:hAnsi="Times New Roman" w:eastAsia="微软雅黑" w:cs="Times New Roman"/>
          <w:sz w:val="18"/>
          <w:szCs w:val="18"/>
          <w:lang w:eastAsia="zh-Hans"/>
        </w:rPr>
        <w:t>.</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Bone Cancer</w:t>
      </w:r>
    </w:p>
    <w:p>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Gastrointestinal Stromal Tumors (GISTs)</w:t>
      </w:r>
    </w:p>
    <w:p>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Uterine Neoplasms</w:t>
      </w:r>
    </w:p>
    <w:p>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Dermatofibrosarcoma Protuberans</w:t>
      </w:r>
    </w:p>
    <w:p>
      <w:pPr>
        <w:rPr>
          <w:rFonts w:ascii="Times New Roman" w:hAnsi="Times New Roman" w:cs="Times New Roman"/>
          <w:sz w:val="24"/>
          <w:szCs w:val="24"/>
          <w:lang w:eastAsia="zh-CN"/>
        </w:rPr>
      </w:pPr>
    </w:p>
    <w:p>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pPr>
        <w:numPr>
          <w:ilvl w:val="0"/>
          <w:numId w:val="8"/>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本部分内容参考：CSCO-软组织</w:t>
      </w:r>
      <w:r>
        <w:rPr>
          <w:rFonts w:ascii="Times New Roman" w:hAnsi="Times New Roman" w:eastAsia="微软雅黑" w:cs="Times New Roman"/>
          <w:sz w:val="21"/>
          <w:szCs w:val="21"/>
          <w:lang w:eastAsia="zh-CN"/>
        </w:rPr>
        <w:t>肉</w:t>
      </w:r>
      <w:r>
        <w:rPr>
          <w:rFonts w:ascii="Times New Roman" w:hAnsi="Times New Roman" w:eastAsia="微软雅黑" w:cs="Times New Roman"/>
          <w:sz w:val="21"/>
          <w:szCs w:val="21"/>
          <w:lang w:eastAsia="zh-Hans"/>
        </w:rPr>
        <w:t>瘤等指南</w:t>
      </w:r>
    </w:p>
    <w:tbl>
      <w:tblPr>
        <w:tblStyle w:val="14"/>
        <w:tblW w:w="9960" w:type="dxa"/>
        <w:tblInd w:w="-51"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2"/>
        <w:gridCol w:w="4878"/>
      </w:tblGrid>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2" w:type="dxa"/>
            <w:tcBorders>
              <w:top w:val="nil"/>
              <w:bottom w:val="nil"/>
              <w:right w:val="single" w:color="FFFFFF" w:sz="18" w:space="0"/>
            </w:tcBorders>
            <w:shd w:val="clear" w:color="auto" w:fill="62B541"/>
            <w:vAlign w:val="center"/>
          </w:tcPr>
          <w:p>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78" w:type="dxa"/>
            <w:tcBorders>
              <w:top w:val="nil"/>
              <w:left w:val="single" w:color="FFFFFF" w:sz="18" w:space="0"/>
              <w:bottom w:val="nil"/>
            </w:tcBorders>
            <w:shd w:val="clear" w:color="auto" w:fill="62B541"/>
            <w:vAlign w:val="center"/>
          </w:tcPr>
          <w:p>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nil"/>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黏液样脂肪肉瘤</w:t>
            </w:r>
          </w:p>
        </w:tc>
        <w:tc>
          <w:tcPr>
            <w:tcW w:w="4878" w:type="dxa"/>
            <w:tcBorders>
              <w:top w:val="nil"/>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炎性成肌纤维细胞瘤</w:t>
            </w: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SEC31A(SEC31L1)-ALK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PPFIBP1-ALK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隆突性皮肤纤维肉瘤/巨细胞成纤维细胞瘤</w:t>
            </w: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婴儿型纤维肉瘤</w:t>
            </w: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硬化性上皮样纤维肉瘤</w:t>
            </w: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EWSR1-CREB3L1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w:t>
            </w: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CSF1-COL6A3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FOXO1-FGFR1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先天性/婴儿梭形细胞横纹肌肉瘤</w:t>
            </w: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软组织肌上皮肿瘤</w:t>
            </w: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FUS-KLF17</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EWSR1-ZNF444</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重排</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重排</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ASPSCR1-TFE3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软组织透明细胞肉瘤/胃肠道透明细胞肉瘤样肿瘤</w:t>
            </w: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血管周围上皮样细胞瘤</w:t>
            </w: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DVL2-TFE3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w:t>
            </w: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CIC重排肉瘤</w:t>
            </w: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CIC-FOXO4</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CIC-NUTM2B</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婴幼儿未分化圆细胞肉瘤/婴幼儿原始黏液样间叶性肿瘤</w:t>
            </w: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YWHAE(YWHAE1)-NUTM2B</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EWSR1-非ETS融合的圆细胞肉瘤</w:t>
            </w: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bl>
    <w:p>
      <w:p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参考指南：</w:t>
      </w:r>
    </w:p>
    <w:p>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中国临床肿瘤学会（CSCO）软组织肉瘤诊疗指南2021</w:t>
      </w:r>
    </w:p>
    <w:p>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中国临床肿瘤学会（CSCO）</w:t>
      </w:r>
      <w:r>
        <w:rPr>
          <w:rFonts w:ascii="Times New Roman" w:hAnsi="Times New Roman" w:eastAsia="微软雅黑" w:cs="Times New Roman"/>
          <w:sz w:val="18"/>
          <w:szCs w:val="18"/>
          <w:lang w:eastAsia="zh-CN"/>
        </w:rPr>
        <w:t>骨巨细胞瘤</w:t>
      </w:r>
      <w:r>
        <w:rPr>
          <w:rFonts w:ascii="Times New Roman" w:hAnsi="Times New Roman" w:eastAsia="微软雅黑" w:cs="Times New Roman"/>
          <w:sz w:val="18"/>
          <w:szCs w:val="18"/>
          <w:lang w:eastAsia="zh-Hans"/>
        </w:rPr>
        <w:t>诊疗指南202</w:t>
      </w:r>
      <w:r>
        <w:rPr>
          <w:rFonts w:ascii="Times New Roman" w:hAnsi="Times New Roman" w:eastAsia="微软雅黑" w:cs="Times New Roman"/>
          <w:sz w:val="18"/>
          <w:szCs w:val="18"/>
          <w:lang w:eastAsia="zh-CN"/>
        </w:rPr>
        <w:t>0</w:t>
      </w:r>
    </w:p>
    <w:p>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pPr>
        <w:numPr>
          <w:ilvl w:val="0"/>
          <w:numId w:val="11"/>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本部分内容参考：骨与软组织肿瘤二代测序中国专家共识（2021年版）</w:t>
      </w:r>
    </w:p>
    <w:tbl>
      <w:tblPr>
        <w:tblStyle w:val="14"/>
        <w:tblW w:w="9977"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3"/>
        <w:gridCol w:w="4894"/>
      </w:tblGrid>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3" w:type="dxa"/>
            <w:tcBorders>
              <w:top w:val="nil"/>
              <w:bottom w:val="nil"/>
              <w:right w:val="single" w:color="FFFFFF" w:sz="18" w:space="0"/>
            </w:tcBorders>
            <w:shd w:val="clear" w:color="auto" w:fill="62B541"/>
            <w:vAlign w:val="center"/>
          </w:tcPr>
          <w:p>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94" w:type="dxa"/>
            <w:tcBorders>
              <w:top w:val="nil"/>
              <w:left w:val="single" w:color="FFFFFF" w:sz="18" w:space="0"/>
              <w:bottom w:val="nil"/>
            </w:tcBorders>
            <w:shd w:val="clear" w:color="auto" w:fill="62B541"/>
            <w:vAlign w:val="center"/>
          </w:tcPr>
          <w:p>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op w:val="nil"/>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EWSR1-SMAD3阳性纤维母细胞性肿瘤</w:t>
            </w:r>
          </w:p>
        </w:tc>
        <w:tc>
          <w:tcPr>
            <w:tcW w:w="4894" w:type="dxa"/>
            <w:tcBorders>
              <w:top w:val="nil"/>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GAB1-ABL1阳性纤维母细胞性肿瘤</w:t>
            </w: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ALK阴性炎性肌纤维母细胞瘤</w:t>
            </w: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上皮样炎性肌纤维母细胞肉瘤</w:t>
            </w: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RRBP1(RRBP)-ALK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少数隆突性皮纤维肉瘤</w:t>
            </w: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COL6A3-PDGFD</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EMILIN2-PDGFD</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MUC4阴性硬化性上皮样纤维肉瘤</w:t>
            </w: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YAP1-KMT2A</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上皮样纤维组织细胞瘤</w:t>
            </w: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SQSTM1-ALK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上皮样血管瘤</w:t>
            </w: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MBNL1-FOS</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VIM-FOS</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lincRNA-FOS</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ZFP36-FOSB</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WWTR1-FOSB</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TFE3重排上皮样血管内皮瘤</w:t>
            </w: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假肌源性血管内皮瘤</w:t>
            </w: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SERPINE1-FOSB</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网状和复合性血管内皮瘤</w:t>
            </w: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YAP1-MAML2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伴有神经内分泌分化复合性血管内皮瘤</w:t>
            </w: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PTBP1-MAML2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先天性梭形细胞横纹肌肉瘤</w:t>
            </w: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骨上皮样和梭形细胞横纹肌肉瘤</w:t>
            </w: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EWSR1-TFCP2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FUS-TFCP2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SPECC1L-NTRK2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STRN-NTRK2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EML4(EMAL4)-NTRK3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其他双表达CD34和S-100的梭形细胞肿瘤</w:t>
            </w: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SEPTIN7(SEPT7)-BRAF</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CUX1-BRAF</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CDC42SE2-BRAF</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PDZRN3-RAF1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SLMAP-RAF1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TMF1-RAF1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MTAP-RAF1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PPP1CB-ALK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TFG-RET</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MYH10-RET</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NCOA4-RET</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VCL-RET</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CLIP2-RET</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KIAA1217-RET</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KHDRBS1-RET</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SPECC1L-RET</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CCDC6-RET</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EWSR1-非ETS融合肉瘤</w:t>
            </w: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GLI1重排/扩增恶性上皮样肿瘤</w:t>
            </w: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ACTB-GLI1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PTCH1-GLI1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胃母细胞瘤/胃丛状纤维黏液瘤</w:t>
            </w: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野生型胃肠道间质瘤</w:t>
            </w: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FGFR1-HOOK3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FGFR1-TACC1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富于细胞性肌样肿瘤</w:t>
            </w: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SRF-ICA1L</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肌上皮瘤样玻璃样变肿瘤</w:t>
            </w: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OGT-FOXO3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部分不能分类的圆细胞肉瘤</w:t>
            </w: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EWSR1-CREB1(CREB)</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肾脏原始梭形细胞肉瘤</w:t>
            </w: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bl>
    <w:p>
      <w:pPr>
        <w:rPr>
          <w:rFonts w:ascii="Times New Roman" w:hAnsi="Times New Roman" w:eastAsia="微软雅黑" w:cs="Times New Roman"/>
          <w:sz w:val="30"/>
          <w:lang w:eastAsia="zh-CN"/>
        </w:rPr>
      </w:pPr>
      <w:r>
        <w:rPr>
          <w:rFonts w:ascii="Times New Roman" w:hAnsi="Times New Roman" w:eastAsia="微软雅黑" w:cs="Times New Roman"/>
          <w:color w:val="000000"/>
          <w:sz w:val="18"/>
          <w:szCs w:val="18"/>
          <w:lang w:eastAsia="zh-Hans" w:bidi="ar"/>
        </w:rPr>
        <w:t>参考指南：骨与软组织肿瘤二代测序中国专家共识（2021年版）</w:t>
      </w:r>
    </w:p>
    <w:p>
      <w:pPr>
        <w:rPr>
          <w:rFonts w:ascii="Times New Roman" w:hAnsi="Times New Roman"/>
          <w:sz w:val="30"/>
          <w:lang w:eastAsia="zh-CN"/>
        </w:rPr>
      </w:pPr>
      <w:r>
        <w:rPr>
          <w:rFonts w:hint="eastAsia" w:ascii="Times New Roman" w:hAnsi="Times New Roman"/>
          <w:sz w:val="30"/>
          <w:lang w:eastAsia="zh-CN"/>
        </w:rPr>
        <w:br w:type="page"/>
      </w:r>
    </w:p>
    <w:p>
      <w:pPr>
        <w:pStyle w:val="27"/>
        <w:rPr>
          <w:rStyle w:val="37"/>
          <w:rFonts w:ascii="微软雅黑" w:hAnsi="微软雅黑" w:cs="微软雅黑"/>
          <w:b/>
          <w:bCs/>
          <w:color w:val="62B541"/>
          <w:sz w:val="32"/>
          <w:szCs w:val="32"/>
          <w14:shadow w14:blurRad="50800" w14:dist="38100" w14:dir="10800000" w14:sx="100000" w14:sy="100000" w14:kx="0" w14:ky="0" w14:algn="r">
            <w14:srgbClr w14:val="62B541">
              <w14:alpha w14:val="60000"/>
            </w14:srgbClr>
          </w14:shadow>
        </w:rPr>
      </w:pPr>
      <w:bookmarkStart w:id="85" w:name="_Toc18472"/>
      <w:r>
        <w:rPr>
          <w:rStyle w:val="37"/>
          <w:rFonts w:hint="eastAsia" w:ascii="微软雅黑" w:hAnsi="微软雅黑" w:cs="微软雅黑"/>
          <w:b/>
          <w:bCs/>
          <w:color w:val="62B541"/>
          <w:sz w:val="32"/>
          <w:szCs w:val="32"/>
          <w14:shadow w14:blurRad="50800" w14:dist="38100" w14:dir="10800000" w14:sx="100000" w14:sy="100000" w14:kx="0" w14:ky="0" w14:algn="r">
            <w14:srgbClr w14:val="62B541">
              <w14:alpha w14:val="60000"/>
            </w14:srgbClr>
          </w14:shadow>
        </w:rPr>
        <w:t>检测基因列表（</w:t>
      </w:r>
      <w:r>
        <w:rPr>
          <w:rStyle w:val="37"/>
          <w:rFonts w:hint="eastAsia" w:cs="Times New Roman"/>
          <w:b/>
          <w:bCs/>
          <w:color w:val="62B541"/>
          <w:sz w:val="32"/>
          <w:szCs w:val="32"/>
          <w14:shadow w14:blurRad="50800" w14:dist="38100" w14:dir="10800000" w14:sx="100000" w14:sy="100000" w14:kx="0" w14:ky="0" w14:algn="r">
            <w14:srgbClr w14:val="62B541">
              <w14:alpha w14:val="60000"/>
            </w14:srgbClr>
          </w14:shadow>
        </w:rPr>
        <w:t>596</w:t>
      </w:r>
      <w:r>
        <w:rPr>
          <w:rStyle w:val="37"/>
          <w:rFonts w:hint="eastAsia" w:ascii="微软雅黑" w:hAnsi="微软雅黑" w:cs="微软雅黑"/>
          <w:b/>
          <w:bCs/>
          <w:color w:val="62B541"/>
          <w:sz w:val="32"/>
          <w:szCs w:val="32"/>
          <w14:shadow w14:blurRad="50800" w14:dist="38100" w14:dir="10800000" w14:sx="100000" w14:sy="100000" w14:kx="0" w14:ky="0" w14:algn="r">
            <w14:srgbClr w14:val="62B541">
              <w14:alpha w14:val="60000"/>
            </w14:srgbClr>
          </w14:shadow>
        </w:rPr>
        <w:t>个基因）</w:t>
      </w:r>
      <w:bookmarkEnd w:id="85"/>
    </w:p>
    <w:tbl>
      <w:tblPr>
        <w:tblStyle w:val="14"/>
        <w:tblpPr w:leftFromText="180" w:rightFromText="180" w:vertAnchor="text" w:horzAnchor="page" w:tblpXSpec="center" w:tblpY="264"/>
        <w:tblOverlap w:val="never"/>
        <w:tblW w:w="9931"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1212"/>
        <w:gridCol w:w="1202"/>
        <w:gridCol w:w="1257"/>
        <w:gridCol w:w="1225"/>
        <w:gridCol w:w="1323"/>
        <w:gridCol w:w="1236"/>
        <w:gridCol w:w="1202"/>
        <w:gridCol w:w="1274"/>
      </w:tblGrid>
      <w:tr>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l2br w:val="nil"/>
              <w:tr2bl w:val="nil"/>
            </w:tcBorders>
            <w:shd w:val="clear" w:color="auto" w:fill="auto"/>
            <w:noWrap/>
            <w:vAlign w:val="center"/>
          </w:tcPr>
          <w:p>
            <w:pPr>
              <w:widowControl/>
              <w:jc w:val="center"/>
              <w:textAlignment w:val="bottom"/>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genes(8,18,True) %}</w:t>
            </w:r>
          </w:p>
        </w:tc>
      </w:tr>
      <w:tr>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1212" w:type="dxa"/>
            <w:tcBorders>
              <w:tl2br w:val="nil"/>
              <w:tr2bl w:val="nil"/>
            </w:tcBorders>
            <w:shd w:val="clear" w:color="auto" w:fill="auto"/>
            <w:noWrap/>
            <w:vAlign w:val="center"/>
          </w:tcPr>
          <w:p>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Gene[0] }}</w:t>
            </w:r>
          </w:p>
        </w:tc>
        <w:tc>
          <w:tcPr>
            <w:tcW w:w="1202" w:type="dxa"/>
            <w:tcBorders>
              <w:tl2br w:val="nil"/>
              <w:tr2bl w:val="nil"/>
            </w:tcBorders>
            <w:shd w:val="clear" w:color="auto" w:fill="auto"/>
            <w:noWrap/>
            <w:vAlign w:val="center"/>
          </w:tcPr>
          <w:p>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Gene[1] }}</w:t>
            </w:r>
          </w:p>
        </w:tc>
        <w:tc>
          <w:tcPr>
            <w:tcW w:w="1257" w:type="dxa"/>
            <w:tcBorders>
              <w:tl2br w:val="nil"/>
              <w:tr2bl w:val="nil"/>
            </w:tcBorders>
            <w:shd w:val="clear" w:color="auto" w:fill="auto"/>
            <w:noWrap/>
            <w:vAlign w:val="center"/>
          </w:tcPr>
          <w:p>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Gene[2] }}</w:t>
            </w:r>
          </w:p>
        </w:tc>
        <w:tc>
          <w:tcPr>
            <w:tcW w:w="1225" w:type="dxa"/>
            <w:tcBorders>
              <w:tl2br w:val="nil"/>
              <w:tr2bl w:val="nil"/>
            </w:tcBorders>
            <w:shd w:val="clear" w:color="auto" w:fill="auto"/>
            <w:noWrap/>
            <w:vAlign w:val="center"/>
          </w:tcPr>
          <w:p>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Gene[3] }}</w:t>
            </w:r>
          </w:p>
        </w:tc>
        <w:tc>
          <w:tcPr>
            <w:tcW w:w="1323" w:type="dxa"/>
            <w:tcBorders>
              <w:tl2br w:val="nil"/>
              <w:tr2bl w:val="nil"/>
            </w:tcBorders>
            <w:shd w:val="clear" w:color="auto" w:fill="auto"/>
            <w:noWrap/>
            <w:vAlign w:val="center"/>
          </w:tcPr>
          <w:p>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Gene[4] }}</w:t>
            </w:r>
          </w:p>
        </w:tc>
        <w:tc>
          <w:tcPr>
            <w:tcW w:w="1236" w:type="dxa"/>
            <w:tcBorders>
              <w:tl2br w:val="nil"/>
              <w:tr2bl w:val="nil"/>
            </w:tcBorders>
            <w:shd w:val="clear" w:color="auto" w:fill="auto"/>
            <w:noWrap/>
            <w:vAlign w:val="center"/>
          </w:tcPr>
          <w:p>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Gene[5] }}</w:t>
            </w:r>
          </w:p>
        </w:tc>
        <w:tc>
          <w:tcPr>
            <w:tcW w:w="1202" w:type="dxa"/>
            <w:tcBorders>
              <w:tl2br w:val="nil"/>
              <w:tr2bl w:val="nil"/>
            </w:tcBorders>
            <w:shd w:val="clear" w:color="auto" w:fill="auto"/>
            <w:noWrap/>
            <w:vAlign w:val="center"/>
          </w:tcPr>
          <w:p>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Gene[6] }}</w:t>
            </w:r>
          </w:p>
        </w:tc>
        <w:tc>
          <w:tcPr>
            <w:tcW w:w="0" w:type="auto"/>
            <w:tcBorders>
              <w:tl2br w:val="nil"/>
              <w:tr2bl w:val="nil"/>
            </w:tcBorders>
            <w:shd w:val="clear" w:color="auto" w:fill="auto"/>
            <w:noWrap/>
            <w:vAlign w:val="center"/>
          </w:tcPr>
          <w:p>
            <w:pPr>
              <w:widowControl/>
              <w:jc w:val="center"/>
              <w:textAlignment w:val="bottom"/>
              <w:rPr>
                <w:rFonts w:ascii="Times New Roman" w:hAnsi="Times New Roman" w:cs="Times New Roman"/>
                <w:i/>
                <w:iCs/>
                <w:color w:val="000000"/>
                <w:sz w:val="18"/>
                <w:szCs w:val="18"/>
              </w:rPr>
            </w:pPr>
            <w:r>
              <w:rPr>
                <w:rFonts w:hint="eastAsia" w:ascii="Times New Roman" w:hAnsi="Times New Roman" w:cs="Times New Roman"/>
                <w:i/>
                <w:iCs/>
                <w:color w:val="000000"/>
                <w:sz w:val="18"/>
                <w:szCs w:val="18"/>
                <w:lang w:eastAsia="zh-CN" w:bidi="ar"/>
              </w:rPr>
              <w:t>{{r Gene[7] }}</w:t>
            </w:r>
          </w:p>
        </w:tc>
      </w:tr>
      <w:tr>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l2br w:val="nil"/>
              <w:tr2bl w:val="nil"/>
            </w:tcBorders>
            <w:shd w:val="clear" w:color="auto" w:fill="auto"/>
            <w:noWrap/>
            <w:vAlign w:val="center"/>
          </w:tcPr>
          <w:p>
            <w:pPr>
              <w:jc w:val="center"/>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{%tr endfor%}</w:t>
            </w:r>
          </w:p>
        </w:tc>
      </w:tr>
    </w:tbl>
    <w:p>
      <w:pPr>
        <w:rPr>
          <w:rFonts w:ascii="Times New Roman" w:hAnsi="Times New Roman"/>
          <w:sz w:val="30"/>
          <w:lang w:eastAsia="zh-CN"/>
        </w:rPr>
      </w:pPr>
    </w:p>
    <w:p>
      <w:pPr>
        <w:rPr>
          <w:rFonts w:ascii="Times New Roman" w:hAnsi="Times New Roman"/>
          <w:sz w:val="30"/>
          <w:lang w:eastAsia="zh-CN"/>
        </w:rPr>
      </w:pPr>
      <w:r>
        <w:rPr>
          <w:rFonts w:hint="eastAsia" w:ascii="Times New Roman" w:hAnsi="Times New Roman"/>
          <w:sz w:val="30"/>
          <w:lang w:eastAsia="zh-CN"/>
        </w:rPr>
        <w:br w:type="page"/>
      </w:r>
    </w:p>
    <w:p>
      <w:pPr>
        <w:pStyle w:val="3"/>
        <w:numPr>
          <w:ilvl w:val="255"/>
          <w:numId w:val="0"/>
        </w:numPr>
        <w:jc w:val="left"/>
        <w:rPr>
          <w:color w:val="auto"/>
          <w:sz w:val="30"/>
          <w:lang w:eastAsia="zh-CN"/>
        </w:rPr>
      </w:pPr>
      <w:bookmarkStart w:id="86" w:name="_Toc3409"/>
      <w:bookmarkStart w:id="87" w:name="_Toc15227"/>
      <w:bookmarkStart w:id="88" w:name="_Toc15114"/>
      <w:r>
        <w:rPr>
          <w:rFonts w:hint="eastAsia"/>
          <w:color w:val="auto"/>
          <w:sz w:val="30"/>
          <w:lang w:eastAsia="zh-CN"/>
        </w:rPr>
        <w:t>检测方法与局限性</w:t>
      </w:r>
      <w:bookmarkEnd w:id="86"/>
      <w:bookmarkEnd w:id="87"/>
      <w:bookmarkEnd w:id="88"/>
    </w:p>
    <w:p>
      <w:pPr>
        <w:rPr>
          <w:highlight w:val="yellow"/>
          <w:lang w:eastAsia="zh-CN"/>
        </w:rPr>
      </w:pPr>
    </w:p>
    <w:p>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pPr>
        <w:rPr>
          <w:rFonts w:ascii="Times New Roman" w:hAnsi="Times New Roman" w:eastAsia="微软雅黑" w:cs="Times New Roman"/>
          <w:bCs/>
          <w:sz w:val="21"/>
          <w:szCs w:val="21"/>
          <w:lang w:eastAsia="zh-CN"/>
        </w:rPr>
      </w:pPr>
    </w:p>
    <w:p>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78"/>
    <w:bookmarkEnd w:id="79"/>
    <w:bookmarkEnd w:id="80"/>
    <w:bookmarkEnd w:id="81"/>
    <w:bookmarkEnd w:id="82"/>
    <w:bookmarkEnd w:id="83"/>
    <w:bookmarkEnd w:id="84"/>
    <w:p>
      <w:pPr>
        <w:pStyle w:val="3"/>
        <w:numPr>
          <w:ilvl w:val="255"/>
          <w:numId w:val="0"/>
        </w:numPr>
        <w:jc w:val="left"/>
        <w:rPr>
          <w:color w:val="auto"/>
          <w:sz w:val="30"/>
          <w:lang w:eastAsia="zh-CN"/>
        </w:rPr>
      </w:pPr>
      <w:bookmarkStart w:id="89" w:name="_Toc9662"/>
      <w:bookmarkStart w:id="90" w:name="_Toc7938"/>
      <w:bookmarkStart w:id="91" w:name="_Toc21361"/>
      <w:bookmarkStart w:id="92" w:name="_Toc16927"/>
      <w:bookmarkStart w:id="93" w:name="_Toc107825571"/>
      <w:bookmarkStart w:id="94" w:name="_Toc22162_WPSOffice_Level1"/>
      <w:bookmarkStart w:id="95" w:name="_Toc14611_WPSOffice_Level1"/>
      <w:bookmarkStart w:id="96" w:name="_Toc19584_WPSOffice_Level1"/>
      <w:bookmarkStart w:id="97" w:name="_Toc13275"/>
      <w:bookmarkStart w:id="98" w:name="_Toc22623"/>
      <w:bookmarkStart w:id="99" w:name="_Toc17792_WPSOffice_Level2"/>
      <w:r>
        <w:rPr>
          <w:rFonts w:hint="eastAsia"/>
          <w:color w:val="auto"/>
          <w:sz w:val="30"/>
          <w:lang w:eastAsia="zh-CN"/>
        </w:rPr>
        <w:t>参考文献</w:t>
      </w:r>
      <w:bookmarkEnd w:id="89"/>
      <w:bookmarkEnd w:id="90"/>
      <w:bookmarkEnd w:id="91"/>
      <w:bookmarkEnd w:id="92"/>
      <w:bookmarkEnd w:id="93"/>
    </w:p>
    <w:bookmarkEnd w:id="94"/>
    <w:bookmarkEnd w:id="95"/>
    <w:bookmarkEnd w:id="96"/>
    <w:bookmarkEnd w:id="97"/>
    <w:bookmarkEnd w:id="98"/>
    <w:bookmarkEnd w:id="99"/>
    <w:p>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Riggi N, Cironi L, Provero P, et al. Development of Ewing's sarcoma from primary bone marrow-derived mesenchymal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progenitor cells. Cancer Res. 2005;65(24):11459-11468.[PMID:16357154]</w:t>
      </w:r>
    </w:p>
    <w:p>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Jeon IS, Davis JN, Braun BS, et al. A variant Ewing's sarcoma translocation (7;22) fuses the EWS gene to the ETS gene</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ETV1. Oncogene. 1995;10(6):1229-1234.[PMID:7700648]</w:t>
      </w:r>
    </w:p>
    <w:p>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Riggi N, Knoechel B, Gillespie SM, et al. EWS-FLI1 utilizes divergent chromatin remodeling mechanisms to directly</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activate or repress enhancer elements in Ewing sarcoma. Cancer Cell. 2014;26(5):668-681.[PMID:25453903]</w:t>
      </w:r>
    </w:p>
    <w:p>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Soft tissue and bone tumours / edited by WHO Classification of Tumours Editorial Board.（2020）.</w:t>
      </w:r>
    </w:p>
    <w:p>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Hans"/>
        </w:rPr>
        <w:t>NCCN Guidelines Version 2.2021 Soft Tissue Sarcoma.</w:t>
      </w:r>
    </w:p>
    <w:p>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Hans"/>
        </w:rPr>
        <w:t>中国临床肿瘤学会（CSCO）软组织肉瘤诊疗指南2021.</w:t>
      </w:r>
    </w:p>
    <w:p>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《骨与软组织肿瘤二代测序中国专家共识（2021 年版）》,中国抗癌协会肉瘤专业委员会.中国肿瘤临床2021年第48卷第20期.</w:t>
      </w:r>
    </w:p>
    <w:p>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pPr>
        <w:pStyle w:val="13"/>
        <w:widowControl/>
        <w:rPr>
          <w:rFonts w:ascii="Times New Roman" w:hAnsi="Times New Roman" w:eastAsia="等线"/>
          <w:sz w:val="22"/>
          <w:lang w:eastAsia="zh-CN"/>
        </w:rPr>
      </w:pPr>
    </w:p>
    <w:sectPr>
      <w:headerReference r:id="rId7" w:type="default"/>
      <w:footerReference r:id="rId8" w:type="default"/>
      <w:pgSz w:w="11911" w:h="16838"/>
      <w:pgMar w:top="1037" w:right="1020" w:bottom="981" w:left="1020" w:header="0" w:footer="720"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bookmarkStart w:id="100" w:name="_GoBack"/>
    <w:bookmarkEnd w:id="100"/>
    <w:r>
      <mc:AlternateContent>
        <mc:Choice Requires="wps">
          <w:drawing>
            <wp:anchor distT="0" distB="0" distL="114300" distR="114300" simplePos="0" relativeHeight="251659264" behindDoc="0" locked="0" layoutInCell="1" allowOverlap="1">
              <wp:simplePos x="0" y="0"/>
              <wp:positionH relativeFrom="page">
                <wp:align>center</wp:align>
              </wp:positionH>
              <wp:positionV relativeFrom="paragraph">
                <wp:posOffset>0</wp:posOffset>
              </wp:positionV>
              <wp:extent cx="754380" cy="19558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754380" cy="1955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9"/>
                            <w:jc w:val="center"/>
                            <w:rPr>
                              <w:rFonts w:ascii="Times New Roman" w:hAnsi="Times New Roman" w:eastAsia="微软雅黑" w:cs="Times New Roman"/>
                              <w:b/>
                              <w:bCs/>
                            </w:rPr>
                          </w:pP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PAGE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w:t>
                          </w:r>
                          <w:r>
                            <w:rPr>
                              <w:rFonts w:ascii="Times New Roman" w:hAnsi="Times New Roman" w:eastAsia="微软雅黑"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23</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top:0pt;height:15.4pt;width:59.4pt;mso-position-horizontal:center;mso-position-horizontal-relative:page;z-index:251659264;mso-width-relative:page;mso-height-relative:page;" filled="f" stroked="f" coordsize="21600,21600" o:gfxdata="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NgWEizSAAAAAwEAAA8AAAAAAAAAAQAgAAAAIgAAAGRycy9kb3ducmV2LnhtbFBLAQIU&#10;ABQAAAAIAIdO4kAiUZymMgIAAFcEAAAOAAAAAAAAAAEAIAAAACEBAABkcnMvZTJvRG9jLnhtbFBL&#10;BQYAAAAABgAGAFkBAADFBQAAAAA=&#10;">
              <v:fill on="f" focussize="0,0"/>
              <v:stroke on="f" weight="0.5pt"/>
              <v:imagedata o:title=""/>
              <o:lock v:ext="edit" aspectratio="f"/>
              <v:textbox inset="0mm,0mm,0mm,0mm">
                <w:txbxContent>
                  <w:p>
                    <w:pPr>
                      <w:pStyle w:val="9"/>
                      <w:jc w:val="center"/>
                      <w:rPr>
                        <w:rFonts w:ascii="Times New Roman" w:hAnsi="Times New Roman" w:eastAsia="微软雅黑" w:cs="Times New Roman"/>
                        <w:b/>
                        <w:bCs/>
                      </w:rPr>
                    </w:pP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PAGE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w:t>
                    </w:r>
                    <w:r>
                      <w:rPr>
                        <w:rFonts w:ascii="Times New Roman" w:hAnsi="Times New Roman" w:eastAsia="微软雅黑"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23</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jc w:val="right"/>
      <w:rPr>
        <w:lang w:eastAsia="zh-CN"/>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2">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267C012"/>
    <w:multiLevelType w:val="singleLevel"/>
    <w:tmpl w:val="3267C012"/>
    <w:lvl w:ilvl="0" w:tentative="0">
      <w:start w:val="1"/>
      <w:numFmt w:val="decimal"/>
      <w:lvlText w:val="%1."/>
      <w:lvlJc w:val="left"/>
      <w:pPr>
        <w:tabs>
          <w:tab w:val="left" w:pos="312"/>
        </w:tabs>
      </w:pPr>
    </w:lvl>
  </w:abstractNum>
  <w:abstractNum w:abstractNumId="6">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4727A939"/>
    <w:multiLevelType w:val="singleLevel"/>
    <w:tmpl w:val="4727A939"/>
    <w:lvl w:ilvl="0" w:tentative="0">
      <w:start w:val="1"/>
      <w:numFmt w:val="decimal"/>
      <w:lvlText w:val="%1."/>
      <w:lvlJc w:val="left"/>
      <w:pPr>
        <w:tabs>
          <w:tab w:val="left" w:pos="312"/>
        </w:tabs>
      </w:p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8"/>
  </w:num>
  <w:num w:numId="2">
    <w:abstractNumId w:val="10"/>
  </w:num>
  <w:num w:numId="3">
    <w:abstractNumId w:val="9"/>
  </w:num>
  <w:num w:numId="4">
    <w:abstractNumId w:val="4"/>
  </w:num>
  <w:num w:numId="5">
    <w:abstractNumId w:val="6"/>
  </w:num>
  <w:num w:numId="6">
    <w:abstractNumId w:val="2"/>
  </w:num>
  <w:num w:numId="7">
    <w:abstractNumId w:val="3"/>
  </w:num>
  <w:num w:numId="8">
    <w:abstractNumId w:val="0"/>
  </w:num>
  <w:num w:numId="9">
    <w:abstractNumId w:val="7"/>
  </w:num>
  <w:num w:numId="10">
    <w:abstractNumId w:val="5"/>
  </w:num>
  <w:num w:numId="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hideSpellingErrors/>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A7060"/>
    <w:rsid w:val="000B5B79"/>
    <w:rsid w:val="000B6DCF"/>
    <w:rsid w:val="00107E39"/>
    <w:rsid w:val="00154460"/>
    <w:rsid w:val="00172A27"/>
    <w:rsid w:val="00184059"/>
    <w:rsid w:val="00192B96"/>
    <w:rsid w:val="00193CF3"/>
    <w:rsid w:val="00195F33"/>
    <w:rsid w:val="001C358C"/>
    <w:rsid w:val="001F265E"/>
    <w:rsid w:val="001F4429"/>
    <w:rsid w:val="001F5C37"/>
    <w:rsid w:val="002079E9"/>
    <w:rsid w:val="002558A2"/>
    <w:rsid w:val="002570D8"/>
    <w:rsid w:val="00276CD5"/>
    <w:rsid w:val="00286D54"/>
    <w:rsid w:val="00287F02"/>
    <w:rsid w:val="00294AB0"/>
    <w:rsid w:val="002A74F6"/>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0361B"/>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1A030A"/>
    <w:rsid w:val="011A0D8B"/>
    <w:rsid w:val="015B68E3"/>
    <w:rsid w:val="0171268E"/>
    <w:rsid w:val="01A0337A"/>
    <w:rsid w:val="02235929"/>
    <w:rsid w:val="02B44A06"/>
    <w:rsid w:val="02CA5230"/>
    <w:rsid w:val="030338CF"/>
    <w:rsid w:val="031B6FF1"/>
    <w:rsid w:val="0345216A"/>
    <w:rsid w:val="038726D8"/>
    <w:rsid w:val="03E921F1"/>
    <w:rsid w:val="04791D69"/>
    <w:rsid w:val="04871837"/>
    <w:rsid w:val="04A167FA"/>
    <w:rsid w:val="04C17114"/>
    <w:rsid w:val="051F43D2"/>
    <w:rsid w:val="05815BFE"/>
    <w:rsid w:val="05887898"/>
    <w:rsid w:val="05980479"/>
    <w:rsid w:val="05D63B33"/>
    <w:rsid w:val="066833E1"/>
    <w:rsid w:val="06A61E8D"/>
    <w:rsid w:val="06E36A2C"/>
    <w:rsid w:val="06EB7F4D"/>
    <w:rsid w:val="074043CC"/>
    <w:rsid w:val="07AB34E7"/>
    <w:rsid w:val="07D36A00"/>
    <w:rsid w:val="07DB59EB"/>
    <w:rsid w:val="083F50A2"/>
    <w:rsid w:val="08521695"/>
    <w:rsid w:val="088D7FF0"/>
    <w:rsid w:val="08BD53C7"/>
    <w:rsid w:val="08C413EB"/>
    <w:rsid w:val="09705B33"/>
    <w:rsid w:val="09A9662A"/>
    <w:rsid w:val="09AC1BC1"/>
    <w:rsid w:val="09BC6232"/>
    <w:rsid w:val="0A043ABA"/>
    <w:rsid w:val="0A4F2135"/>
    <w:rsid w:val="0A757891"/>
    <w:rsid w:val="0ADA7F11"/>
    <w:rsid w:val="0AEC09F3"/>
    <w:rsid w:val="0AF224C0"/>
    <w:rsid w:val="0B3C2E84"/>
    <w:rsid w:val="0B7E7D58"/>
    <w:rsid w:val="0B9E14CB"/>
    <w:rsid w:val="0B9E4213"/>
    <w:rsid w:val="0BD32ECA"/>
    <w:rsid w:val="0BE77026"/>
    <w:rsid w:val="0C1768CC"/>
    <w:rsid w:val="0C2310C3"/>
    <w:rsid w:val="0C3A0C95"/>
    <w:rsid w:val="0C3E5385"/>
    <w:rsid w:val="0C96240B"/>
    <w:rsid w:val="0CC26BD0"/>
    <w:rsid w:val="0CFC3F9F"/>
    <w:rsid w:val="0D055CE8"/>
    <w:rsid w:val="0D9819F1"/>
    <w:rsid w:val="0DE0692F"/>
    <w:rsid w:val="0E11445D"/>
    <w:rsid w:val="0E542351"/>
    <w:rsid w:val="0E632099"/>
    <w:rsid w:val="0EBF2A43"/>
    <w:rsid w:val="0EC91129"/>
    <w:rsid w:val="0ED843CC"/>
    <w:rsid w:val="0EDA08E0"/>
    <w:rsid w:val="0F890797"/>
    <w:rsid w:val="0FB9297A"/>
    <w:rsid w:val="0FCC6C3F"/>
    <w:rsid w:val="0FD33020"/>
    <w:rsid w:val="0FE820CC"/>
    <w:rsid w:val="0FEF6595"/>
    <w:rsid w:val="103534AE"/>
    <w:rsid w:val="10393EFC"/>
    <w:rsid w:val="10A519AE"/>
    <w:rsid w:val="110D3F98"/>
    <w:rsid w:val="114E32AC"/>
    <w:rsid w:val="117B0EEB"/>
    <w:rsid w:val="11A5284D"/>
    <w:rsid w:val="1212349F"/>
    <w:rsid w:val="126971EB"/>
    <w:rsid w:val="12850E64"/>
    <w:rsid w:val="12963DA1"/>
    <w:rsid w:val="12984F1A"/>
    <w:rsid w:val="12AC6FD4"/>
    <w:rsid w:val="12E61DB3"/>
    <w:rsid w:val="12F372F0"/>
    <w:rsid w:val="132612E4"/>
    <w:rsid w:val="135250D0"/>
    <w:rsid w:val="13897526"/>
    <w:rsid w:val="13AB527B"/>
    <w:rsid w:val="13EC27A3"/>
    <w:rsid w:val="14520ED9"/>
    <w:rsid w:val="14872247"/>
    <w:rsid w:val="148972D9"/>
    <w:rsid w:val="149B7751"/>
    <w:rsid w:val="14A4287F"/>
    <w:rsid w:val="14C82A00"/>
    <w:rsid w:val="14E50274"/>
    <w:rsid w:val="150E31A1"/>
    <w:rsid w:val="15196B67"/>
    <w:rsid w:val="15237799"/>
    <w:rsid w:val="1524470F"/>
    <w:rsid w:val="152E3223"/>
    <w:rsid w:val="153F7D0D"/>
    <w:rsid w:val="155B77B8"/>
    <w:rsid w:val="156F1ACB"/>
    <w:rsid w:val="15D73C77"/>
    <w:rsid w:val="165063E4"/>
    <w:rsid w:val="16A76961"/>
    <w:rsid w:val="16BD5BE8"/>
    <w:rsid w:val="16D03ECB"/>
    <w:rsid w:val="16E67B0D"/>
    <w:rsid w:val="17547636"/>
    <w:rsid w:val="179E5A16"/>
    <w:rsid w:val="17A631D1"/>
    <w:rsid w:val="17EC02EE"/>
    <w:rsid w:val="17EF172D"/>
    <w:rsid w:val="18043F40"/>
    <w:rsid w:val="184F5A03"/>
    <w:rsid w:val="18553367"/>
    <w:rsid w:val="188B1EE6"/>
    <w:rsid w:val="188E10A8"/>
    <w:rsid w:val="190E72BC"/>
    <w:rsid w:val="19437087"/>
    <w:rsid w:val="198744F7"/>
    <w:rsid w:val="198E1BE8"/>
    <w:rsid w:val="199369D8"/>
    <w:rsid w:val="1A03103B"/>
    <w:rsid w:val="1A071D61"/>
    <w:rsid w:val="1A7144F7"/>
    <w:rsid w:val="1AC27555"/>
    <w:rsid w:val="1AE855F9"/>
    <w:rsid w:val="1AFB664C"/>
    <w:rsid w:val="1B1C0795"/>
    <w:rsid w:val="1B28649B"/>
    <w:rsid w:val="1BA36B7F"/>
    <w:rsid w:val="1BAD3E87"/>
    <w:rsid w:val="1C7A05D0"/>
    <w:rsid w:val="1C896BF7"/>
    <w:rsid w:val="1C8A6328"/>
    <w:rsid w:val="1C98707F"/>
    <w:rsid w:val="1CA438BF"/>
    <w:rsid w:val="1CCD19AC"/>
    <w:rsid w:val="1CFB3D7D"/>
    <w:rsid w:val="1D0B7646"/>
    <w:rsid w:val="1D103BE7"/>
    <w:rsid w:val="1D76528B"/>
    <w:rsid w:val="1DB12F23"/>
    <w:rsid w:val="1E4E1501"/>
    <w:rsid w:val="1EAB0C6A"/>
    <w:rsid w:val="1EAF2912"/>
    <w:rsid w:val="1EB41ABE"/>
    <w:rsid w:val="1EEB2832"/>
    <w:rsid w:val="1EF75EC5"/>
    <w:rsid w:val="1F0761CC"/>
    <w:rsid w:val="1F2B7CAE"/>
    <w:rsid w:val="1FEC44A1"/>
    <w:rsid w:val="20160A2B"/>
    <w:rsid w:val="20205A20"/>
    <w:rsid w:val="20635A0A"/>
    <w:rsid w:val="20740297"/>
    <w:rsid w:val="20855B55"/>
    <w:rsid w:val="208C320E"/>
    <w:rsid w:val="209432E5"/>
    <w:rsid w:val="20C205EB"/>
    <w:rsid w:val="20E701EC"/>
    <w:rsid w:val="213D29A6"/>
    <w:rsid w:val="216F18A9"/>
    <w:rsid w:val="21D55A39"/>
    <w:rsid w:val="22180203"/>
    <w:rsid w:val="22F90B63"/>
    <w:rsid w:val="2322058C"/>
    <w:rsid w:val="235C2C2A"/>
    <w:rsid w:val="23DC4798"/>
    <w:rsid w:val="23FF1819"/>
    <w:rsid w:val="240A1E65"/>
    <w:rsid w:val="24D35DD8"/>
    <w:rsid w:val="25037400"/>
    <w:rsid w:val="253036C5"/>
    <w:rsid w:val="256C4478"/>
    <w:rsid w:val="25726076"/>
    <w:rsid w:val="258869DA"/>
    <w:rsid w:val="25FD2582"/>
    <w:rsid w:val="260C7C1F"/>
    <w:rsid w:val="26137398"/>
    <w:rsid w:val="268C673B"/>
    <w:rsid w:val="26976104"/>
    <w:rsid w:val="271A3FF4"/>
    <w:rsid w:val="271C165B"/>
    <w:rsid w:val="27870460"/>
    <w:rsid w:val="27E3036D"/>
    <w:rsid w:val="27FA3B61"/>
    <w:rsid w:val="280B1FC0"/>
    <w:rsid w:val="28135739"/>
    <w:rsid w:val="281C757A"/>
    <w:rsid w:val="284978CD"/>
    <w:rsid w:val="286F2FA1"/>
    <w:rsid w:val="2891291A"/>
    <w:rsid w:val="28B74238"/>
    <w:rsid w:val="28B83CA7"/>
    <w:rsid w:val="28BA2819"/>
    <w:rsid w:val="28CF73DA"/>
    <w:rsid w:val="28E502F9"/>
    <w:rsid w:val="29363F06"/>
    <w:rsid w:val="296F5B95"/>
    <w:rsid w:val="29DE0525"/>
    <w:rsid w:val="29EF70C8"/>
    <w:rsid w:val="2A221D03"/>
    <w:rsid w:val="2A3716AB"/>
    <w:rsid w:val="2A7C3C18"/>
    <w:rsid w:val="2A8D72E7"/>
    <w:rsid w:val="2ABF25BE"/>
    <w:rsid w:val="2ADE2A02"/>
    <w:rsid w:val="2B243DEB"/>
    <w:rsid w:val="2B302D87"/>
    <w:rsid w:val="2B3911CE"/>
    <w:rsid w:val="2B485DBB"/>
    <w:rsid w:val="2B692B05"/>
    <w:rsid w:val="2B8C0A94"/>
    <w:rsid w:val="2BDE1876"/>
    <w:rsid w:val="2BF64087"/>
    <w:rsid w:val="2C165FD1"/>
    <w:rsid w:val="2C427C83"/>
    <w:rsid w:val="2D0D0130"/>
    <w:rsid w:val="2D2A3BDD"/>
    <w:rsid w:val="2D532F56"/>
    <w:rsid w:val="2D6F4BEE"/>
    <w:rsid w:val="2DAD2E9F"/>
    <w:rsid w:val="2DB046D4"/>
    <w:rsid w:val="2E0C0EE9"/>
    <w:rsid w:val="2E3D6CA4"/>
    <w:rsid w:val="2E50390C"/>
    <w:rsid w:val="2E7C271A"/>
    <w:rsid w:val="2E7C3545"/>
    <w:rsid w:val="2EA73960"/>
    <w:rsid w:val="2EB35A8A"/>
    <w:rsid w:val="2ECC0B8E"/>
    <w:rsid w:val="2ED4504C"/>
    <w:rsid w:val="2F28730D"/>
    <w:rsid w:val="2F7554CE"/>
    <w:rsid w:val="304862D7"/>
    <w:rsid w:val="30C51137"/>
    <w:rsid w:val="30CB109B"/>
    <w:rsid w:val="30DA24F1"/>
    <w:rsid w:val="30E81B43"/>
    <w:rsid w:val="30F65B02"/>
    <w:rsid w:val="310959FE"/>
    <w:rsid w:val="3109732A"/>
    <w:rsid w:val="312E53DA"/>
    <w:rsid w:val="314C232E"/>
    <w:rsid w:val="315E5833"/>
    <w:rsid w:val="31840F63"/>
    <w:rsid w:val="319764DC"/>
    <w:rsid w:val="32080EDC"/>
    <w:rsid w:val="32AB7EAB"/>
    <w:rsid w:val="32B71D27"/>
    <w:rsid w:val="32DE07F1"/>
    <w:rsid w:val="32F7059A"/>
    <w:rsid w:val="331534C4"/>
    <w:rsid w:val="33187C85"/>
    <w:rsid w:val="331D3C4A"/>
    <w:rsid w:val="33323300"/>
    <w:rsid w:val="338527AA"/>
    <w:rsid w:val="339415E0"/>
    <w:rsid w:val="33AD7188"/>
    <w:rsid w:val="33AE0711"/>
    <w:rsid w:val="343B507D"/>
    <w:rsid w:val="343F3919"/>
    <w:rsid w:val="34476E90"/>
    <w:rsid w:val="34777EA9"/>
    <w:rsid w:val="348573AD"/>
    <w:rsid w:val="34AC4555"/>
    <w:rsid w:val="34F36D08"/>
    <w:rsid w:val="3519707B"/>
    <w:rsid w:val="35485482"/>
    <w:rsid w:val="357E5409"/>
    <w:rsid w:val="35945D5F"/>
    <w:rsid w:val="35B3556B"/>
    <w:rsid w:val="35F5325E"/>
    <w:rsid w:val="360630CA"/>
    <w:rsid w:val="360A76FC"/>
    <w:rsid w:val="361231BE"/>
    <w:rsid w:val="366A08A1"/>
    <w:rsid w:val="36EF163D"/>
    <w:rsid w:val="36F03C7E"/>
    <w:rsid w:val="371E73E3"/>
    <w:rsid w:val="37334B21"/>
    <w:rsid w:val="37E81DE8"/>
    <w:rsid w:val="3848012E"/>
    <w:rsid w:val="38A11AEB"/>
    <w:rsid w:val="38F86950"/>
    <w:rsid w:val="390163DD"/>
    <w:rsid w:val="39117F66"/>
    <w:rsid w:val="39525C52"/>
    <w:rsid w:val="3956425B"/>
    <w:rsid w:val="396D50DB"/>
    <w:rsid w:val="39A64D30"/>
    <w:rsid w:val="39BB523D"/>
    <w:rsid w:val="39C6291A"/>
    <w:rsid w:val="3A0C3554"/>
    <w:rsid w:val="3A202424"/>
    <w:rsid w:val="3A804354"/>
    <w:rsid w:val="3ACE068F"/>
    <w:rsid w:val="3AD22BFA"/>
    <w:rsid w:val="3ADA55AC"/>
    <w:rsid w:val="3AF12A22"/>
    <w:rsid w:val="3AF460F5"/>
    <w:rsid w:val="3B721C7C"/>
    <w:rsid w:val="3BEA5380"/>
    <w:rsid w:val="3C365B20"/>
    <w:rsid w:val="3C3F24CA"/>
    <w:rsid w:val="3C5D7D9D"/>
    <w:rsid w:val="3CA93488"/>
    <w:rsid w:val="3D1C54C3"/>
    <w:rsid w:val="3D23046C"/>
    <w:rsid w:val="3D6C60E9"/>
    <w:rsid w:val="3D855C98"/>
    <w:rsid w:val="3DAE03CA"/>
    <w:rsid w:val="3DC72F9A"/>
    <w:rsid w:val="3EA86ADD"/>
    <w:rsid w:val="3EB6778E"/>
    <w:rsid w:val="3EC949BD"/>
    <w:rsid w:val="3EEC20B5"/>
    <w:rsid w:val="3F1D1FAD"/>
    <w:rsid w:val="3F453F96"/>
    <w:rsid w:val="3F547FD3"/>
    <w:rsid w:val="3F5A2EDA"/>
    <w:rsid w:val="3F7F04C5"/>
    <w:rsid w:val="3FCB42E0"/>
    <w:rsid w:val="3FCD0245"/>
    <w:rsid w:val="3FD07928"/>
    <w:rsid w:val="3FF2193A"/>
    <w:rsid w:val="405979F4"/>
    <w:rsid w:val="405E0973"/>
    <w:rsid w:val="40667949"/>
    <w:rsid w:val="407A48B6"/>
    <w:rsid w:val="408706D4"/>
    <w:rsid w:val="40895D14"/>
    <w:rsid w:val="40BA2B58"/>
    <w:rsid w:val="40F91152"/>
    <w:rsid w:val="4123696B"/>
    <w:rsid w:val="414D51AD"/>
    <w:rsid w:val="41544514"/>
    <w:rsid w:val="41C73588"/>
    <w:rsid w:val="41EC43CC"/>
    <w:rsid w:val="41FA16D6"/>
    <w:rsid w:val="41FB3136"/>
    <w:rsid w:val="41FF695D"/>
    <w:rsid w:val="42350DEA"/>
    <w:rsid w:val="42431596"/>
    <w:rsid w:val="42657ECE"/>
    <w:rsid w:val="42967F6B"/>
    <w:rsid w:val="42D665BD"/>
    <w:rsid w:val="43821027"/>
    <w:rsid w:val="43F80311"/>
    <w:rsid w:val="44165A49"/>
    <w:rsid w:val="44190360"/>
    <w:rsid w:val="44395BA8"/>
    <w:rsid w:val="444E437B"/>
    <w:rsid w:val="447F6FC8"/>
    <w:rsid w:val="4489635E"/>
    <w:rsid w:val="449874DC"/>
    <w:rsid w:val="44E01002"/>
    <w:rsid w:val="452112A4"/>
    <w:rsid w:val="454A2BAB"/>
    <w:rsid w:val="459308E1"/>
    <w:rsid w:val="45A93012"/>
    <w:rsid w:val="45D4644E"/>
    <w:rsid w:val="45DB483E"/>
    <w:rsid w:val="46647CCF"/>
    <w:rsid w:val="468834C8"/>
    <w:rsid w:val="46B72EB2"/>
    <w:rsid w:val="46F92781"/>
    <w:rsid w:val="47523EC7"/>
    <w:rsid w:val="47DA2811"/>
    <w:rsid w:val="481C2D4F"/>
    <w:rsid w:val="48D90393"/>
    <w:rsid w:val="48F33103"/>
    <w:rsid w:val="49692174"/>
    <w:rsid w:val="49835F6F"/>
    <w:rsid w:val="499E6F1D"/>
    <w:rsid w:val="49C56F37"/>
    <w:rsid w:val="49E2373B"/>
    <w:rsid w:val="4A1A1AFC"/>
    <w:rsid w:val="4A1A6A4D"/>
    <w:rsid w:val="4A1C7F69"/>
    <w:rsid w:val="4A3D2296"/>
    <w:rsid w:val="4A4A7BE5"/>
    <w:rsid w:val="4A693618"/>
    <w:rsid w:val="4A7E299A"/>
    <w:rsid w:val="4A83553B"/>
    <w:rsid w:val="4B315A79"/>
    <w:rsid w:val="4B64462A"/>
    <w:rsid w:val="4BC14EAA"/>
    <w:rsid w:val="4BF977CF"/>
    <w:rsid w:val="4C050246"/>
    <w:rsid w:val="4C0664BF"/>
    <w:rsid w:val="4C0F23A4"/>
    <w:rsid w:val="4C120763"/>
    <w:rsid w:val="4C150E22"/>
    <w:rsid w:val="4C4C20D1"/>
    <w:rsid w:val="4C5F20C1"/>
    <w:rsid w:val="4C6263AC"/>
    <w:rsid w:val="4CC53F3F"/>
    <w:rsid w:val="4CEB1FF1"/>
    <w:rsid w:val="4D265BFE"/>
    <w:rsid w:val="4D6A309D"/>
    <w:rsid w:val="4D9E31C3"/>
    <w:rsid w:val="4DB6655A"/>
    <w:rsid w:val="4DC108F4"/>
    <w:rsid w:val="4DCE3A17"/>
    <w:rsid w:val="4E0176F5"/>
    <w:rsid w:val="4E0C0474"/>
    <w:rsid w:val="4E2F60B4"/>
    <w:rsid w:val="4E41374F"/>
    <w:rsid w:val="4E414BB2"/>
    <w:rsid w:val="4E482BE2"/>
    <w:rsid w:val="4E7E4296"/>
    <w:rsid w:val="4ED24E8A"/>
    <w:rsid w:val="4ED75229"/>
    <w:rsid w:val="4F0D5F85"/>
    <w:rsid w:val="4F206F52"/>
    <w:rsid w:val="4F2C4F1E"/>
    <w:rsid w:val="4F3351A1"/>
    <w:rsid w:val="4F4B4EC8"/>
    <w:rsid w:val="4F4C02F9"/>
    <w:rsid w:val="4F546E7B"/>
    <w:rsid w:val="4F5624CB"/>
    <w:rsid w:val="4F774B1B"/>
    <w:rsid w:val="4F9C652B"/>
    <w:rsid w:val="4FB467F9"/>
    <w:rsid w:val="4FD02F65"/>
    <w:rsid w:val="4FF77627"/>
    <w:rsid w:val="510D07DF"/>
    <w:rsid w:val="51895F8F"/>
    <w:rsid w:val="519B28E7"/>
    <w:rsid w:val="51A84DBE"/>
    <w:rsid w:val="51EA52E6"/>
    <w:rsid w:val="52832C8D"/>
    <w:rsid w:val="52DB3A4A"/>
    <w:rsid w:val="52E57CC3"/>
    <w:rsid w:val="5312550A"/>
    <w:rsid w:val="5394125E"/>
    <w:rsid w:val="53B347B9"/>
    <w:rsid w:val="53DE69BF"/>
    <w:rsid w:val="53F7012F"/>
    <w:rsid w:val="541E45C6"/>
    <w:rsid w:val="54814F3D"/>
    <w:rsid w:val="54D723E8"/>
    <w:rsid w:val="550721D5"/>
    <w:rsid w:val="552D03A4"/>
    <w:rsid w:val="55387C0D"/>
    <w:rsid w:val="554B10D3"/>
    <w:rsid w:val="555278C4"/>
    <w:rsid w:val="557347D9"/>
    <w:rsid w:val="558D4CD1"/>
    <w:rsid w:val="55A31786"/>
    <w:rsid w:val="55A47060"/>
    <w:rsid w:val="55AC636A"/>
    <w:rsid w:val="55C15CC7"/>
    <w:rsid w:val="56072347"/>
    <w:rsid w:val="56084A61"/>
    <w:rsid w:val="563648E8"/>
    <w:rsid w:val="56A650A5"/>
    <w:rsid w:val="56B967C0"/>
    <w:rsid w:val="56BE67A9"/>
    <w:rsid w:val="56EE7782"/>
    <w:rsid w:val="57550496"/>
    <w:rsid w:val="576B0D91"/>
    <w:rsid w:val="57830686"/>
    <w:rsid w:val="57A9177C"/>
    <w:rsid w:val="57C96345"/>
    <w:rsid w:val="57D17697"/>
    <w:rsid w:val="57D92384"/>
    <w:rsid w:val="57E04F41"/>
    <w:rsid w:val="58020827"/>
    <w:rsid w:val="581808D2"/>
    <w:rsid w:val="586E43E6"/>
    <w:rsid w:val="588E3A11"/>
    <w:rsid w:val="58941028"/>
    <w:rsid w:val="58980CA8"/>
    <w:rsid w:val="58A44110"/>
    <w:rsid w:val="58DE21CC"/>
    <w:rsid w:val="5927169E"/>
    <w:rsid w:val="594B4BEF"/>
    <w:rsid w:val="5A5F1744"/>
    <w:rsid w:val="5A782B46"/>
    <w:rsid w:val="5B2616E5"/>
    <w:rsid w:val="5B3A4C3E"/>
    <w:rsid w:val="5B884B96"/>
    <w:rsid w:val="5BF93517"/>
    <w:rsid w:val="5D090FC9"/>
    <w:rsid w:val="5D7217AC"/>
    <w:rsid w:val="5DAD34DD"/>
    <w:rsid w:val="5E0B0A29"/>
    <w:rsid w:val="5E510750"/>
    <w:rsid w:val="5F5D6E5A"/>
    <w:rsid w:val="5FA2526B"/>
    <w:rsid w:val="5FA40847"/>
    <w:rsid w:val="5FAA3C47"/>
    <w:rsid w:val="5FCB432F"/>
    <w:rsid w:val="5FF61953"/>
    <w:rsid w:val="600E54F4"/>
    <w:rsid w:val="604157B4"/>
    <w:rsid w:val="607B75C7"/>
    <w:rsid w:val="608E3AB9"/>
    <w:rsid w:val="60A827A3"/>
    <w:rsid w:val="60D51A59"/>
    <w:rsid w:val="60E344FF"/>
    <w:rsid w:val="60E82224"/>
    <w:rsid w:val="60F575C1"/>
    <w:rsid w:val="61147D5F"/>
    <w:rsid w:val="61461C93"/>
    <w:rsid w:val="61B17DFE"/>
    <w:rsid w:val="6260477F"/>
    <w:rsid w:val="62847EA7"/>
    <w:rsid w:val="62DB637F"/>
    <w:rsid w:val="62FA10BA"/>
    <w:rsid w:val="62FD5017"/>
    <w:rsid w:val="63296CF6"/>
    <w:rsid w:val="63532130"/>
    <w:rsid w:val="637A23E2"/>
    <w:rsid w:val="63972103"/>
    <w:rsid w:val="63D615FE"/>
    <w:rsid w:val="64027326"/>
    <w:rsid w:val="640B7333"/>
    <w:rsid w:val="6469117D"/>
    <w:rsid w:val="64871562"/>
    <w:rsid w:val="64D52890"/>
    <w:rsid w:val="64EA7FB1"/>
    <w:rsid w:val="64EC6C5A"/>
    <w:rsid w:val="653D7AF3"/>
    <w:rsid w:val="6570487D"/>
    <w:rsid w:val="65771892"/>
    <w:rsid w:val="65B119A5"/>
    <w:rsid w:val="65E652DD"/>
    <w:rsid w:val="65E83D85"/>
    <w:rsid w:val="65F916BF"/>
    <w:rsid w:val="661C2A65"/>
    <w:rsid w:val="6622535F"/>
    <w:rsid w:val="66346CA6"/>
    <w:rsid w:val="66565CBE"/>
    <w:rsid w:val="66602909"/>
    <w:rsid w:val="670E76D1"/>
    <w:rsid w:val="67574E33"/>
    <w:rsid w:val="67D77C44"/>
    <w:rsid w:val="68156FD0"/>
    <w:rsid w:val="686052D7"/>
    <w:rsid w:val="68645048"/>
    <w:rsid w:val="68752125"/>
    <w:rsid w:val="690459DC"/>
    <w:rsid w:val="690B7AFD"/>
    <w:rsid w:val="69543567"/>
    <w:rsid w:val="698F0E71"/>
    <w:rsid w:val="699A6C05"/>
    <w:rsid w:val="6A6D318E"/>
    <w:rsid w:val="6A90444F"/>
    <w:rsid w:val="6A930078"/>
    <w:rsid w:val="6AB30BF9"/>
    <w:rsid w:val="6AEE31E1"/>
    <w:rsid w:val="6AFC4C50"/>
    <w:rsid w:val="6AFF6DD9"/>
    <w:rsid w:val="6B2031BA"/>
    <w:rsid w:val="6B3034CF"/>
    <w:rsid w:val="6B6721F6"/>
    <w:rsid w:val="6B713444"/>
    <w:rsid w:val="6B7A60D6"/>
    <w:rsid w:val="6B956E9A"/>
    <w:rsid w:val="6B983A82"/>
    <w:rsid w:val="6B9F6D44"/>
    <w:rsid w:val="6C203A9A"/>
    <w:rsid w:val="6C385BB0"/>
    <w:rsid w:val="6CA21E49"/>
    <w:rsid w:val="6CA6506C"/>
    <w:rsid w:val="6CAD0466"/>
    <w:rsid w:val="6CB75CCD"/>
    <w:rsid w:val="6CF450EA"/>
    <w:rsid w:val="6D2D26D4"/>
    <w:rsid w:val="6D2F4A11"/>
    <w:rsid w:val="6D3F691A"/>
    <w:rsid w:val="6D6F7597"/>
    <w:rsid w:val="6DC02322"/>
    <w:rsid w:val="6DE5023A"/>
    <w:rsid w:val="6E7B37AB"/>
    <w:rsid w:val="6E9303C1"/>
    <w:rsid w:val="6ECF03D4"/>
    <w:rsid w:val="6EEA4B30"/>
    <w:rsid w:val="6EEB1850"/>
    <w:rsid w:val="6F1D62F1"/>
    <w:rsid w:val="6F617B7A"/>
    <w:rsid w:val="6F7A3C37"/>
    <w:rsid w:val="6FC02C16"/>
    <w:rsid w:val="6FF6475E"/>
    <w:rsid w:val="70184EA3"/>
    <w:rsid w:val="7065127C"/>
    <w:rsid w:val="70683582"/>
    <w:rsid w:val="707053C2"/>
    <w:rsid w:val="7084049C"/>
    <w:rsid w:val="70C01024"/>
    <w:rsid w:val="70CB53E1"/>
    <w:rsid w:val="70E45041"/>
    <w:rsid w:val="71056F4E"/>
    <w:rsid w:val="714E12CF"/>
    <w:rsid w:val="71707E34"/>
    <w:rsid w:val="71CE5989"/>
    <w:rsid w:val="7209016D"/>
    <w:rsid w:val="72462B16"/>
    <w:rsid w:val="724D78E7"/>
    <w:rsid w:val="7259341C"/>
    <w:rsid w:val="728B00C1"/>
    <w:rsid w:val="72B40135"/>
    <w:rsid w:val="72E74435"/>
    <w:rsid w:val="734446DC"/>
    <w:rsid w:val="734521A8"/>
    <w:rsid w:val="73707E67"/>
    <w:rsid w:val="73AA3A2F"/>
    <w:rsid w:val="73BA58EC"/>
    <w:rsid w:val="73CA7D44"/>
    <w:rsid w:val="741F0C23"/>
    <w:rsid w:val="743439CA"/>
    <w:rsid w:val="748F3308"/>
    <w:rsid w:val="74BC7F66"/>
    <w:rsid w:val="74DD127A"/>
    <w:rsid w:val="75686B98"/>
    <w:rsid w:val="75845846"/>
    <w:rsid w:val="75CA1C7B"/>
    <w:rsid w:val="765E04EA"/>
    <w:rsid w:val="765F3D46"/>
    <w:rsid w:val="7677072C"/>
    <w:rsid w:val="76A00464"/>
    <w:rsid w:val="76A021B3"/>
    <w:rsid w:val="76B664D7"/>
    <w:rsid w:val="76CC5FFF"/>
    <w:rsid w:val="76E33575"/>
    <w:rsid w:val="76EB2B73"/>
    <w:rsid w:val="770B0914"/>
    <w:rsid w:val="77A33591"/>
    <w:rsid w:val="77B01315"/>
    <w:rsid w:val="77D16924"/>
    <w:rsid w:val="77DC2E5C"/>
    <w:rsid w:val="78047EB1"/>
    <w:rsid w:val="782C2784"/>
    <w:rsid w:val="78326601"/>
    <w:rsid w:val="783976E2"/>
    <w:rsid w:val="785C5998"/>
    <w:rsid w:val="78912C2B"/>
    <w:rsid w:val="78B6451A"/>
    <w:rsid w:val="78FB211C"/>
    <w:rsid w:val="790147C9"/>
    <w:rsid w:val="792A6F66"/>
    <w:rsid w:val="795269EF"/>
    <w:rsid w:val="796D7AA9"/>
    <w:rsid w:val="797F7147"/>
    <w:rsid w:val="79BE2A91"/>
    <w:rsid w:val="7A992CC0"/>
    <w:rsid w:val="7B041FA2"/>
    <w:rsid w:val="7B3A50B0"/>
    <w:rsid w:val="7B867A45"/>
    <w:rsid w:val="7B8B2C1D"/>
    <w:rsid w:val="7BCA3B47"/>
    <w:rsid w:val="7BD020E4"/>
    <w:rsid w:val="7C01614C"/>
    <w:rsid w:val="7C3403C9"/>
    <w:rsid w:val="7C423C8F"/>
    <w:rsid w:val="7D062C5B"/>
    <w:rsid w:val="7D4E0A33"/>
    <w:rsid w:val="7D4E0C16"/>
    <w:rsid w:val="7D793C28"/>
    <w:rsid w:val="7D8C0F6F"/>
    <w:rsid w:val="7DA32B71"/>
    <w:rsid w:val="7DBC1642"/>
    <w:rsid w:val="7F1D6C73"/>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字符"/>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字符"/>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2.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3.jpeg"/><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F0FCD33-2FD2-40CF-9CDF-F2193CE32997}">
  <ds:schemaRefs/>
</ds:datastoreItem>
</file>

<file path=docProps/app.xml><?xml version="1.0" encoding="utf-8"?>
<Properties xmlns="http://schemas.openxmlformats.org/officeDocument/2006/extended-properties" xmlns:vt="http://schemas.openxmlformats.org/officeDocument/2006/docPropsVTypes">
  <Template>Normal</Template>
  <Pages>1</Pages>
  <Words>2225</Words>
  <Characters>12686</Characters>
  <Lines>105</Lines>
  <Paragraphs>29</Paragraphs>
  <TotalTime>0</TotalTime>
  <ScaleCrop>false</ScaleCrop>
  <LinksUpToDate>false</LinksUpToDate>
  <CharactersWithSpaces>14882</CharactersWithSpaces>
  <Application>WPS Office_12.1.0.16120_F1E327BC-269C-435d-A152-05C5408002CA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2024-01-05T03:41:58Z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2947DBAD348D450A87EEE0430972905A_13</vt:lpwstr>
  </property>
</Properties>
</file>