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ascii="Times New Roman" w:hAnsi="Times New Roman" w:eastAsia="微软雅黑" w:cs="微软雅黑"/>
          <w:b/>
          <w:bCs/>
          <w:sz w:val="40"/>
          <w:szCs w:val="40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br w:type="page"/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268605</wp:posOffset>
                </wp:positionH>
                <wp:positionV relativeFrom="paragraph">
                  <wp:posOffset>4819650</wp:posOffset>
                </wp:positionV>
                <wp:extent cx="606552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BRAF V600E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.15pt;margin-top:379.5pt;height:103.4pt;width:477.6pt;z-index:251661312;mso-width-relative:page;mso-height-relative:page;" filled="f" stroked="f" coordsize="21600,21600" o:gfxdata="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N37xLTcAAAACgEAAA8AAAAAAAAAAQAgAAAAIgAA&#10;AGRycy9kb3ducmV2LnhtbFBLAQIUABQAAAAIAIdO4kBRhMPc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BRAF V600E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numPr>
          <w:ilvl w:val="0"/>
          <w:numId w:val="2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6"/>
        <w:tblW w:w="4850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2"/>
        <w:gridCol w:w="3489"/>
        <w:gridCol w:w="3481"/>
      </w:tblGrid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specimentype }}</w:t>
            </w:r>
            <w:bookmarkStart w:id="9" w:name="_GoBack"/>
            <w:bookmarkEnd w:id="9"/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BRAF V600E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>
      <w:pPr>
        <w:numPr>
          <w:ilvl w:val="0"/>
          <w:numId w:val="3"/>
        </w:numPr>
        <w:spacing w:line="400" w:lineRule="exact"/>
        <w:ind w:left="420" w:leftChars="0" w:hanging="420" w:firstLineChars="0"/>
        <w:rPr>
          <w:rFonts w:hint="eastAsia" w:ascii="Times New Roman" w:hAnsi="Times New Roman" w:eastAsia="微软雅黑" w:cs="微软雅黑"/>
          <w:b/>
          <w:sz w:val="28"/>
          <w:szCs w:val="28"/>
          <w:lang w:val="en-US" w:eastAsia="zh-CN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  <w:lang w:val="en-US" w:eastAsia="zh-CN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62"/>
        <w:gridCol w:w="831"/>
        <w:gridCol w:w="1727"/>
        <w:gridCol w:w="838"/>
        <w:gridCol w:w="1756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>
      <w:pPr>
        <w:numPr>
          <w:ilvl w:val="0"/>
          <w:numId w:val="4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6"/>
        <w:tblpPr w:leftFromText="181" w:rightFromText="181" w:vertAnchor="page" w:horzAnchor="page" w:tblpXSpec="center" w:tblpY="15875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44"/>
        <w:gridCol w:w="1444"/>
        <w:gridCol w:w="1444"/>
        <w:gridCol w:w="1802"/>
        <w:gridCol w:w="1469"/>
        <w:gridCol w:w="2549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>
            <w:pPr>
              <w:pStyle w:val="11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</w:p>
        </w:tc>
        <w:tc>
          <w:tcPr>
            <w:tcW w:w="711" w:type="pct"/>
            <w:vAlign w:val="center"/>
          </w:tcPr>
          <w:p>
            <w:pPr>
              <w:pStyle w:val="11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>
            <w:pPr>
              <w:pStyle w:val="11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>
            <w:pPr>
              <w:pStyle w:val="11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>
            <w:pPr>
              <w:pStyle w:val="11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>
            <w:pPr>
              <w:pStyle w:val="11"/>
              <w:adjustRightInd w:val="0"/>
              <w:snapToGrid w:val="0"/>
              <w:spacing w:after="0" w:line="240" w:lineRule="auto"/>
              <w:ind w:right="15"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tbl>
      <w:tblPr>
        <w:tblStyle w:val="7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1"/>
        <w:gridCol w:w="2261"/>
        <w:gridCol w:w="647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BRAF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V600E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BRAF V600E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>
      <w:pPr>
        <w:pStyle w:val="2"/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764_WPSOffice_Level1"/>
      <w:bookmarkStart w:id="1" w:name="_Toc28240"/>
      <w:bookmarkStart w:id="2" w:name="_Toc1707_WPSOffice_Level1"/>
      <w:bookmarkStart w:id="3" w:name="_Toc12505"/>
      <w:bookmarkStart w:id="4" w:name="_Toc13196_WPSOffice_Level1"/>
      <w:bookmarkStart w:id="5" w:name="_Toc27302"/>
      <w:bookmarkStart w:id="6" w:name="_Toc16594"/>
      <w:bookmarkStart w:id="7" w:name="_Toc2409"/>
      <w:bookmarkStart w:id="8" w:name="_Toc22658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>
      <w:pPr>
        <w:keepNext/>
        <w:spacing w:before="26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基因说明：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BRAF基因位于染色体7q34，编码67~99kDa的丝氨酸/苏氨酸激酶，有3个保守结构域，CR1、CR2和激酶域CR3。</w:t>
      </w:r>
    </w:p>
    <w:p>
      <w:pPr>
        <w:keepNext/>
        <w:spacing w:before="26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信号通路说明</w:t>
      </w: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：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该蛋白质通过调节MAPK/ERK的信号传导途径，从而影响细胞分裂、分化和分泌的作用。</w:t>
      </w:r>
    </w:p>
    <w:p>
      <w:pPr>
        <w:keepNext/>
        <w:spacing w:before="26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突变说明</w:t>
      </w: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：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BRAF V600E位于BRAF蛋白激酶结构域的激活区域[UniProt.org]。V600E导致BRAF激酶活性增加，激活下游信号传导[PMID: 15035987]。</w:t>
      </w:r>
    </w:p>
    <w:p>
      <w:pPr>
        <w:keepNext/>
        <w:spacing w:before="26" w:after="120" w:afterLines="50"/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潜在受益药物研究信息：</w:t>
      </w:r>
    </w:p>
    <w:p>
      <w:pPr>
        <w:bidi w:val="0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达拉非尼（Dabrafenib）是一种激酶抑制剂，FDA批准联合曲美替尼用于治疗 BRAF V600E突变的转移性非小细胞肺癌（NSCLC）（使用限制：达拉非尼不用于治疗BRAF野生型黑色素瘤、BRAF野生型NSCLC或BRAF野生型ATC患者）。NMPA批准联合曲美替尼用于治疗BRAF V600突变阳性转移性非小细胞肺癌（NSCLC）。</w:t>
      </w:r>
    </w:p>
    <w:p>
      <w:pPr>
        <w:bidi w:val="0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达拉非尼（Dabrafenib）是一种激酶抑制剂，FDA批准联合曲美替尼用于治疗BRAF V600E突变的不可切除或转移性实体瘤的成人和6岁及以上儿童患者，这些患者在之前的治疗后进展，没有满意的替代治疗方案（使用限制：因为已知的BRAF抑制的内在耐药性，达拉非尼不用于结直肠癌患者的治疗。达拉非尼不用于野生型BRAF实体瘤的治疗）。</w:t>
      </w:r>
    </w:p>
    <w:p>
      <w:pPr>
        <w:spacing w:line="400" w:lineRule="exact"/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潜在耐药研究信息：</w:t>
      </w:r>
    </w:p>
    <w:p>
      <w:pPr>
        <w:bidi w:val="0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克唑替尼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：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阳性非小细胞肺癌患者血浆分子分析的研究中，分析了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18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例克唑替尼获得性耐药非小细胞肺癌患者的血浆，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2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例克唑替尼治疗后的血浆标本中出现可能与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不依赖的抗性有关的基因改变（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BRAF V600E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和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PIK3CA E545K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各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例）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[PMID: 30664990]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。</w:t>
      </w:r>
    </w:p>
    <w:p>
      <w:pPr>
        <w:bidi w:val="0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阿法替尼：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在肺腺癌中，已知BRAF V600E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突变可导致对第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代和第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3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代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EGFR-TKI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获得性耐药。一项研究分析了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20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例对阿法替尼获得耐药的晚期肺腺癌患者的数据，该研究检测了在阿法替尼治疗前和治疗后的样本中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C797S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BRAF V600E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和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MET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扩增的情况。结果显示阿法替尼治疗过程中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例疾病进展（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PD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）患者检测到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BRAF V600E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突变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[PMID: 30550608]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。</w:t>
      </w:r>
    </w:p>
    <w:p>
      <w:pPr>
        <w:bidi w:val="0"/>
        <w:ind w:firstLine="311" w:firstLineChars="0"/>
        <w:jc w:val="left"/>
        <w:rPr>
          <w:rFonts w:ascii="Times New Roman" w:hAnsi="Times New Roman" w:eastAsia="微软雅黑" w:cs="微软雅黑"/>
          <w:sz w:val="24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奥希替尼：一位42岁男性被诊断左肺腺癌，携带EGFR敏感突变，在经过一系列治疗（包括培美曲塞+顺铂，吉非替尼和厄洛替尼，吉西他滨）后疾病进展，检出T790M，接受奥希替尼治疗，有部分反应，反应持续13个月后，随后发生疾病进展，基因检测发现新的突变BRAF V600E[PMID: 27923714]。研究报道，2例EGFR外显子19缺失和T790M突变的患者使用奥希替尼治疗，在疾病进展时获得BRAF V600E突变[PMID: 32534795]。一例携带EGFR 19del的肺腺癌患者一线使用吉非替尼进展后检出T790M突变，使用奥希替尼一年后再次进展，检出BRAF V600E突变，在达拉非尼+曲美替尼+奥希替尼的治疗下实现了长期的疾病控制[PMID: 31558239]。</w:t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6A0900"/>
    <w:rsid w:val="000D1090"/>
    <w:rsid w:val="000E07BA"/>
    <w:rsid w:val="00121F61"/>
    <w:rsid w:val="001B7259"/>
    <w:rsid w:val="002548E7"/>
    <w:rsid w:val="005910F5"/>
    <w:rsid w:val="005D26F8"/>
    <w:rsid w:val="00663139"/>
    <w:rsid w:val="00697038"/>
    <w:rsid w:val="006A0900"/>
    <w:rsid w:val="006B302B"/>
    <w:rsid w:val="006D792A"/>
    <w:rsid w:val="00782B21"/>
    <w:rsid w:val="007D3F98"/>
    <w:rsid w:val="008F3D57"/>
    <w:rsid w:val="00A63159"/>
    <w:rsid w:val="00AA7B4D"/>
    <w:rsid w:val="00BE10BB"/>
    <w:rsid w:val="00C12EE8"/>
    <w:rsid w:val="00C23AEC"/>
    <w:rsid w:val="00CF10CB"/>
    <w:rsid w:val="00D478F9"/>
    <w:rsid w:val="00D74E3B"/>
    <w:rsid w:val="00DC58A1"/>
    <w:rsid w:val="00F73E15"/>
    <w:rsid w:val="00FB52A6"/>
    <w:rsid w:val="00FC5566"/>
    <w:rsid w:val="01E3453D"/>
    <w:rsid w:val="097A0A0D"/>
    <w:rsid w:val="10DB3DCF"/>
    <w:rsid w:val="11EA2D52"/>
    <w:rsid w:val="1CCB2491"/>
    <w:rsid w:val="204A1E0F"/>
    <w:rsid w:val="25956801"/>
    <w:rsid w:val="25D45398"/>
    <w:rsid w:val="2CA434C2"/>
    <w:rsid w:val="2CBA6E83"/>
    <w:rsid w:val="2D111678"/>
    <w:rsid w:val="30842786"/>
    <w:rsid w:val="36F640BD"/>
    <w:rsid w:val="3A492CAA"/>
    <w:rsid w:val="3AC2740B"/>
    <w:rsid w:val="457E07EE"/>
    <w:rsid w:val="48EF09A8"/>
    <w:rsid w:val="49A80879"/>
    <w:rsid w:val="4D571467"/>
    <w:rsid w:val="4EAA743A"/>
    <w:rsid w:val="507B51AA"/>
    <w:rsid w:val="51E50A2A"/>
    <w:rsid w:val="616A0F43"/>
    <w:rsid w:val="65986BB3"/>
    <w:rsid w:val="674E6BDA"/>
    <w:rsid w:val="72D77F7C"/>
    <w:rsid w:val="7A1576BF"/>
    <w:rsid w:val="7AE43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7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">
    <w:name w:val="页眉 Char"/>
    <w:basedOn w:val="8"/>
    <w:link w:val="4"/>
    <w:qFormat/>
    <w:uiPriority w:val="99"/>
    <w:rPr>
      <w:sz w:val="18"/>
      <w:szCs w:val="18"/>
    </w:rPr>
  </w:style>
  <w:style w:type="character" w:customStyle="1" w:styleId="10">
    <w:name w:val="页脚 Char"/>
    <w:basedOn w:val="8"/>
    <w:link w:val="3"/>
    <w:qFormat/>
    <w:uiPriority w:val="99"/>
    <w:rPr>
      <w:sz w:val="18"/>
      <w:szCs w:val="18"/>
    </w:rPr>
  </w:style>
  <w:style w:type="paragraph" w:customStyle="1" w:styleId="11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3</Pages>
  <Words>1119</Words>
  <Characters>1730</Characters>
  <Lines>4</Lines>
  <Paragraphs>1</Paragraphs>
  <TotalTime>0</TotalTime>
  <ScaleCrop>false</ScaleCrop>
  <LinksUpToDate>false</LinksUpToDate>
  <CharactersWithSpaces>1792</CharactersWithSpaces>
  <Application>WPS Office_12.1.0.15712_F1E327BC-269C-435d-A152-05C5408002CA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yolo</cp:lastModifiedBy>
  <dcterms:modified xsi:type="dcterms:W3CDTF">2023-11-08T03:22:31Z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2052-12.1.0.15712</vt:lpwstr>
  </property>
  <property fmtid="{D5CDD505-2E9C-101B-9397-08002B2CF9AE}" pid="3" name="ICV">
    <vt:lpwstr>7BC86363A4F141CA95D74975BC6233F6</vt:lpwstr>
  </property>
</Properties>
</file>