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{% if PDInfo == undefined %}DNA损伤修复45基因检测报告{% else %}DNA损伤修复45基因+PD-L1</w:t>
      </w:r>
    </w:p>
    <w:p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  <w:r>
        <w:rPr>
          <w:rFonts w:hint="eastAsia" w:ascii="黑体" w:hAnsi="黑体" w:eastAsia="黑体" w:cs="黑体"/>
          <w:color w:val="548235" w:themeColor="accent6" w:themeShade="BF"/>
          <w:sz w:val="72"/>
          <w:szCs w:val="72"/>
          <w:lang w:eastAsia="zh-CN"/>
        </w:rPr>
        <w:t>检测报告{% endif %}</w:t>
      </w:r>
    </w:p>
    <w:p>
      <w:pPr>
        <w:jc w:val="center"/>
        <w:rPr>
          <w:rFonts w:ascii="黑体" w:hAnsi="黑体" w:eastAsia="黑体" w:cs="黑体"/>
          <w:color w:val="548235" w:themeColor="accent6" w:themeShade="BF"/>
          <w:sz w:val="72"/>
          <w:szCs w:val="72"/>
          <w:lang w:eastAsia="zh-CN"/>
        </w:rPr>
      </w:pPr>
    </w:p>
    <w:p>
      <w:pPr>
        <w:tabs>
          <w:tab w:val="left" w:pos="5090"/>
        </w:tabs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rPr>
          <w:lang w:eastAsia="zh-CN"/>
        </w:rPr>
      </w:pPr>
    </w:p>
    <w:p>
      <w:pPr>
        <w:tabs>
          <w:tab w:val="left" w:pos="3251"/>
        </w:tabs>
        <w:rPr>
          <w:lang w:eastAsia="zh-CN"/>
        </w:rPr>
      </w:pPr>
      <w:r>
        <w:rPr>
          <w:rFonts w:hint="eastAsia"/>
          <w:lang w:eastAsia="zh-CN"/>
        </w:rPr>
        <w:tab/>
      </w:r>
    </w:p>
    <w:tbl>
      <w:tblPr>
        <w:tblStyle w:val="16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>
            <w:pPr>
              <w:pStyle w:val="6"/>
              <w:jc w:val="center"/>
              <w:rPr>
                <w:rFonts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>
      <w:pPr>
        <w:tabs>
          <w:tab w:val="left" w:pos="3251"/>
        </w:tabs>
        <w:rPr>
          <w:lang w:eastAsia="zh-CN"/>
        </w:rPr>
        <w:sectPr>
          <w:pgSz w:w="11911" w:h="16838"/>
          <w:pgMar w:top="1037" w:right="1020" w:bottom="981" w:left="1020" w:header="720" w:footer="720" w:gutter="0"/>
          <w:pgNumType w:start="1"/>
          <w:cols w:space="0" w:num="1"/>
        </w:sectPr>
      </w:pPr>
    </w:p>
    <w:p>
      <w:pPr>
        <w:jc w:val="center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>
      <w:pPr>
        <w:rPr>
          <w:rFonts w:ascii="Times New Roman" w:hAnsi="Times New Roman" w:eastAsia="微软雅黑" w:cs="Times New Roman"/>
          <w:lang w:eastAsia="zh-CN"/>
        </w:rPr>
      </w:pP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begin"/>
      </w:r>
      <w:r>
        <w:rPr>
          <w:rFonts w:ascii="Times New Roman" w:hAnsi="Times New Roman" w:eastAsia="微软雅黑" w:cs="Times New Roman"/>
          <w:lang w:eastAsia="zh-CN"/>
        </w:rPr>
        <w:instrText xml:space="preserve"> TOC \o "1-2" \h \z \u </w:instrText>
      </w:r>
      <w:r>
        <w:rPr>
          <w:rFonts w:ascii="Times New Roman" w:hAnsi="Times New Roman" w:eastAsia="微软雅黑" w:cs="Times New Roman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_Toc10438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_Toc10438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_Toc13343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_Toc13343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_Toc29479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62B541"/>
          <w:sz w:val="32"/>
          <w:lang w:eastAsia="zh-CN"/>
        </w:rPr>
        <w:t>检测结果总览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_Toc29479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_Toc19914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_Toc19914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_Toc1506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泛癌种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>%}重要靶向用药</w:t>
      </w:r>
      <w:r>
        <w:rPr>
          <w:rFonts w:ascii="Times New Roman" w:hAnsi="Times New Roman" w:eastAsia="微软雅黑"/>
          <w:sz w:val="28"/>
          <w:lang w:eastAsia="zh-CN"/>
        </w:rPr>
        <w:t>{%else%}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 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结直肠癌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/>
          <w:sz w:val="28"/>
          <w:lang w:eastAsia="zh-CN"/>
        </w:rPr>
        <w:t>‘</w:t>
      </w:r>
      <w:r>
        <w:rPr>
          <w:rFonts w:hint="eastAsia" w:ascii="Times New Roman" w:hAnsi="Times New Roman" w:eastAsia="微软雅黑"/>
          <w:sz w:val="28"/>
          <w:lang w:eastAsia="zh-CN"/>
        </w:rPr>
        <w:t>乳腺癌</w:t>
      </w:r>
      <w:r>
        <w:rPr>
          <w:rFonts w:ascii="Times New Roman" w:hAnsi="Times New Roman" w:eastAsia="微软雅黑"/>
          <w:sz w:val="28"/>
          <w:lang w:eastAsia="zh-CN"/>
        </w:rPr>
        <w:t>’</w:t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 %}乳腺癌{% endif %}精准诊疗{% endif %}相关基因结果汇总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_Toc1506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_Toc6146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_Toc6146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_Toc15124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_Toc15124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3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8"/>
          <w:lang w:eastAsia="zh-CN"/>
        </w:rPr>
        <w:t xml:space="preserve">{%if </w:t>
      </w:r>
      <w:r>
        <w:rPr>
          <w:rFonts w:hint="default" w:ascii="Times New Roman" w:hAnsi="Times New Roman" w:eastAsia="微软雅黑"/>
          <w:sz w:val="28"/>
          <w:lang w:val="en-US" w:eastAsia="zh-CN"/>
        </w:rPr>
        <w:t>2531</w:t>
      </w:r>
      <w:r>
        <w:rPr>
          <w:rFonts w:hint="eastAsia" w:ascii="Times New Roman" w:hAnsi="Times New Roman" w:eastAsia="微软雅黑"/>
          <w:sz w:val="28"/>
          <w:lang w:val="en-US" w:eastAsia="zh-CN"/>
        </w:rPr>
        <w:t xml:space="preserve"> not in </w:t>
      </w:r>
      <w:r>
        <w:rPr>
          <w:rFonts w:hint="eastAsia" w:ascii="Times New Roman" w:hAnsi="Times New Roman" w:eastAsia="微软雅黑"/>
          <w:sz w:val="28"/>
          <w:lang w:eastAsia="zh-CN"/>
        </w:rPr>
        <w:t>diseaseIdList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_Toc27517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本癌种FDA/NMPA获批的其他可选靶向药物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_Toc27517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{% endif %}{%if </w:t>
      </w:r>
      <w:r>
        <w:rPr>
          <w:rFonts w:ascii="Times New Roman" w:hAnsi="Times New Roman" w:eastAsia="微软雅黑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 xml:space="preserve">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_Toc23447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PD-L1检测结果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_Toc23447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%}{%if geneticCancerRiskInfo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_Toc23735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_Toc23735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_Toc9409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_Toc9409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8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/>
          <w:sz w:val="24"/>
          <w:szCs w:val="24"/>
          <w:lang w:eastAsia="zh-CN"/>
        </w:rPr>
        <w:t>{% endif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HYPERLINK \l _Toc27473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instrText xml:space="preserve"> PAGEREF _Toc27473 \h </w:instrTex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_Toc30920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样本质控情况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_Toc30920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10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_Toc13660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_Toc13660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11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_Toc5626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_Toc5626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12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_Toc26725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检测基因列表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_Toc26725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14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_Toc4600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检测方法与局限性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_Toc4600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15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/>
          <w:sz w:val="28"/>
          <w:lang w:eastAsia="zh-CN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_Toc19025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参考文献</w:t>
      </w:r>
      <w:r>
        <w:rPr>
          <w:rFonts w:ascii="Times New Roman" w:hAnsi="Times New Roman" w:eastAsia="微软雅黑"/>
          <w:sz w:val="28"/>
          <w:lang w:eastAsia="zh-CN"/>
        </w:rPr>
        <w:tab/>
      </w: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PAGEREF _Toc19025 \h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ascii="Times New Roman" w:hAnsi="Times New Roman" w:eastAsia="微软雅黑"/>
          <w:sz w:val="28"/>
          <w:lang w:eastAsia="zh-CN"/>
        </w:rPr>
        <w:t>16</w:t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fldChar w:fldCharType="end"/>
      </w:r>
    </w:p>
    <w:p>
      <w:pPr>
        <w:rPr>
          <w:rFonts w:ascii="Times New Roman" w:hAnsi="Times New Roman" w:eastAsia="微软雅黑" w:cs="Times New Roman"/>
          <w:lang w:eastAsia="zh-CN"/>
        </w:rPr>
        <w:sectPr>
          <w:headerReference r:id="rId3" w:type="default"/>
          <w:footerReference r:id="rId4" w:type="default"/>
          <w:pgSz w:w="11911" w:h="16838"/>
          <w:pgMar w:top="1037" w:right="1020" w:bottom="981" w:left="1020" w:header="720" w:footer="720" w:gutter="0"/>
          <w:pgNumType w:start="1"/>
          <w:cols w:space="0" w:num="1"/>
          <w:docGrid w:linePitch="299" w:charSpace="0"/>
        </w:sect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1009_WPSOffice_Level1"/>
      <w:bookmarkStart w:id="2" w:name="_Toc10438"/>
      <w:bookmarkStart w:id="3" w:name="_Toc13806"/>
      <w:bookmarkStart w:id="4" w:name="_Toc30143_WPSOffice_Level1"/>
      <w:bookmarkStart w:id="5" w:name="_Toc21669"/>
      <w:bookmarkStart w:id="6" w:name="_Toc18062_WPSOffice_Level1"/>
      <w:bookmarkStart w:id="7" w:name="_Toc17451"/>
      <w:bookmarkStart w:id="8" w:name="_Toc7021_WPSOffice_Level1"/>
      <w:bookmarkStart w:id="9" w:name="_Toc11015_WPSOffice_Level1"/>
      <w:bookmarkStart w:id="10" w:name="_Toc382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5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334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1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本产品对与DNA损伤修复相关的45个基因进行高通量测序，适用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乳腺癌、卵巢癌、宫颈癌、子宫内膜癌、前列腺癌及胰腺癌等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与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HRR基因变异相关的癌种。检测突变形式为点突变（SNV）、小片段插入缺失（INDEL）、拷贝数变异（CNV）以及融合（FUSION）。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本报告分析基因变异与靶向药物及遗传风险的相关性，给出靶向药物（FDA/NMPA批准药物、临床试验药物等）用药提示信息，从而为临床制定治疗方案提供参考信息。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numPr>
          <w:ilvl w:val="255"/>
          <w:numId w:val="0"/>
        </w:numPr>
        <w:jc w:val="both"/>
        <w:rPr>
          <w:rStyle w:val="42"/>
          <w:rFonts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6576"/>
      <w:bookmarkStart w:id="13" w:name="_Toc149837253"/>
      <w:bookmarkStart w:id="14" w:name="_Toc29479"/>
      <w:bookmarkStart w:id="15" w:name="_Toc18825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r>
        <w:rPr>
          <w:rStyle w:val="42"/>
          <w:rFonts w:hint="eastAsia" w:ascii="微软雅黑" w:hAnsi="微软雅黑" w:cs="微软雅黑"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3"/>
    </w:p>
    <w:bookmarkEnd w:id="14"/>
    <w:bookmarkEnd w:id="15"/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lang w:eastAsia="zh-CN"/>
        </w:rPr>
      </w:pPr>
      <w:bookmarkStart w:id="16" w:name="_Toc27955"/>
      <w:bookmarkStart w:id="17" w:name="_Toc19914"/>
      <w:bookmarkStart w:id="18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6"/>
      <w:bookmarkEnd w:id="17"/>
      <w:bookmarkEnd w:id="18"/>
    </w:p>
    <w:tbl>
      <w:tblPr>
        <w:tblStyle w:val="15"/>
        <w:tblpPr w:leftFromText="181" w:rightFromText="181" w:vertAnchor="text" w:horzAnchor="page" w:tblpXSpec="center" w:tblpY="114"/>
        <w:tblOverlap w:val="never"/>
        <w:tblW w:w="9558" w:type="dxa"/>
        <w:jc w:val="center"/>
        <w:tblBorders>
          <w:top w:val="single" w:color="00AF50" w:sz="24" w:space="0"/>
          <w:left w:val="single" w:color="00AF50" w:sz="24" w:space="0"/>
          <w:bottom w:val="none" w:color="auto" w:sz="0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45"/>
        <w:gridCol w:w="5913"/>
      </w:tblGrid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bookmarkStart w:id="19" w:name="_Toc534807930"/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913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top w:val="nil"/>
              <w:left w:val="nil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913" w:type="dxa"/>
            <w:tcBorders>
              <w:top w:val="nil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88" w:lineRule="auto"/>
              <w:ind w:left="119" w:right="176"/>
              <w:textAlignment w:val="auto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>
            <w:pPr>
              <w:pStyle w:val="21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558" w:type="dxa"/>
            <w:gridSpan w:val="2"/>
            <w:tcBorders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none" w:color="auto" w:sz="0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645" w:type="dxa"/>
            <w:tcBorders>
              <w:left w:val="nil"/>
              <w:bottom w:val="single" w:color="A4A4A4" w:sz="4" w:space="0"/>
            </w:tcBorders>
            <w:shd w:val="clear" w:color="auto" w:fill="auto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5913" w:type="dxa"/>
            <w:tcBorders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1"/>
              <w:ind w:left="119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D</w:t>
      </w: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 xml:space="preserve"> %}</w:t>
      </w:r>
    </w:p>
    <w:p>
      <w:pPr>
        <w:numPr>
          <w:ilvl w:val="0"/>
          <w:numId w:val="6"/>
        </w:numPr>
        <w:ind w:left="330" w:leftChars="150"/>
        <w:rPr>
          <w:rFonts w:ascii="Times New Roman" w:hAnsi="Times New Roman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微软雅黑"/>
          <w:sz w:val="18"/>
          <w:szCs w:val="18"/>
          <w:lang w:eastAsia="zh-CN" w:bidi="ar"/>
        </w:rPr>
        <w:t>风险出具，检测结果仅供参考。{% endif %}</w:t>
      </w:r>
    </w:p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20" w:name="_Toc21059"/>
      <w:bookmarkStart w:id="21" w:name="_Toc149837255"/>
      <w:bookmarkStart w:id="22" w:name="_Toc28112"/>
      <w:bookmarkStart w:id="23" w:name="_Toc1506"/>
      <w:bookmarkStart w:id="24" w:name="_Toc2781"/>
      <w:bookmarkStart w:id="25" w:name="_Toc20136_WPSOffice_Level1"/>
      <w:bookmarkStart w:id="26" w:name="_Toc19898_WPSOffice_Level1"/>
      <w:bookmarkStart w:id="27" w:name="_Toc22132"/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泛癌种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>%}重要靶向用药</w:t>
      </w:r>
      <w:bookmarkEnd w:id="20"/>
      <w:r>
        <w:rPr>
          <w:color w:val="auto"/>
          <w:sz w:val="30"/>
          <w:lang w:eastAsia="zh-CN"/>
        </w:rPr>
        <w:t>{%else%}</w:t>
      </w:r>
      <w:r>
        <w:rPr>
          <w:rFonts w:hint="eastAsia"/>
          <w:color w:val="auto"/>
          <w:sz w:val="30"/>
          <w:lang w:eastAsia="zh-CN"/>
        </w:rPr>
        <w:t xml:space="preserve">{% 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%}肺癌{%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结直肠癌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%}结直肠癌{% elif importantTargetedDiseaseName == </w:t>
      </w:r>
      <w:r>
        <w:rPr>
          <w:color w:val="auto"/>
          <w:sz w:val="30"/>
          <w:lang w:eastAsia="zh-CN"/>
        </w:rPr>
        <w:t>‘</w:t>
      </w:r>
      <w:r>
        <w:rPr>
          <w:rFonts w:hint="eastAsia"/>
          <w:color w:val="auto"/>
          <w:sz w:val="30"/>
          <w:lang w:eastAsia="zh-CN"/>
        </w:rPr>
        <w:t>乳腺癌</w:t>
      </w:r>
      <w:r>
        <w:rPr>
          <w:color w:val="auto"/>
          <w:sz w:val="30"/>
          <w:lang w:eastAsia="zh-CN"/>
        </w:rPr>
        <w:t>’</w:t>
      </w:r>
      <w:r>
        <w:rPr>
          <w:rFonts w:hint="eastAsia"/>
          <w:color w:val="auto"/>
          <w:sz w:val="30"/>
          <w:lang w:eastAsia="zh-CN"/>
        </w:rPr>
        <w:t xml:space="preserve"> %}乳腺癌{% endif %}精准诊疗{% endif %}相关基因结果汇总</w:t>
      </w:r>
      <w:bookmarkEnd w:id="21"/>
      <w:bookmarkEnd w:id="22"/>
      <w:bookmarkEnd w:id="23"/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5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nil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nil"/>
              <w:left w:val="single" w:color="FFFFFF" w:sz="18" w:space="0"/>
              <w:bottom w:val="nil"/>
            </w:tcBorders>
            <w:shd w:val="clear" w:color="auto" w:fill="61BB41"/>
            <w:vAlign w:val="center"/>
          </w:tcPr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FFFFFF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nil"/>
              <w:bottom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A4A4A4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A4A4A4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shd w:val="clear" w:color="auto" w:fill="auto"/>
            <w:noWrap/>
            <w:vAlign w:val="center"/>
          </w:tcPr>
          <w:p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上表仅列出了FDA批准/NMPA批准/NCCN指南{% if importantTargetedDiseaseName !=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%}/专家共识{% endif %}推荐的{%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泛癌种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%}</w:t>
      </w:r>
      <w:r>
        <w:rPr>
          <w:rFonts w:hint="eastAsia" w:ascii="Times New Roman" w:hAnsi="Times New Roman" w:eastAsia="微软雅黑" w:cs="Times New Roman"/>
          <w:sz w:val="18"/>
          <w:lang w:eastAsia="zh-CN"/>
        </w:rPr>
        <w:t>用于指导靶向用药的相关基因突变。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{%else%}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与{% 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%}肺癌{%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结直肠癌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%}结直肠癌{% elif importantTargetedDiseaseName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‘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乳腺癌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’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%}乳腺癌{% endif %}精准诊疗密切相关的基因突变。{% endif %}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变异详情，可查看基因变异检测结果及解析。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以上基因的检测范围涵盖但不限于上表中列出的变异类型。</w:t>
      </w:r>
    </w:p>
    <w:p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8" w:lineRule="atLeast"/>
        <w:ind w:left="425" w:leftChars="0" w:hanging="425" w:firstLine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"-"表示本次检测未发现相关变异。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>
      <w:pPr>
        <w:pStyle w:val="2"/>
        <w:numPr>
          <w:ilvl w:val="0"/>
          <w:numId w:val="0"/>
        </w:numPr>
        <w:jc w:val="both"/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8" w:name="_Toc6146"/>
      <w:r>
        <w:rPr>
          <w:rStyle w:val="42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4"/>
      <w:bookmarkEnd w:id="25"/>
      <w:bookmarkEnd w:id="26"/>
      <w:bookmarkEnd w:id="27"/>
      <w:bookmarkEnd w:id="28"/>
    </w:p>
    <w:bookmarkEnd w:id="10"/>
    <w:p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29" w:name="_Toc11256"/>
      <w:bookmarkStart w:id="30" w:name="_Toc15124"/>
      <w:bookmarkStart w:id="31" w:name="_Toc149837260"/>
      <w:bookmarkStart w:id="32" w:name="_Toc12727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9"/>
      <w:bookmarkEnd w:id="30"/>
    </w:p>
    <w:p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变异位点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 geneticCancerRiskInfo %}具体信息见“基因检测结果解析”。{% endif %}如果您有家族遗传史，可联系我们做进一步的检测。</w:t>
      </w:r>
    </w:p>
    <w:tbl>
      <w:tblPr>
        <w:tblStyle w:val="22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bottom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变异位点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2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>
      <w:pPr>
        <w:pStyle w:val="23"/>
        <w:numPr>
          <w:ilvl w:val="0"/>
          <w:numId w:val="8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>
      <w:pPr>
        <w:rPr>
          <w:rFonts w:ascii="Times New Roman" w:hAnsi="Times New Roman" w:eastAsia="微软雅黑" w:cs="黑体"/>
          <w:b/>
          <w:bCs/>
          <w:sz w:val="30"/>
          <w:szCs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hint="default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>2531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val="en-US" w:eastAsia="zh-CN"/>
        </w:rPr>
        <w:t xml:space="preserve"> not in 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diseaseIdList %}</w:t>
      </w:r>
    </w:p>
    <w:p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33" w:name="_Toc27517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31"/>
      <w:bookmarkEnd w:id="32"/>
      <w:bookmarkEnd w:id="33"/>
    </w:p>
    <w:tbl>
      <w:tblPr>
        <w:tblStyle w:val="16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>
      <w:pPr>
        <w:rPr>
          <w:sz w:val="30"/>
          <w:highlight w:val="none"/>
          <w:lang w:eastAsia="zh-CN"/>
        </w:rPr>
      </w:pPr>
      <w:r>
        <w:rPr>
          <w:rFonts w:hint="eastAsia"/>
          <w:sz w:val="30"/>
          <w:lang w:eastAsia="zh-CN"/>
        </w:rPr>
        <w:br w:type="page"/>
      </w:r>
      <w:bookmarkStart w:id="34" w:name="_Toc32443_WPSOffice_Level1"/>
      <w:bookmarkStart w:id="35" w:name="_Toc4331_WPSOffice_Level1"/>
      <w:bookmarkStart w:id="36" w:name="_Toc23903"/>
      <w:bookmarkStart w:id="37" w:name="_Toc25727"/>
      <w:bookmarkStart w:id="38" w:name="_Toc23846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</w:p>
    <w:p>
      <w:pP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39" w:name="_Toc10223"/>
      <w:bookmarkStart w:id="40" w:name="_Toc23447"/>
      <w:bookmarkStart w:id="41" w:name="_Toc106719764"/>
      <w:bookmarkStart w:id="42" w:name="_Toc20034"/>
      <w:r>
        <w:rPr>
          <w:rFonts w:hint="eastAsia"/>
          <w:color w:val="auto"/>
          <w:sz w:val="30"/>
          <w:lang w:eastAsia="zh-CN"/>
        </w:rPr>
        <w:t>PD-L1检测结果</w:t>
      </w:r>
      <w:bookmarkEnd w:id="39"/>
      <w:bookmarkEnd w:id="40"/>
      <w:bookmarkEnd w:id="41"/>
      <w:bookmarkEnd w:id="42"/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6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3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>
            <w:pPr>
              <w:pStyle w:val="44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5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5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5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6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>
      <w:pPr>
        <w:pStyle w:val="6"/>
        <w:spacing w:before="18"/>
        <w:rPr>
          <w:b/>
          <w:sz w:val="6"/>
        </w:rPr>
      </w:pPr>
    </w:p>
    <w:tbl>
      <w:tblPr>
        <w:tblStyle w:val="15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1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1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34"/>
      <w:bookmarkEnd w:id="35"/>
      <w:bookmarkEnd w:id="36"/>
      <w:bookmarkEnd w:id="37"/>
      <w:bookmarkEnd w:id="38"/>
      <w:bookmarkStart w:id="43" w:name="_Toc27302"/>
      <w:bookmarkStart w:id="44" w:name="_Toc21764_WPSOffice_Level1"/>
      <w:bookmarkStart w:id="45" w:name="_Toc15289_WPSOffice_Level3"/>
      <w:bookmarkStart w:id="46" w:name="_Toc1707_WPSOffice_Level1"/>
      <w:bookmarkStart w:id="47" w:name="_Toc13196_WPSOffice_Level1"/>
      <w:bookmarkStart w:id="48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%}{% endif %}{%if geneticCancerRiskInfo %}</w:t>
      </w: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9" w:name="_Toc23735"/>
      <w:bookmarkStart w:id="50" w:name="_Toc27690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9"/>
      <w:bookmarkEnd w:id="50"/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51" w:name="_Toc9409"/>
      <w:bookmarkStart w:id="52" w:name="_Toc149837265"/>
      <w:bookmarkStart w:id="53" w:name="_Toc5547"/>
      <w:bookmarkStart w:id="54" w:name="_Toc6481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51"/>
    </w:p>
    <w:p>
      <w:pPr>
        <w:bidi w:val="0"/>
        <w:rPr>
          <w:lang w:eastAsia="zh-CN"/>
        </w:rPr>
      </w:pPr>
      <w:r>
        <w:rPr>
          <w:rFonts w:hint="eastAsia"/>
          <w:lang w:eastAsia="zh-CN"/>
        </w:rPr>
        <w:t>{% for tdd in geneticCancerRiskInfo %}</w:t>
      </w:r>
      <w:bookmarkEnd w:id="52"/>
      <w:bookmarkEnd w:id="53"/>
      <w:bookmarkEnd w:id="54"/>
    </w:p>
    <w:p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5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{% endif %}</w:t>
      </w:r>
    </w:p>
    <w:p>
      <w:pPr>
        <w:pStyle w:val="2"/>
        <w:numPr>
          <w:ilvl w:val="255"/>
          <w:numId w:val="0"/>
        </w:numPr>
        <w:jc w:val="left"/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5" w:name="_Toc27473"/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3"/>
      <w:bookmarkEnd w:id="44"/>
      <w:bookmarkEnd w:id="45"/>
      <w:bookmarkEnd w:id="46"/>
      <w:bookmarkEnd w:id="47"/>
      <w:bookmarkEnd w:id="55"/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6" w:name="_Toc30920"/>
      <w:bookmarkStart w:id="57" w:name="_Toc15840_WPSOffice_Level1"/>
      <w:bookmarkStart w:id="58" w:name="_Toc14255_WPSOffice_Level1"/>
      <w:r>
        <w:rPr>
          <w:rFonts w:hint="eastAsia"/>
          <w:color w:val="auto"/>
          <w:sz w:val="30"/>
          <w:lang w:eastAsia="zh-CN"/>
        </w:rPr>
        <w:t>样本质控情况</w:t>
      </w:r>
      <w:bookmarkEnd w:id="48"/>
      <w:bookmarkEnd w:id="56"/>
      <w:bookmarkEnd w:id="57"/>
      <w:bookmarkEnd w:id="58"/>
    </w:p>
    <w:p>
      <w:pPr>
        <w:pStyle w:val="6"/>
        <w:rPr>
          <w:b/>
          <w:sz w:val="6"/>
        </w:rPr>
      </w:pPr>
    </w:p>
    <w:tbl>
      <w:tblPr>
        <w:tblStyle w:val="15"/>
        <w:tblpPr w:leftFromText="180" w:rightFromText="180" w:vertAnchor="text" w:horzAnchor="page" w:tblpX="1005" w:tblpY="91"/>
        <w:tblOverlap w:val="never"/>
        <w:tblW w:w="9810" w:type="dxa"/>
        <w:tblInd w:w="0" w:type="dxa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shd w:val="clear" w:color="auto" w:fill="62BC41"/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>
      <w:pPr>
        <w:spacing w:before="53" w:line="301" w:lineRule="exact"/>
        <w:rPr>
          <w:rFonts w:ascii="Times New Roman" w:hAnsi="Times New Roman" w:eastAsia="微软雅黑" w:cs="Times New Roman"/>
          <w:b/>
          <w:sz w:val="18"/>
          <w:lang w:eastAsia="zh-CN"/>
        </w:rPr>
      </w:pPr>
      <w:bookmarkStart w:id="87" w:name="_GoBack"/>
      <w:bookmarkEnd w:id="87"/>
      <w:r>
        <w:rPr>
          <w:rFonts w:hint="eastAsia" w:ascii="Times New Roman" w:hAnsi="Times New Roman" w:eastAsia="微软雅黑" w:cs="Times New Roman"/>
          <w:b/>
          <w:sz w:val="18"/>
          <w:lang w:eastAsia="zh-CN"/>
        </w:rPr>
        <w:t>注：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10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>
      <w:pPr>
        <w:numPr>
          <w:ilvl w:val="0"/>
          <w:numId w:val="9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59" w:name="_Hlk33190413"/>
      <w:bookmarkStart w:id="60" w:name="_Toc13660"/>
      <w:r>
        <w:rPr>
          <w:rFonts w:hint="eastAsia"/>
          <w:color w:val="auto"/>
          <w:sz w:val="30"/>
          <w:lang w:eastAsia="zh-CN"/>
        </w:rPr>
        <w:t>BRCA1&amp;BRCA2</w:t>
      </w:r>
      <w:bookmarkEnd w:id="59"/>
      <w:r>
        <w:rPr>
          <w:rFonts w:hint="eastAsia"/>
          <w:color w:val="auto"/>
          <w:sz w:val="30"/>
          <w:lang w:eastAsia="zh-CN"/>
        </w:rPr>
        <w:t>基因背景介绍</w:t>
      </w:r>
      <w:bookmarkEnd w:id="60"/>
    </w:p>
    <w:p>
      <w:pPr>
        <w:spacing w:before="26"/>
        <w:jc w:val="both"/>
        <w:rPr>
          <w:rFonts w:ascii="Times New Roman" w:hAnsi="Times New Roman" w:eastAsia="微软雅黑" w:cs="Times New Roman"/>
          <w:sz w:val="8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a数据出自世界范围内人群的调查，中国人群的BRCA有害突变携带者患病比例和其有一定的差异。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5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1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用药提示（仅供参考）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for brca in brcaGeneSpecification 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>
            <w:pPr>
              <w:pStyle w:val="21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>
            <w:pPr>
              <w:pStyle w:val="21"/>
              <w:ind w:left="119" w:right="4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>
            <w:pPr>
              <w:pStyle w:val="21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b in brca.drugAndsuperscript %}{%if loop.last%}{{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{%else%}{{ b.targeted_drug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vertAlign w:val="superscript"/>
                <w:lang w:eastAsia="zh-CN"/>
              </w:rPr>
              <w:t>{{ b.superscript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、</w:t>
            </w:r>
          </w:p>
          <w:p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  <w:p>
            <w:pPr>
              <w:pStyle w:val="21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549" w:type="dxa"/>
            <w:vAlign w:val="center"/>
          </w:tcPr>
          <w:p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brca.medication_suggestion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>
            <w:pPr>
              <w:pStyle w:val="21"/>
              <w:ind w:left="119" w:right="181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lang w:eastAsia="zh-CN"/>
              </w:rPr>
              <w:t>{%tr endfor %}</w:t>
            </w:r>
          </w:p>
        </w:tc>
      </w:tr>
    </w:tbl>
    <w:p>
      <w:pP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 w:val="0"/>
          <w:sz w:val="18"/>
          <w:szCs w:val="18"/>
        </w:rPr>
        <w:t>注：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；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t>表示临床试验的药物；</w:t>
      </w:r>
    </w:p>
    <w:p>
      <w:pPr>
        <w:pStyle w:val="40"/>
        <w:numPr>
          <w:ilvl w:val="0"/>
          <w:numId w:val="11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62" w:name="_Toc5626"/>
      <w:bookmarkStart w:id="63" w:name="_Toc20170_WPSOffice_Level1"/>
      <w:bookmarkStart w:id="64" w:name="_Toc28454_WPSOffice_Level1"/>
      <w:bookmarkStart w:id="65" w:name="_Toc26985_WPSOffice_Level1"/>
      <w:r>
        <w:rPr>
          <w:rFonts w:hint="eastAsia"/>
          <w:color w:val="auto"/>
          <w:sz w:val="30"/>
          <w:lang w:eastAsia="zh-CN"/>
        </w:rPr>
        <w:t>易感人群特征</w:t>
      </w:r>
      <w:bookmarkEnd w:id="62"/>
    </w:p>
    <w:p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>
      <w:pPr>
        <w:widowControl/>
        <w:numPr>
          <w:ilvl w:val="0"/>
          <w:numId w:val="12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>
      <w:pPr>
        <w:rPr>
          <w:rFonts w:ascii="Times New Roman" w:hAnsi="Times New Roman" w:eastAsia="微软雅黑" w:cs="Times New Roman"/>
          <w:lang w:eastAsia="zh-CN"/>
        </w:rPr>
      </w:pPr>
      <w:bookmarkStart w:id="66" w:name="_Toc17722"/>
      <w:bookmarkStart w:id="67" w:name="_Toc2622"/>
      <w:bookmarkStart w:id="68" w:name="_Toc5400"/>
      <w:bookmarkStart w:id="69" w:name="_Toc22071"/>
      <w:bookmarkStart w:id="70" w:name="_Toc384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6"/>
      <w:bookmarkEnd w:id="67"/>
      <w:bookmarkEnd w:id="68"/>
      <w:bookmarkEnd w:id="69"/>
      <w:bookmarkEnd w:id="70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>
      <w:pPr>
        <w:rPr>
          <w:rFonts w:ascii="Times New Roman" w:hAnsi="Times New Roman" w:eastAsia="微软雅黑" w:cs="Times New Roman"/>
        </w:rPr>
      </w:pPr>
      <w:bookmarkStart w:id="71" w:name="_Toc7995"/>
      <w:bookmarkStart w:id="72" w:name="_Toc126"/>
      <w:bookmarkStart w:id="73" w:name="_Toc1344"/>
      <w:bookmarkStart w:id="74" w:name="_Toc22722"/>
      <w:bookmarkStart w:id="75" w:name="_Toc10299"/>
      <w:r>
        <w:rPr>
          <w:rFonts w:ascii="Times New Roman" w:hAnsi="Times New Roman" w:eastAsia="微软雅黑" w:cs="Times New Roman"/>
        </w:rPr>
        <w:t>2 有胰腺癌家族史、糖尿病史</w:t>
      </w:r>
      <w:bookmarkEnd w:id="71"/>
      <w:bookmarkEnd w:id="72"/>
      <w:bookmarkEnd w:id="73"/>
      <w:bookmarkEnd w:id="74"/>
      <w:bookmarkEnd w:id="75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pStyle w:val="28"/>
      </w:pPr>
      <w:r>
        <w:br w:type="page"/>
      </w:r>
      <w:bookmarkStart w:id="76" w:name="_Toc26725"/>
      <w:r>
        <w:rPr>
          <w:rFonts w:hint="eastAsia" w:cs="黑体"/>
          <w:color w:val="auto"/>
          <w:sz w:val="30"/>
          <w:szCs w:val="30"/>
        </w:rPr>
        <w:t>检测基因列表</w:t>
      </w:r>
      <w:bookmarkEnd w:id="76"/>
    </w:p>
    <w:p>
      <w:pPr>
        <w:spacing w:line="259" w:lineRule="exact"/>
        <w:ind w:left="3328" w:right="3328"/>
        <w:jc w:val="center"/>
        <w:rPr>
          <w:rFonts w:ascii="Times New Roman" w:hAnsi="Times New Roman" w:eastAsia="微软雅黑" w:cs="Times New Roman"/>
          <w:b/>
          <w:color w:val="416AAB"/>
          <w:sz w:val="24"/>
        </w:rPr>
      </w:pPr>
    </w:p>
    <w:tbl>
      <w:tblPr>
        <w:tblStyle w:val="15"/>
        <w:tblW w:w="1016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7"/>
        <w:gridCol w:w="1089"/>
        <w:gridCol w:w="1095"/>
        <w:gridCol w:w="1155"/>
        <w:gridCol w:w="1099"/>
        <w:gridCol w:w="1007"/>
        <w:gridCol w:w="1243"/>
        <w:gridCol w:w="1151"/>
        <w:gridCol w:w="105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3" w:hRule="atLeast"/>
          <w:jc w:val="center"/>
        </w:trPr>
        <w:tc>
          <w:tcPr>
            <w:tcW w:w="10163" w:type="dxa"/>
            <w:gridSpan w:val="9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red(9,18,True) %}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267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Gene[0] }}</w:t>
            </w:r>
          </w:p>
        </w:tc>
        <w:tc>
          <w:tcPr>
            <w:tcW w:w="1089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Gene[1] }}</w:t>
            </w:r>
          </w:p>
        </w:tc>
        <w:tc>
          <w:tcPr>
            <w:tcW w:w="1095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Gene[2] }}</w:t>
            </w:r>
          </w:p>
        </w:tc>
        <w:tc>
          <w:tcPr>
            <w:tcW w:w="1155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Gene[3] }}</w:t>
            </w:r>
          </w:p>
        </w:tc>
        <w:tc>
          <w:tcPr>
            <w:tcW w:w="1099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Gene[4] }}</w:t>
            </w:r>
          </w:p>
        </w:tc>
        <w:tc>
          <w:tcPr>
            <w:tcW w:w="1007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Gene[5] }}</w:t>
            </w:r>
          </w:p>
        </w:tc>
        <w:tc>
          <w:tcPr>
            <w:tcW w:w="1243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Gene[6] }}</w:t>
            </w:r>
          </w:p>
        </w:tc>
        <w:tc>
          <w:tcPr>
            <w:tcW w:w="1151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Gene[7] }}</w:t>
            </w:r>
          </w:p>
        </w:tc>
        <w:tc>
          <w:tcPr>
            <w:tcW w:w="1057" w:type="dxa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i/>
                <w:iCs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i/>
                <w:iCs/>
                <w:sz w:val="18"/>
                <w:szCs w:val="18"/>
                <w:lang w:eastAsia="zh-CN"/>
              </w:rPr>
              <w:t>{{r Gene[8] 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10163" w:type="dxa"/>
            <w:gridSpan w:val="9"/>
            <w:vAlign w:val="center"/>
          </w:tcPr>
          <w:p>
            <w:pPr>
              <w:jc w:val="center"/>
              <w:rPr>
                <w:rFonts w:ascii="Times New Roman Regular" w:hAnsi="Times New Roman Regular" w:cs="Times New Roman Regular"/>
                <w:color w:val="000000" w:themeColor="text1"/>
                <w:kern w:val="2"/>
                <w:sz w:val="18"/>
                <w:szCs w:val="18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77" w:name="_Toc15114"/>
      <w:bookmarkStart w:id="78" w:name="_Toc3409"/>
      <w:bookmarkStart w:id="79" w:name="_Toc4600"/>
      <w:r>
        <w:rPr>
          <w:rFonts w:hint="eastAsia"/>
          <w:color w:val="auto"/>
          <w:sz w:val="30"/>
          <w:lang w:eastAsia="zh-CN"/>
        </w:rPr>
        <w:t>检测方法与局限性</w:t>
      </w:r>
      <w:bookmarkEnd w:id="77"/>
      <w:bookmarkEnd w:id="78"/>
      <w:bookmarkEnd w:id="79"/>
    </w:p>
    <w:p>
      <w:pPr>
        <w:rPr>
          <w:highlight w:val="yellow"/>
          <w:lang w:eastAsia="zh-CN"/>
        </w:rPr>
      </w:pPr>
    </w:p>
    <w:p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summaryOfRresults.productModularization.detection_method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spacing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bookmarkEnd w:id="63"/>
    <w:bookmarkEnd w:id="64"/>
    <w:bookmarkEnd w:id="65"/>
    <w:p>
      <w:pPr>
        <w:pStyle w:val="3"/>
        <w:numPr>
          <w:ilvl w:val="255"/>
          <w:numId w:val="0"/>
        </w:numPr>
        <w:jc w:val="left"/>
        <w:rPr>
          <w:color w:val="auto"/>
          <w:sz w:val="30"/>
          <w:lang w:eastAsia="zh-CN"/>
        </w:rPr>
      </w:pPr>
      <w:bookmarkStart w:id="80" w:name="_Toc19025"/>
      <w:bookmarkStart w:id="81" w:name="_Toc22162_WPSOffice_Level1"/>
      <w:bookmarkStart w:id="82" w:name="_Toc14611_WPSOffice_Level1"/>
      <w:bookmarkStart w:id="83" w:name="_Toc22623"/>
      <w:bookmarkStart w:id="84" w:name="_Toc17792_WPSOffice_Level2"/>
      <w:bookmarkStart w:id="85" w:name="_Toc19584_WPSOffice_Level1"/>
      <w:bookmarkStart w:id="86" w:name="_Toc13275"/>
      <w:r>
        <w:rPr>
          <w:rFonts w:hint="eastAsia"/>
          <w:color w:val="auto"/>
          <w:sz w:val="30"/>
          <w:lang w:eastAsia="zh-CN"/>
        </w:rPr>
        <w:t>参考文献</w:t>
      </w:r>
      <w:bookmarkEnd w:id="80"/>
    </w:p>
    <w:bookmarkEnd w:id="81"/>
    <w:bookmarkEnd w:id="82"/>
    <w:bookmarkEnd w:id="83"/>
    <w:bookmarkEnd w:id="84"/>
    <w:bookmarkEnd w:id="85"/>
    <w:bookmarkEnd w:id="86"/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color w:val="222222"/>
          <w:sz w:val="15"/>
          <w:szCs w:val="15"/>
          <w:shd w:val="clear" w:color="auto" w:fill="FFFFFF"/>
        </w:rPr>
      </w:pP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27241103]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25025451]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23765559]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25238946]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25849179]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20495085]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20034658]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20494261]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21324516]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23057551]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16835424]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23987739]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23459506]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25872896]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Chee Khoon Lee, Michael L Friedlander, Angelina Tjokrowidjaja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et al.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Molecular and clinical predictors of improvement in progression‐free survival with maintenance PARP inhibitor therapy in women with platinum‐sensitive, recurrent ovarian cancer: A meta‐analysis[J]. Cancer, 2021.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127(14):2432-2441. [PMID: 33740262]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Arnold Lee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Fuzuloparib: First Approval[J]. Drugs. 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,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81(10):1221-1226.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34118019]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fldChar w:fldCharType="end"/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Pamiparib: First Approval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[J]. Drugs.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2021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>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et al. 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>BRCA1 mislocalization leads to aberrant DNA damage response in heterozygous ABRAXAS1 mutation carrier cells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[J].</w:t>
      </w:r>
      <w:r>
        <w:rPr>
          <w:sz w:val="15"/>
          <w:szCs w:val="15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Hum Mol Genet, 2019,28(24):4148-4160.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31630195]</w:t>
      </w:r>
    </w:p>
    <w:p>
      <w:pPr>
        <w:pStyle w:val="33"/>
        <w:widowControl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27318168]</w:t>
      </w:r>
    </w:p>
    <w:p>
      <w:pPr>
        <w:pStyle w:val="33"/>
        <w:adjustRightInd w:val="0"/>
        <w:snapToGrid w:val="0"/>
        <w:spacing w:before="120" w:beforeLines="50" w:after="120" w:afterLines="50"/>
        <w:ind w:firstLine="0" w:firstLineChars="0"/>
        <w:jc w:val="both"/>
        <w:rPr>
          <w:rFonts w:ascii="Times New Roman" w:hAnsi="Times New Roman" w:eastAsia="微软雅黑"/>
          <w:sz w:val="20"/>
          <w:szCs w:val="20"/>
          <w:shd w:val="clear" w:color="auto" w:fill="FFFFFF"/>
        </w:rPr>
      </w:pP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</w:rPr>
        <w:t xml:space="preserve"> </w:t>
      </w:r>
      <w:r>
        <w:rPr>
          <w:rFonts w:ascii="Times New Roman" w:hAnsi="Times New Roman" w:eastAsia="微软雅黑"/>
          <w:sz w:val="15"/>
          <w:szCs w:val="15"/>
          <w:shd w:val="clear" w:color="auto" w:fill="FFFFFF"/>
        </w:rPr>
        <w:t>2010, 124(1):283-8.</w:t>
      </w:r>
      <w:r>
        <w:rPr>
          <w:rFonts w:hint="eastAsia" w:ascii="Times New Roman" w:hAnsi="Times New Roman" w:eastAsia="微软雅黑"/>
          <w:sz w:val="15"/>
          <w:szCs w:val="15"/>
          <w:shd w:val="clear" w:color="auto" w:fill="FFFFFF"/>
          <w:lang w:eastAsia="zh-CN"/>
        </w:rPr>
        <w:t xml:space="preserve"> [PMID: 20512659]</w:t>
      </w:r>
    </w:p>
    <w:p>
      <w:pPr>
        <w:widowControl/>
        <w:rPr>
          <w:rFonts w:ascii="Times New Roman" w:hAnsi="Times New Roman" w:eastAsia="等线"/>
          <w:lang w:eastAsia="zh-CN"/>
        </w:rPr>
      </w:pPr>
    </w:p>
    <w:sectPr>
      <w:headerReference r:id="rId5" w:type="default"/>
      <w:footerReference r:id="rId6" w:type="default"/>
      <w:pgSz w:w="11911" w:h="16838"/>
      <w:pgMar w:top="1037" w:right="1020" w:bottom="981" w:left="1020" w:header="720" w:footer="720" w:gutter="0"/>
      <w:pgNumType w:start="1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line="14" w:lineRule="auto"/>
      <w:rPr>
        <w:sz w:val="20"/>
        <w:szCs w:val="2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2959100</wp:posOffset>
              </wp:positionH>
              <wp:positionV relativeFrom="paragraph">
                <wp:posOffset>-175260</wp:posOffset>
              </wp:positionV>
              <wp:extent cx="1828800" cy="1828800"/>
              <wp:effectExtent l="0" t="0" r="0" b="0"/>
              <wp:wrapNone/>
              <wp:docPr id="41" name="文本框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25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23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33pt;margin-top:-13.8pt;height:144pt;width:144pt;mso-position-horizontal-relative:margin;mso-wrap-style:none;z-index:251659264;mso-width-relative:page;mso-height-relative:page;" filled="f" stroked="f" coordsize="21600,21600" o:gfxdata="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tmKTDYAAAACwEAAA8AAAAAAAAAAQAgAAAAIgAAAGRycy9kb3ducmV2LnhtbFBLAQIU&#10;ABQAAAAIAIdO4kArBh5DLAIAAFcEAAAOAAAAAAAAAAEAIAAAACcBAABkcnMvZTJvRG9jLnhtbFBL&#10;BQYAAAAABgAGAFkBAADF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9"/>
                      <w:rPr>
                        <w:rFonts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25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23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right"/>
      <w:rPr>
        <w:lang w:eastAsia="zh-CN"/>
      </w:rPr>
    </w:pPr>
    <w:r>
      <w:rPr>
        <w:rFonts w:hint="eastAsia" w:ascii="Times New Roman" w:hAnsi="Times New Roman" w:eastAsia="微软雅黑" w:cs="Times New Roman"/>
        <w:b/>
        <w:color w:val="7F7F7F"/>
        <w:sz w:val="20"/>
        <w:szCs w:val="20"/>
        <w:lang w:eastAsia="zh-CN"/>
      </w:rPr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89FBB6"/>
    <w:multiLevelType w:val="multilevel"/>
    <w:tmpl w:val="1789FBB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CEC1C1C"/>
    <w:multiLevelType w:val="multilevel"/>
    <w:tmpl w:val="2CEC1C1C"/>
    <w:lvl w:ilvl="0" w:tentative="0">
      <w:start w:val="1"/>
      <w:numFmt w:val="bullet"/>
      <w:pStyle w:val="25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5">
    <w:nsid w:val="34613CBC"/>
    <w:multiLevelType w:val="multilevel"/>
    <w:tmpl w:val="34613CBC"/>
    <w:lvl w:ilvl="0" w:tentative="0">
      <w:start w:val="1"/>
      <w:numFmt w:val="bullet"/>
      <w:pStyle w:val="27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5B812BEF"/>
    <w:multiLevelType w:val="multilevel"/>
    <w:tmpl w:val="5B812BEF"/>
    <w:lvl w:ilvl="0" w:tentative="0">
      <w:start w:val="1"/>
      <w:numFmt w:val="bullet"/>
      <w:pStyle w:val="24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10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1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7"/>
  </w:num>
  <w:num w:numId="2">
    <w:abstractNumId w:val="10"/>
  </w:num>
  <w:num w:numId="3">
    <w:abstractNumId w:val="9"/>
  </w:num>
  <w:num w:numId="4">
    <w:abstractNumId w:val="4"/>
  </w:num>
  <w:num w:numId="5">
    <w:abstractNumId w:val="5"/>
  </w:num>
  <w:num w:numId="6">
    <w:abstractNumId w:val="0"/>
  </w:num>
  <w:num w:numId="7">
    <w:abstractNumId w:val="2"/>
  </w:num>
  <w:num w:numId="8">
    <w:abstractNumId w:val="6"/>
  </w:num>
  <w:num w:numId="9">
    <w:abstractNumId w:val="3"/>
  </w:num>
  <w:num w:numId="10">
    <w:abstractNumId w:val="8"/>
  </w:num>
  <w:num w:numId="11">
    <w:abstractNumId w:val="1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documentProtection w:enforcement="0"/>
  <w:defaultTabStop w:val="420"/>
  <w:drawingGridHorizontalSpacing w:val="220"/>
  <w:drawingGridVerticalSpacing w:val="-7946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EC59B6"/>
    <w:rsid w:val="0000364B"/>
    <w:rsid w:val="00027462"/>
    <w:rsid w:val="00033443"/>
    <w:rsid w:val="000453A2"/>
    <w:rsid w:val="00050EC3"/>
    <w:rsid w:val="00053185"/>
    <w:rsid w:val="00063451"/>
    <w:rsid w:val="000A25EF"/>
    <w:rsid w:val="000E32CA"/>
    <w:rsid w:val="001116D0"/>
    <w:rsid w:val="001141CA"/>
    <w:rsid w:val="001352AC"/>
    <w:rsid w:val="00146673"/>
    <w:rsid w:val="00160527"/>
    <w:rsid w:val="001846E1"/>
    <w:rsid w:val="00192B2C"/>
    <w:rsid w:val="001A7044"/>
    <w:rsid w:val="001C0F01"/>
    <w:rsid w:val="001C5856"/>
    <w:rsid w:val="001D1CAE"/>
    <w:rsid w:val="001F1443"/>
    <w:rsid w:val="00200AFA"/>
    <w:rsid w:val="00211C9B"/>
    <w:rsid w:val="0024348C"/>
    <w:rsid w:val="002571FC"/>
    <w:rsid w:val="002636CF"/>
    <w:rsid w:val="002918E6"/>
    <w:rsid w:val="002A77BA"/>
    <w:rsid w:val="002C1C7D"/>
    <w:rsid w:val="002D6EF8"/>
    <w:rsid w:val="002E1536"/>
    <w:rsid w:val="002F0BAC"/>
    <w:rsid w:val="002F0CC8"/>
    <w:rsid w:val="003275FF"/>
    <w:rsid w:val="00354E31"/>
    <w:rsid w:val="00370210"/>
    <w:rsid w:val="00373BFC"/>
    <w:rsid w:val="0038614A"/>
    <w:rsid w:val="003A6B6C"/>
    <w:rsid w:val="003B055C"/>
    <w:rsid w:val="003B27BF"/>
    <w:rsid w:val="003C764D"/>
    <w:rsid w:val="003C7EDD"/>
    <w:rsid w:val="00401A24"/>
    <w:rsid w:val="00402F81"/>
    <w:rsid w:val="0042313A"/>
    <w:rsid w:val="00423FDB"/>
    <w:rsid w:val="00431531"/>
    <w:rsid w:val="0045255C"/>
    <w:rsid w:val="004778D6"/>
    <w:rsid w:val="004820AA"/>
    <w:rsid w:val="00485FF1"/>
    <w:rsid w:val="00490B10"/>
    <w:rsid w:val="00497E3B"/>
    <w:rsid w:val="004A2E3D"/>
    <w:rsid w:val="004A65E5"/>
    <w:rsid w:val="004C7418"/>
    <w:rsid w:val="004D079F"/>
    <w:rsid w:val="00503BE5"/>
    <w:rsid w:val="005066C2"/>
    <w:rsid w:val="00547D3B"/>
    <w:rsid w:val="0055278A"/>
    <w:rsid w:val="0055300B"/>
    <w:rsid w:val="00564748"/>
    <w:rsid w:val="00576C30"/>
    <w:rsid w:val="0059328A"/>
    <w:rsid w:val="00597074"/>
    <w:rsid w:val="005A549B"/>
    <w:rsid w:val="005B2FCB"/>
    <w:rsid w:val="005C3DF8"/>
    <w:rsid w:val="005E135F"/>
    <w:rsid w:val="005E7119"/>
    <w:rsid w:val="006038CD"/>
    <w:rsid w:val="00613EB6"/>
    <w:rsid w:val="006229F0"/>
    <w:rsid w:val="00656E82"/>
    <w:rsid w:val="00673D9E"/>
    <w:rsid w:val="00681652"/>
    <w:rsid w:val="006967F9"/>
    <w:rsid w:val="006C121F"/>
    <w:rsid w:val="006D29CD"/>
    <w:rsid w:val="006D6622"/>
    <w:rsid w:val="006F2551"/>
    <w:rsid w:val="00716B23"/>
    <w:rsid w:val="0072123B"/>
    <w:rsid w:val="0072776F"/>
    <w:rsid w:val="007316FA"/>
    <w:rsid w:val="00746C12"/>
    <w:rsid w:val="007735A9"/>
    <w:rsid w:val="007765CB"/>
    <w:rsid w:val="007953DB"/>
    <w:rsid w:val="007A2EB7"/>
    <w:rsid w:val="007D3D01"/>
    <w:rsid w:val="007E10E6"/>
    <w:rsid w:val="00806D3D"/>
    <w:rsid w:val="00813930"/>
    <w:rsid w:val="0081509E"/>
    <w:rsid w:val="00817F49"/>
    <w:rsid w:val="00847CF2"/>
    <w:rsid w:val="0085711A"/>
    <w:rsid w:val="00870BEC"/>
    <w:rsid w:val="008A1843"/>
    <w:rsid w:val="008B093B"/>
    <w:rsid w:val="008C11DE"/>
    <w:rsid w:val="008D1E6B"/>
    <w:rsid w:val="008D2882"/>
    <w:rsid w:val="008E7370"/>
    <w:rsid w:val="00902C56"/>
    <w:rsid w:val="00923C52"/>
    <w:rsid w:val="00940735"/>
    <w:rsid w:val="00943394"/>
    <w:rsid w:val="00965D87"/>
    <w:rsid w:val="0097261A"/>
    <w:rsid w:val="00977C1F"/>
    <w:rsid w:val="00993169"/>
    <w:rsid w:val="009C028A"/>
    <w:rsid w:val="009F2238"/>
    <w:rsid w:val="009F2986"/>
    <w:rsid w:val="00A15B8C"/>
    <w:rsid w:val="00A42C6F"/>
    <w:rsid w:val="00A43283"/>
    <w:rsid w:val="00A4576E"/>
    <w:rsid w:val="00A46DCD"/>
    <w:rsid w:val="00A47654"/>
    <w:rsid w:val="00A6559D"/>
    <w:rsid w:val="00A730DE"/>
    <w:rsid w:val="00AA766E"/>
    <w:rsid w:val="00AB51A4"/>
    <w:rsid w:val="00B10161"/>
    <w:rsid w:val="00B337C2"/>
    <w:rsid w:val="00B370AC"/>
    <w:rsid w:val="00B57442"/>
    <w:rsid w:val="00B84550"/>
    <w:rsid w:val="00B87B69"/>
    <w:rsid w:val="00BD4CC0"/>
    <w:rsid w:val="00BE4CB2"/>
    <w:rsid w:val="00BE7F5F"/>
    <w:rsid w:val="00C06F9B"/>
    <w:rsid w:val="00C17019"/>
    <w:rsid w:val="00CA5E09"/>
    <w:rsid w:val="00CA62B5"/>
    <w:rsid w:val="00CB4917"/>
    <w:rsid w:val="00CC09A6"/>
    <w:rsid w:val="00CE7605"/>
    <w:rsid w:val="00CF3B4D"/>
    <w:rsid w:val="00CF7ADD"/>
    <w:rsid w:val="00D12B04"/>
    <w:rsid w:val="00D314B7"/>
    <w:rsid w:val="00D50055"/>
    <w:rsid w:val="00D50106"/>
    <w:rsid w:val="00D61A0F"/>
    <w:rsid w:val="00DA2F2F"/>
    <w:rsid w:val="00DB45C5"/>
    <w:rsid w:val="00DC42D4"/>
    <w:rsid w:val="00DE570B"/>
    <w:rsid w:val="00E14117"/>
    <w:rsid w:val="00E35D32"/>
    <w:rsid w:val="00E37501"/>
    <w:rsid w:val="00E53230"/>
    <w:rsid w:val="00E9286C"/>
    <w:rsid w:val="00E9556A"/>
    <w:rsid w:val="00EC59B6"/>
    <w:rsid w:val="00F11CFA"/>
    <w:rsid w:val="00F138EB"/>
    <w:rsid w:val="00F249BB"/>
    <w:rsid w:val="00F261E1"/>
    <w:rsid w:val="00F51C09"/>
    <w:rsid w:val="00F809A8"/>
    <w:rsid w:val="00FD1C76"/>
    <w:rsid w:val="00FE2882"/>
    <w:rsid w:val="00FF1626"/>
    <w:rsid w:val="00FF5E46"/>
    <w:rsid w:val="00FF7BB1"/>
    <w:rsid w:val="011A0D8B"/>
    <w:rsid w:val="01452144"/>
    <w:rsid w:val="01674B7A"/>
    <w:rsid w:val="02CA5230"/>
    <w:rsid w:val="02CA76AF"/>
    <w:rsid w:val="03570435"/>
    <w:rsid w:val="03D8484E"/>
    <w:rsid w:val="0422003D"/>
    <w:rsid w:val="04867E30"/>
    <w:rsid w:val="04871837"/>
    <w:rsid w:val="04C17114"/>
    <w:rsid w:val="04E42E26"/>
    <w:rsid w:val="0592012A"/>
    <w:rsid w:val="06021A86"/>
    <w:rsid w:val="0651570E"/>
    <w:rsid w:val="06D33A56"/>
    <w:rsid w:val="06F04A04"/>
    <w:rsid w:val="074043CC"/>
    <w:rsid w:val="07427DF2"/>
    <w:rsid w:val="07DB59EB"/>
    <w:rsid w:val="09F03404"/>
    <w:rsid w:val="09FB1359"/>
    <w:rsid w:val="0A043ABA"/>
    <w:rsid w:val="0A6E704D"/>
    <w:rsid w:val="0A734A03"/>
    <w:rsid w:val="0B86242F"/>
    <w:rsid w:val="0C3A0C95"/>
    <w:rsid w:val="0C3E5385"/>
    <w:rsid w:val="0C96240B"/>
    <w:rsid w:val="0D4C76D7"/>
    <w:rsid w:val="0D9F2174"/>
    <w:rsid w:val="0DED5218"/>
    <w:rsid w:val="0DFF49C5"/>
    <w:rsid w:val="0E11445D"/>
    <w:rsid w:val="0E542351"/>
    <w:rsid w:val="0EBF2A43"/>
    <w:rsid w:val="0ED843CC"/>
    <w:rsid w:val="0EEC0C47"/>
    <w:rsid w:val="0FAF15A6"/>
    <w:rsid w:val="0FB9297A"/>
    <w:rsid w:val="10284659"/>
    <w:rsid w:val="10963380"/>
    <w:rsid w:val="10972AD2"/>
    <w:rsid w:val="10DB7F23"/>
    <w:rsid w:val="110C1583"/>
    <w:rsid w:val="11A27E6C"/>
    <w:rsid w:val="11AE2F10"/>
    <w:rsid w:val="12857155"/>
    <w:rsid w:val="12963DA1"/>
    <w:rsid w:val="13033F93"/>
    <w:rsid w:val="137C48B9"/>
    <w:rsid w:val="138531B6"/>
    <w:rsid w:val="13886440"/>
    <w:rsid w:val="13897526"/>
    <w:rsid w:val="13AB527B"/>
    <w:rsid w:val="13B34400"/>
    <w:rsid w:val="13FC4382"/>
    <w:rsid w:val="148972D9"/>
    <w:rsid w:val="148A2DC4"/>
    <w:rsid w:val="14CB1C36"/>
    <w:rsid w:val="14D804FC"/>
    <w:rsid w:val="15196B67"/>
    <w:rsid w:val="15296465"/>
    <w:rsid w:val="152E3223"/>
    <w:rsid w:val="153F7D0D"/>
    <w:rsid w:val="155348B4"/>
    <w:rsid w:val="161A6AFC"/>
    <w:rsid w:val="16794757"/>
    <w:rsid w:val="17526BA2"/>
    <w:rsid w:val="175B5702"/>
    <w:rsid w:val="17E476A7"/>
    <w:rsid w:val="17EE10AA"/>
    <w:rsid w:val="17EF172D"/>
    <w:rsid w:val="17F84EE5"/>
    <w:rsid w:val="18626802"/>
    <w:rsid w:val="18AE38E1"/>
    <w:rsid w:val="195E683B"/>
    <w:rsid w:val="19C92FD9"/>
    <w:rsid w:val="1ACF425B"/>
    <w:rsid w:val="1B142FDB"/>
    <w:rsid w:val="1B28649B"/>
    <w:rsid w:val="1B5279AF"/>
    <w:rsid w:val="1B7F61B0"/>
    <w:rsid w:val="1BA36B7F"/>
    <w:rsid w:val="1BA92C4B"/>
    <w:rsid w:val="1BAE7B90"/>
    <w:rsid w:val="1C7A05D0"/>
    <w:rsid w:val="1C7E0B13"/>
    <w:rsid w:val="1C847866"/>
    <w:rsid w:val="1C98707F"/>
    <w:rsid w:val="1CFB3D7D"/>
    <w:rsid w:val="1D1B6E2D"/>
    <w:rsid w:val="1D9C27B6"/>
    <w:rsid w:val="1EAB0C6A"/>
    <w:rsid w:val="1EEB2832"/>
    <w:rsid w:val="1FC648C0"/>
    <w:rsid w:val="1FCA404E"/>
    <w:rsid w:val="20205A20"/>
    <w:rsid w:val="20855B55"/>
    <w:rsid w:val="209432E5"/>
    <w:rsid w:val="20BE3A38"/>
    <w:rsid w:val="20E26FBF"/>
    <w:rsid w:val="216451F8"/>
    <w:rsid w:val="216F18A9"/>
    <w:rsid w:val="218B544C"/>
    <w:rsid w:val="21911535"/>
    <w:rsid w:val="21B82C79"/>
    <w:rsid w:val="22180203"/>
    <w:rsid w:val="22683086"/>
    <w:rsid w:val="22C64300"/>
    <w:rsid w:val="235C2C2A"/>
    <w:rsid w:val="23DC4798"/>
    <w:rsid w:val="23E92592"/>
    <w:rsid w:val="2469451B"/>
    <w:rsid w:val="248A7AD8"/>
    <w:rsid w:val="24B139C0"/>
    <w:rsid w:val="24E474BE"/>
    <w:rsid w:val="253C24B6"/>
    <w:rsid w:val="25EE2D8B"/>
    <w:rsid w:val="26392D57"/>
    <w:rsid w:val="26976104"/>
    <w:rsid w:val="26CA67C9"/>
    <w:rsid w:val="27870460"/>
    <w:rsid w:val="27EC60E8"/>
    <w:rsid w:val="28846232"/>
    <w:rsid w:val="289838E5"/>
    <w:rsid w:val="28B74238"/>
    <w:rsid w:val="29160AB9"/>
    <w:rsid w:val="296B694A"/>
    <w:rsid w:val="296F5B95"/>
    <w:rsid w:val="299126EE"/>
    <w:rsid w:val="29DE0525"/>
    <w:rsid w:val="29F323BF"/>
    <w:rsid w:val="2A0557DF"/>
    <w:rsid w:val="2A0B385F"/>
    <w:rsid w:val="2A3716AB"/>
    <w:rsid w:val="2A386E0C"/>
    <w:rsid w:val="2A4B084E"/>
    <w:rsid w:val="2AB8586F"/>
    <w:rsid w:val="2ADE2A02"/>
    <w:rsid w:val="2AF73530"/>
    <w:rsid w:val="2B844FB6"/>
    <w:rsid w:val="2BBE5551"/>
    <w:rsid w:val="2BC37381"/>
    <w:rsid w:val="2C165FD1"/>
    <w:rsid w:val="2C263173"/>
    <w:rsid w:val="2C427C83"/>
    <w:rsid w:val="2C5073A9"/>
    <w:rsid w:val="2C7F1570"/>
    <w:rsid w:val="2D2F01DE"/>
    <w:rsid w:val="2D4D36FA"/>
    <w:rsid w:val="2E0C0EE9"/>
    <w:rsid w:val="2EB35A8A"/>
    <w:rsid w:val="2EDA2120"/>
    <w:rsid w:val="2F537715"/>
    <w:rsid w:val="300E624F"/>
    <w:rsid w:val="302F01DB"/>
    <w:rsid w:val="309911D1"/>
    <w:rsid w:val="30AA7598"/>
    <w:rsid w:val="3109732A"/>
    <w:rsid w:val="314D2E9E"/>
    <w:rsid w:val="31B0626C"/>
    <w:rsid w:val="31EB0C63"/>
    <w:rsid w:val="32B71D27"/>
    <w:rsid w:val="32B76BA4"/>
    <w:rsid w:val="331D2C73"/>
    <w:rsid w:val="33483B17"/>
    <w:rsid w:val="33AD7E00"/>
    <w:rsid w:val="33E97D18"/>
    <w:rsid w:val="3410359D"/>
    <w:rsid w:val="34595184"/>
    <w:rsid w:val="34777EA9"/>
    <w:rsid w:val="357E5409"/>
    <w:rsid w:val="35B3556B"/>
    <w:rsid w:val="35F5325E"/>
    <w:rsid w:val="362639F9"/>
    <w:rsid w:val="365905F7"/>
    <w:rsid w:val="368A6637"/>
    <w:rsid w:val="3691049E"/>
    <w:rsid w:val="371E73E3"/>
    <w:rsid w:val="372617A7"/>
    <w:rsid w:val="374878AE"/>
    <w:rsid w:val="37960E5A"/>
    <w:rsid w:val="37E65643"/>
    <w:rsid w:val="37E81DE8"/>
    <w:rsid w:val="3848012E"/>
    <w:rsid w:val="39155B04"/>
    <w:rsid w:val="3974CECD"/>
    <w:rsid w:val="3AA974B5"/>
    <w:rsid w:val="3AC053A4"/>
    <w:rsid w:val="3AF61637"/>
    <w:rsid w:val="3AFF10C6"/>
    <w:rsid w:val="3B24725E"/>
    <w:rsid w:val="3B4C193E"/>
    <w:rsid w:val="3B7944CF"/>
    <w:rsid w:val="3BF70E8C"/>
    <w:rsid w:val="3C2E4000"/>
    <w:rsid w:val="3C454C57"/>
    <w:rsid w:val="3CD62471"/>
    <w:rsid w:val="3D1C54C3"/>
    <w:rsid w:val="3D2F24DC"/>
    <w:rsid w:val="3D6C60E9"/>
    <w:rsid w:val="3D720D3A"/>
    <w:rsid w:val="3D855C98"/>
    <w:rsid w:val="3DD23549"/>
    <w:rsid w:val="3E05490B"/>
    <w:rsid w:val="3E3C4E6B"/>
    <w:rsid w:val="3EC949BD"/>
    <w:rsid w:val="3EF83886"/>
    <w:rsid w:val="3F2A733D"/>
    <w:rsid w:val="3F8C2399"/>
    <w:rsid w:val="3FFD4371"/>
    <w:rsid w:val="401851BE"/>
    <w:rsid w:val="403D2552"/>
    <w:rsid w:val="404F7937"/>
    <w:rsid w:val="40512CEE"/>
    <w:rsid w:val="405979F4"/>
    <w:rsid w:val="406C1020"/>
    <w:rsid w:val="40BA2B58"/>
    <w:rsid w:val="40C95590"/>
    <w:rsid w:val="40DA6652"/>
    <w:rsid w:val="410D268C"/>
    <w:rsid w:val="41C73588"/>
    <w:rsid w:val="429012F2"/>
    <w:rsid w:val="42D8067D"/>
    <w:rsid w:val="43B85367"/>
    <w:rsid w:val="43CC66BA"/>
    <w:rsid w:val="44076328"/>
    <w:rsid w:val="442F6EED"/>
    <w:rsid w:val="443D4776"/>
    <w:rsid w:val="446753DB"/>
    <w:rsid w:val="45252AAE"/>
    <w:rsid w:val="454A2BAB"/>
    <w:rsid w:val="45C86334"/>
    <w:rsid w:val="45D4644E"/>
    <w:rsid w:val="460F337E"/>
    <w:rsid w:val="46F17F96"/>
    <w:rsid w:val="47AE3485"/>
    <w:rsid w:val="47FE73E0"/>
    <w:rsid w:val="48F34C61"/>
    <w:rsid w:val="49947117"/>
    <w:rsid w:val="49D72799"/>
    <w:rsid w:val="4A186239"/>
    <w:rsid w:val="4A9C5397"/>
    <w:rsid w:val="4B315A79"/>
    <w:rsid w:val="4B811D64"/>
    <w:rsid w:val="4B847F8C"/>
    <w:rsid w:val="4BDD7F56"/>
    <w:rsid w:val="4BE154B9"/>
    <w:rsid w:val="4BFF0439"/>
    <w:rsid w:val="4C080518"/>
    <w:rsid w:val="4C284B24"/>
    <w:rsid w:val="4CA5175E"/>
    <w:rsid w:val="4CF437D4"/>
    <w:rsid w:val="4D1C23B3"/>
    <w:rsid w:val="4D38487F"/>
    <w:rsid w:val="4D3C5D3D"/>
    <w:rsid w:val="4DC108F4"/>
    <w:rsid w:val="4DE929CA"/>
    <w:rsid w:val="4E5A32BA"/>
    <w:rsid w:val="4E7A23FC"/>
    <w:rsid w:val="4E9468FB"/>
    <w:rsid w:val="4ED17978"/>
    <w:rsid w:val="4ED24E8A"/>
    <w:rsid w:val="4F2D56F6"/>
    <w:rsid w:val="4F67014C"/>
    <w:rsid w:val="4F9E636D"/>
    <w:rsid w:val="4FDF7E6D"/>
    <w:rsid w:val="50526B81"/>
    <w:rsid w:val="5083522D"/>
    <w:rsid w:val="50B312C8"/>
    <w:rsid w:val="51160562"/>
    <w:rsid w:val="51421398"/>
    <w:rsid w:val="515A56CD"/>
    <w:rsid w:val="51B542DA"/>
    <w:rsid w:val="52743551"/>
    <w:rsid w:val="5312550A"/>
    <w:rsid w:val="535803B1"/>
    <w:rsid w:val="53D91051"/>
    <w:rsid w:val="53DE69BF"/>
    <w:rsid w:val="54604DB9"/>
    <w:rsid w:val="54685A72"/>
    <w:rsid w:val="547B7136"/>
    <w:rsid w:val="54D723E8"/>
    <w:rsid w:val="54DC7EF0"/>
    <w:rsid w:val="55314FB7"/>
    <w:rsid w:val="553934D5"/>
    <w:rsid w:val="55C15CC7"/>
    <w:rsid w:val="55CC2F32"/>
    <w:rsid w:val="55CD0C29"/>
    <w:rsid w:val="561C74AA"/>
    <w:rsid w:val="562D03CE"/>
    <w:rsid w:val="56717539"/>
    <w:rsid w:val="56762E5F"/>
    <w:rsid w:val="56B70AC3"/>
    <w:rsid w:val="56BE67A9"/>
    <w:rsid w:val="56D06A51"/>
    <w:rsid w:val="570E1F40"/>
    <w:rsid w:val="5717303C"/>
    <w:rsid w:val="57C96345"/>
    <w:rsid w:val="5808685A"/>
    <w:rsid w:val="587F4C71"/>
    <w:rsid w:val="58875A85"/>
    <w:rsid w:val="58A44110"/>
    <w:rsid w:val="58D27185"/>
    <w:rsid w:val="590815F5"/>
    <w:rsid w:val="5927169E"/>
    <w:rsid w:val="59EB0FCE"/>
    <w:rsid w:val="5A03231D"/>
    <w:rsid w:val="5AD17CED"/>
    <w:rsid w:val="5B432E45"/>
    <w:rsid w:val="5B592C68"/>
    <w:rsid w:val="5B900618"/>
    <w:rsid w:val="5BCD17B1"/>
    <w:rsid w:val="5BFB5E7E"/>
    <w:rsid w:val="5D090FC9"/>
    <w:rsid w:val="5D610E45"/>
    <w:rsid w:val="5E233C16"/>
    <w:rsid w:val="5F077B4D"/>
    <w:rsid w:val="5F252FFF"/>
    <w:rsid w:val="5F2D2C93"/>
    <w:rsid w:val="5F5A36E5"/>
    <w:rsid w:val="5F6366B5"/>
    <w:rsid w:val="5FA2526B"/>
    <w:rsid w:val="5FB61D64"/>
    <w:rsid w:val="5FDD2F38"/>
    <w:rsid w:val="5FE32170"/>
    <w:rsid w:val="5FF61953"/>
    <w:rsid w:val="5FFF5211"/>
    <w:rsid w:val="600E54F4"/>
    <w:rsid w:val="607B75C7"/>
    <w:rsid w:val="60D51A59"/>
    <w:rsid w:val="60E82224"/>
    <w:rsid w:val="60FF41BB"/>
    <w:rsid w:val="61102A63"/>
    <w:rsid w:val="615A7CDB"/>
    <w:rsid w:val="61706E67"/>
    <w:rsid w:val="61B17DFE"/>
    <w:rsid w:val="61CF3CD4"/>
    <w:rsid w:val="621908D4"/>
    <w:rsid w:val="62A05E37"/>
    <w:rsid w:val="62C075B5"/>
    <w:rsid w:val="62DB637F"/>
    <w:rsid w:val="632B4E2E"/>
    <w:rsid w:val="63C47D8A"/>
    <w:rsid w:val="640B7333"/>
    <w:rsid w:val="6469117D"/>
    <w:rsid w:val="64723B42"/>
    <w:rsid w:val="64896C50"/>
    <w:rsid w:val="649223CF"/>
    <w:rsid w:val="64EC6C5A"/>
    <w:rsid w:val="64EE2161"/>
    <w:rsid w:val="65016479"/>
    <w:rsid w:val="657A520D"/>
    <w:rsid w:val="65B119A5"/>
    <w:rsid w:val="65F02953"/>
    <w:rsid w:val="664409B1"/>
    <w:rsid w:val="66507577"/>
    <w:rsid w:val="670E76D1"/>
    <w:rsid w:val="671F1593"/>
    <w:rsid w:val="675D512D"/>
    <w:rsid w:val="679C2069"/>
    <w:rsid w:val="67D77C44"/>
    <w:rsid w:val="67E40A7E"/>
    <w:rsid w:val="6872522A"/>
    <w:rsid w:val="68796965"/>
    <w:rsid w:val="68895DBD"/>
    <w:rsid w:val="696F3EA8"/>
    <w:rsid w:val="69D9316A"/>
    <w:rsid w:val="69E80DFF"/>
    <w:rsid w:val="6A4008F4"/>
    <w:rsid w:val="6A90444F"/>
    <w:rsid w:val="6A970C5E"/>
    <w:rsid w:val="6AD064F1"/>
    <w:rsid w:val="6B2031BA"/>
    <w:rsid w:val="6B6721F6"/>
    <w:rsid w:val="6C055638"/>
    <w:rsid w:val="6C0B233D"/>
    <w:rsid w:val="6C385BB0"/>
    <w:rsid w:val="6C81768C"/>
    <w:rsid w:val="6CA1253B"/>
    <w:rsid w:val="6CA1407A"/>
    <w:rsid w:val="6D9A4BE8"/>
    <w:rsid w:val="6DD51C16"/>
    <w:rsid w:val="6E13551C"/>
    <w:rsid w:val="6E7F79BB"/>
    <w:rsid w:val="70184EA3"/>
    <w:rsid w:val="701B08E6"/>
    <w:rsid w:val="70A44191"/>
    <w:rsid w:val="70CB53E1"/>
    <w:rsid w:val="714000D7"/>
    <w:rsid w:val="716F6CAF"/>
    <w:rsid w:val="71C64881"/>
    <w:rsid w:val="71D06407"/>
    <w:rsid w:val="724B22C9"/>
    <w:rsid w:val="7259341C"/>
    <w:rsid w:val="726D7A5A"/>
    <w:rsid w:val="72E63502"/>
    <w:rsid w:val="733A4CDB"/>
    <w:rsid w:val="734124FB"/>
    <w:rsid w:val="734521A8"/>
    <w:rsid w:val="73707E67"/>
    <w:rsid w:val="73A95296"/>
    <w:rsid w:val="741F0C23"/>
    <w:rsid w:val="74567C21"/>
    <w:rsid w:val="74673EFF"/>
    <w:rsid w:val="748253EC"/>
    <w:rsid w:val="74B135C7"/>
    <w:rsid w:val="74BC7F66"/>
    <w:rsid w:val="74D10052"/>
    <w:rsid w:val="755D633A"/>
    <w:rsid w:val="75686B98"/>
    <w:rsid w:val="756B2E30"/>
    <w:rsid w:val="764339F4"/>
    <w:rsid w:val="76A021B3"/>
    <w:rsid w:val="76B664D7"/>
    <w:rsid w:val="76EB2B73"/>
    <w:rsid w:val="776123B0"/>
    <w:rsid w:val="77674410"/>
    <w:rsid w:val="77D16924"/>
    <w:rsid w:val="77D4325A"/>
    <w:rsid w:val="78326601"/>
    <w:rsid w:val="78A16C1C"/>
    <w:rsid w:val="78BD0E17"/>
    <w:rsid w:val="79342564"/>
    <w:rsid w:val="7B3A50B0"/>
    <w:rsid w:val="7B4E7D23"/>
    <w:rsid w:val="7BBFB2CC"/>
    <w:rsid w:val="7BCA3B47"/>
    <w:rsid w:val="7C01614C"/>
    <w:rsid w:val="7C6E4BB7"/>
    <w:rsid w:val="7C72301A"/>
    <w:rsid w:val="7D612DC0"/>
    <w:rsid w:val="7D793C28"/>
    <w:rsid w:val="7F032A68"/>
    <w:rsid w:val="7F6A5445"/>
    <w:rsid w:val="7FBF83E0"/>
    <w:rsid w:val="7FD20883"/>
    <w:rsid w:val="7FE87F6C"/>
    <w:rsid w:val="7FFF9232"/>
    <w:rsid w:val="ABC6CD3A"/>
    <w:rsid w:val="BFD3E18F"/>
    <w:rsid w:val="CFDEE2E6"/>
    <w:rsid w:val="DBD78DF5"/>
    <w:rsid w:val="DF7769B0"/>
    <w:rsid w:val="DFFF95B9"/>
    <w:rsid w:val="F5E70840"/>
    <w:rsid w:val="F77E24F2"/>
    <w:rsid w:val="F7FFC56B"/>
    <w:rsid w:val="FB5B26E4"/>
    <w:rsid w:val="FBBE2B1B"/>
    <w:rsid w:val="FCFFB4C9"/>
    <w:rsid w:val="FDF41DCD"/>
    <w:rsid w:val="FEEEDB6D"/>
    <w:rsid w:val="FF6DFB8D"/>
    <w:rsid w:val="FF755C73"/>
    <w:rsid w:val="FF7F9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2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7">
    <w:name w:val="Default Paragraph Font"/>
    <w:autoRedefine/>
    <w:semiHidden/>
    <w:unhideWhenUsed/>
    <w:qFormat/>
    <w:uiPriority w:val="1"/>
  </w:style>
  <w:style w:type="table" w:default="1" w:styleId="15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2"/>
    <w:autoRedefine/>
    <w:qFormat/>
    <w:uiPriority w:val="0"/>
  </w:style>
  <w:style w:type="paragraph" w:styleId="6">
    <w:name w:val="Body Text"/>
    <w:basedOn w:val="1"/>
    <w:link w:val="36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link w:val="35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34"/>
    <w:autoRedefine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unhideWhenUsed/>
    <w:qFormat/>
    <w:uiPriority w:val="99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paragraph" w:styleId="14">
    <w:name w:val="annotation subject"/>
    <w:basedOn w:val="5"/>
    <w:next w:val="5"/>
    <w:link w:val="39"/>
    <w:autoRedefine/>
    <w:qFormat/>
    <w:uiPriority w:val="0"/>
    <w:rPr>
      <w:b/>
      <w:bCs/>
    </w:rPr>
  </w:style>
  <w:style w:type="table" w:styleId="16">
    <w:name w:val="Table Grid"/>
    <w:basedOn w:val="15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autoRedefine/>
    <w:qFormat/>
    <w:uiPriority w:val="0"/>
    <w:rPr>
      <w:b/>
    </w:rPr>
  </w:style>
  <w:style w:type="character" w:styleId="19">
    <w:name w:val="Hyperlink"/>
    <w:basedOn w:val="17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0">
    <w:name w:val="annotation reference"/>
    <w:basedOn w:val="17"/>
    <w:autoRedefine/>
    <w:qFormat/>
    <w:uiPriority w:val="0"/>
    <w:rPr>
      <w:sz w:val="21"/>
      <w:szCs w:val="21"/>
    </w:rPr>
  </w:style>
  <w:style w:type="paragraph" w:customStyle="1" w:styleId="21">
    <w:name w:val="Table Paragraph"/>
    <w:basedOn w:val="1"/>
    <w:autoRedefine/>
    <w:qFormat/>
    <w:uiPriority w:val="0"/>
  </w:style>
  <w:style w:type="table" w:customStyle="1" w:styleId="22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3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4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5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6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7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8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9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character" w:customStyle="1" w:styleId="32">
    <w:name w:val="批注文字 字符"/>
    <w:basedOn w:val="17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paragraph" w:customStyle="1" w:styleId="33">
    <w:name w:val="列表段落1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4">
    <w:name w:val="页眉 字符"/>
    <w:basedOn w:val="17"/>
    <w:link w:val="10"/>
    <w:autoRedefine/>
    <w:qFormat/>
    <w:uiPriority w:val="99"/>
    <w:rPr>
      <w:rFonts w:ascii="宋体" w:hAnsi="宋体" w:cs="宋体"/>
      <w:sz w:val="18"/>
      <w:szCs w:val="22"/>
      <w:lang w:eastAsia="en-US"/>
    </w:rPr>
  </w:style>
  <w:style w:type="character" w:customStyle="1" w:styleId="35">
    <w:name w:val="页脚 字符"/>
    <w:basedOn w:val="17"/>
    <w:link w:val="9"/>
    <w:autoRedefine/>
    <w:qFormat/>
    <w:uiPriority w:val="99"/>
    <w:rPr>
      <w:rFonts w:ascii="宋体" w:hAnsi="宋体" w:cs="宋体"/>
      <w:sz w:val="18"/>
      <w:szCs w:val="18"/>
      <w:lang w:eastAsia="en-US"/>
    </w:rPr>
  </w:style>
  <w:style w:type="character" w:customStyle="1" w:styleId="36">
    <w:name w:val="正文文本 字符"/>
    <w:basedOn w:val="17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7">
    <w:name w:val="修订1"/>
    <w:autoRedefine/>
    <w:hidden/>
    <w:semiHidden/>
    <w:qFormat/>
    <w:uiPriority w:val="99"/>
    <w:rPr>
      <w:rFonts w:ascii="宋体" w:hAnsi="宋体" w:eastAsia="宋体" w:cs="宋体"/>
      <w:sz w:val="22"/>
      <w:szCs w:val="22"/>
      <w:lang w:val="en-US" w:eastAsia="en-US" w:bidi="ar-SA"/>
    </w:rPr>
  </w:style>
  <w:style w:type="character" w:customStyle="1" w:styleId="38">
    <w:name w:val="批注框文本 字符"/>
    <w:basedOn w:val="17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9">
    <w:name w:val="批注主题 字符"/>
    <w:basedOn w:val="32"/>
    <w:link w:val="14"/>
    <w:autoRedefine/>
    <w:qFormat/>
    <w:uiPriority w:val="0"/>
    <w:rPr>
      <w:rFonts w:ascii="宋体" w:hAnsi="宋体" w:cs="宋体"/>
      <w:b/>
      <w:bCs/>
      <w:sz w:val="22"/>
      <w:szCs w:val="22"/>
      <w:lang w:eastAsia="en-US"/>
    </w:rPr>
  </w:style>
  <w:style w:type="paragraph" w:customStyle="1" w:styleId="40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2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21D6B95-98C6-4115-8E92-0A7921C199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3988</Words>
  <Characters>22737</Characters>
  <Lines>189</Lines>
  <Paragraphs>53</Paragraphs>
  <TotalTime>5</TotalTime>
  <ScaleCrop>false</ScaleCrop>
  <LinksUpToDate>false</LinksUpToDate>
  <CharactersWithSpaces>26672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2020-06-30T08:38:00Z</dcterms:created>
  <dc:creator>86131</dc:creator>
  <cp:lastModifiedBy>刘文娣</cp:lastModifiedBy>
  <dcterms:modified xsi:type="dcterms:W3CDTF">2024-01-04T07:50:27Z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E9AE34A3C5764E9B8892D1D5314A44B3_13</vt:lpwstr>
  </property>
  <property fmtid="{D5CDD505-2E9C-101B-9397-08002B2CF9AE}" pid="4" name="commondata">
    <vt:lpwstr>eyJoZGlkIjoiNzhjODRmNWJhZTVkNTI1OGI2YWZlNjVkNDIwMWYwMDkifQ==</vt:lpwstr>
  </property>
</Properties>
</file>