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Times New Roman" w:hAnsi="Times New Roman" w:eastAsia="微软雅黑" w:cs="微软雅黑"/>
          <w:b/>
          <w:bCs/>
          <w:sz w:val="40"/>
          <w:szCs w:val="4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178435</wp:posOffset>
                </wp:positionH>
                <wp:positionV relativeFrom="paragraph">
                  <wp:posOffset>2863850</wp:posOffset>
                </wp:positionV>
                <wp:extent cx="6065520" cy="131318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5520" cy="1313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auto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EGFR T790M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基因检测报告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05pt;margin-top:225.5pt;height:103.4pt;width:477.6pt;z-index:251661312;mso-width-relative:page;mso-height-relative:page;" filled="f" stroked="f" coordsize="21600,21600" o:gfxdata="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9c4Od9sAAAAKAQAADwAAAAAAAAABACAAAAAiAAAA&#10;ZHJzL2Rvd25yZXYueG1sUEsBAhQAFAAAAAgAh07iQFGEw9w9AgAAaQ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24"/>
                          <w:szCs w:val="24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auto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EGFR T790M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基因检测报告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br w:type="page"/>
      </w:r>
    </w:p>
    <w:p>
      <w:pPr>
        <w:tabs>
          <w:tab w:val="left" w:pos="6765"/>
        </w:tabs>
        <w:spacing w:line="168" w:lineRule="auto"/>
        <w:jc w:val="center"/>
        <w:rPr>
          <w:rFonts w:ascii="Times New Roman" w:hAnsi="Times New Roman" w:eastAsia="微软雅黑" w:cs="微软雅黑"/>
          <w:sz w:val="36"/>
          <w:szCs w:val="36"/>
        </w:rPr>
      </w:pP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t>基因检测报告</w:t>
      </w:r>
    </w:p>
    <w:p>
      <w:pPr>
        <w:rPr>
          <w:rFonts w:ascii="Times New Roman" w:hAnsi="Times New Roman" w:eastAsia="微软雅黑" w:cs="微软雅黑"/>
        </w:rPr>
      </w:pP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151130</wp:posOffset>
                </wp:positionV>
                <wp:extent cx="6623685" cy="0"/>
                <wp:effectExtent l="0" t="13970" r="5715" b="1460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1.9pt;height:0pt;width:521.55pt;mso-position-horizontal:center;z-index:251660288;mso-width-relative:page;mso-height-relative:page;" filled="f" stroked="t" coordsize="21600,21600" o:gfxdata="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QsC9M1AAAAAcBAAAP&#10;AAAAAAAAAAEAIAAAACIAAABkcnMvZG93bnJldi54bWxQSwECFAAUAAAACACHTuJASJuHQeMBAACy&#10;AwAADgAAAAAAAAABACAAAAAjAQAAZHJzL2Uyb0RvYy54bWxQSwUGAAAAAAYABgBZAQAAeAUAAAAA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71755</wp:posOffset>
                </wp:positionV>
                <wp:extent cx="6623685" cy="0"/>
                <wp:effectExtent l="0" t="13970" r="5715" b="1460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5.65pt;height:0pt;width:521.55pt;mso-position-horizontal:center;z-index:251659264;mso-width-relative:page;mso-height-relative:page;" filled="f" stroked="t" coordsize="21600,21600" o:gfxdata="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OsNMLTAAAABwEAAA8A&#10;AAAAAAAAAQAgAAAAIgAAAGRycy9kb3ducmV2LnhtbFBLAQIUABQAAAAIAIdO4kCFHYTx4wEAALID&#10;AAAOAAAAAAAAAAEAIAAAACIBAABkcnMvZTJvRG9jLnhtbFBLBQYAAAAABgAGAFkBAAB3BQAAAAA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numPr>
          <w:ilvl w:val="0"/>
          <w:numId w:val="2"/>
        </w:numPr>
        <w:spacing w:after="0" w:line="400" w:lineRule="exact"/>
        <w:rPr>
          <w:rFonts w:ascii="Times New Roman" w:hAnsi="Times New Roman" w:eastAsia="微软雅黑" w:cs="微软雅黑"/>
          <w:b/>
          <w:bCs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bCs/>
          <w:sz w:val="28"/>
          <w:szCs w:val="28"/>
        </w:rPr>
        <w:t>患者信息：</w:t>
      </w:r>
    </w:p>
    <w:tbl>
      <w:tblPr>
        <w:tblStyle w:val="6"/>
        <w:tblW w:w="4850" w:type="pct"/>
        <w:tblInd w:w="159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2"/>
        <w:gridCol w:w="3489"/>
        <w:gridCol w:w="3481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姓名：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client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送检医院：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hospital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样本条码：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性别：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sex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送检科室：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locationname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样本编号：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年龄：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age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送检医生：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doctorname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门诊/住院号：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room }}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联系电话：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patient_phone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标本类型：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  <w:lang w:eastAsia="zh-CN"/>
              </w:rPr>
              <w:t>{{ specimentype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commission_date }}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临床诊断：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diseaseName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订单编号：</w:t>
            </w:r>
            <w:bookmarkStart w:id="0" w:name="OLE_LINK4"/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-</w:t>
            </w:r>
            <w:bookmarkEnd w:id="0"/>
            <w:bookmarkStart w:id="10" w:name="_GoBack"/>
            <w:bookmarkEnd w:id="10"/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接收时间：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receiveddate }}</w:t>
            </w:r>
          </w:p>
        </w:tc>
      </w:tr>
    </w:tbl>
    <w:p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检测项目：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EGFR T790M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 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基因检测</w:t>
      </w:r>
    </w:p>
    <w:p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  <w:lang w:val="en-US" w:eastAsia="zh-CN"/>
        </w:rPr>
        <w:t>检测方法：</w:t>
      </w:r>
      <w:r>
        <w:rPr>
          <w:rFonts w:hint="eastAsia" w:ascii="Times New Roman" w:hAnsi="Times New Roman" w:eastAsia="微软雅黑" w:cs="微软雅黑"/>
          <w:b w:val="0"/>
          <w:bCs/>
          <w:sz w:val="28"/>
          <w:szCs w:val="28"/>
          <w:lang w:val="en-US" w:eastAsia="zh-CN"/>
        </w:rPr>
        <w:t>PCR测序法</w:t>
      </w:r>
    </w:p>
    <w:p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质量控制：</w:t>
      </w:r>
    </w:p>
    <w:tbl>
      <w:tblPr>
        <w:tblStyle w:val="6"/>
        <w:tblW w:w="4975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62"/>
        <w:gridCol w:w="831"/>
        <w:gridCol w:w="1727"/>
        <w:gridCol w:w="838"/>
        <w:gridCol w:w="175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95" w:hRule="atLeast"/>
        </w:trPr>
        <w:tc>
          <w:tcPr>
            <w:tcW w:w="1633" w:type="pct"/>
            <w:vAlign w:val="center"/>
          </w:tcPr>
          <w:p>
            <w:pPr>
              <w:widowControl w:val="0"/>
              <w:spacing w:before="1" w:after="0"/>
              <w:ind w:left="3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微软雅黑" w:cs="微软雅黑"/>
                <w:bCs/>
                <w:sz w:val="28"/>
                <w:szCs w:val="28"/>
              </w:rPr>
              <w:t>核酸</w:t>
            </w:r>
            <w:r>
              <w:rPr>
                <w:rFonts w:ascii="Times New Roman" w:hAnsi="Times New Roman" w:eastAsia="微软雅黑" w:cs="微软雅黑"/>
                <w:bCs/>
                <w:sz w:val="28"/>
                <w:szCs w:val="28"/>
                <w:lang w:eastAsia="en-US"/>
              </w:rPr>
              <w:t>提取与质量控制</w:t>
            </w:r>
          </w:p>
        </w:tc>
        <w:tc>
          <w:tcPr>
            <w:tcW w:w="258" w:type="pct"/>
            <w:vAlign w:val="center"/>
          </w:tcPr>
          <w:p>
            <w:pPr>
              <w:widowControl w:val="0"/>
              <w:spacing w:after="0" w:line="303" w:lineRule="exact"/>
              <w:ind w:left="102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☑</w:t>
            </w:r>
          </w:p>
        </w:tc>
        <w:tc>
          <w:tcPr>
            <w:tcW w:w="536" w:type="pct"/>
            <w:vAlign w:val="center"/>
          </w:tcPr>
          <w:p>
            <w:pPr>
              <w:widowControl w:val="0"/>
              <w:spacing w:before="1" w:after="0"/>
              <w:ind w:right="207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通过</w:t>
            </w:r>
          </w:p>
        </w:tc>
        <w:tc>
          <w:tcPr>
            <w:tcW w:w="260" w:type="pct"/>
            <w:vAlign w:val="center"/>
          </w:tcPr>
          <w:p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□</w:t>
            </w:r>
          </w:p>
        </w:tc>
        <w:tc>
          <w:tcPr>
            <w:tcW w:w="545" w:type="pct"/>
            <w:vAlign w:val="center"/>
          </w:tcPr>
          <w:p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不通过</w:t>
            </w:r>
          </w:p>
        </w:tc>
      </w:tr>
    </w:tbl>
    <w:p>
      <w:pPr>
        <w:numPr>
          <w:ilvl w:val="0"/>
          <w:numId w:val="4"/>
        </w:numPr>
        <w:snapToGrid w:val="0"/>
        <w:spacing w:after="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检测结果：</w:t>
      </w:r>
    </w:p>
    <w:p>
      <w:pPr>
        <w:adjustRightInd w:val="0"/>
        <w:snapToGrid w:val="0"/>
        <w:spacing w:after="12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{%if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==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‘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未检测到下列突变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’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%}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{{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 detectionMutationStr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 xml:space="preserve"> }}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{%else%}{{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}}{%endif%}</w:t>
      </w:r>
    </w:p>
    <w:tbl>
      <w:tblPr>
        <w:tblStyle w:val="6"/>
        <w:tblpPr w:leftFromText="181" w:rightFromText="181" w:vertAnchor="page" w:horzAnchor="page" w:tblpXSpec="center" w:tblpY="15875"/>
        <w:tblW w:w="485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4"/>
        <w:gridCol w:w="1444"/>
        <w:gridCol w:w="1444"/>
        <w:gridCol w:w="1802"/>
        <w:gridCol w:w="1469"/>
        <w:gridCol w:w="2549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2" w:hRule="atLeast"/>
          <w:jc w:val="center"/>
        </w:trPr>
        <w:tc>
          <w:tcPr>
            <w:tcW w:w="711" w:type="pct"/>
            <w:vAlign w:val="center"/>
          </w:tcPr>
          <w:p>
            <w:pPr>
              <w:pStyle w:val="11"/>
              <w:adjustRightInd w:val="0"/>
              <w:snapToGrid w:val="0"/>
              <w:spacing w:after="0" w:line="240" w:lineRule="auto"/>
              <w:ind w:left="13" w:right="9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  <w:t>检测人：</w:t>
            </w:r>
          </w:p>
        </w:tc>
        <w:tc>
          <w:tcPr>
            <w:tcW w:w="711" w:type="pct"/>
            <w:vAlign w:val="center"/>
          </w:tcPr>
          <w:p>
            <w:pPr>
              <w:pStyle w:val="11"/>
              <w:adjustRightInd w:val="0"/>
              <w:snapToGrid w:val="0"/>
              <w:spacing w:after="0" w:line="240" w:lineRule="auto"/>
              <w:ind w:left="13" w:right="95" w:firstLine="482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</w:p>
        </w:tc>
        <w:tc>
          <w:tcPr>
            <w:tcW w:w="711" w:type="pct"/>
            <w:vAlign w:val="center"/>
          </w:tcPr>
          <w:p>
            <w:pPr>
              <w:pStyle w:val="11"/>
              <w:adjustRightInd w:val="0"/>
              <w:snapToGrid w:val="0"/>
              <w:spacing w:after="0" w:line="240" w:lineRule="auto"/>
              <w:ind w:left="13" w:right="9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  <w:t>复核人</w:t>
            </w: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：</w:t>
            </w:r>
          </w:p>
        </w:tc>
        <w:tc>
          <w:tcPr>
            <w:tcW w:w="887" w:type="pct"/>
            <w:vAlign w:val="center"/>
          </w:tcPr>
          <w:p>
            <w:pPr>
              <w:pStyle w:val="11"/>
              <w:adjustRightInd w:val="0"/>
              <w:snapToGrid w:val="0"/>
              <w:spacing w:after="0" w:line="240" w:lineRule="auto"/>
              <w:ind w:firstLine="562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</w:p>
        </w:tc>
        <w:tc>
          <w:tcPr>
            <w:tcW w:w="723" w:type="pct"/>
            <w:vAlign w:val="center"/>
          </w:tcPr>
          <w:p>
            <w:pPr>
              <w:pStyle w:val="11"/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报告日期：</w:t>
            </w:r>
          </w:p>
        </w:tc>
        <w:tc>
          <w:tcPr>
            <w:tcW w:w="1254" w:type="pct"/>
            <w:vAlign w:val="center"/>
          </w:tcPr>
          <w:p>
            <w:pPr>
              <w:pStyle w:val="11"/>
              <w:adjustRightInd w:val="0"/>
              <w:snapToGrid w:val="0"/>
              <w:spacing w:after="0" w:line="240" w:lineRule="auto"/>
              <w:ind w:right="15" w:firstLine="562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{{reportdate}}</w:t>
            </w:r>
          </w:p>
        </w:tc>
      </w:tr>
    </w:tbl>
    <w:tbl>
      <w:tblPr>
        <w:tblStyle w:val="7"/>
        <w:tblW w:w="485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1"/>
        <w:gridCol w:w="2261"/>
        <w:gridCol w:w="64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基因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变异类型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检测结果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T790M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T790M”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</w:tbl>
    <w:p>
      <w:pPr>
        <w:rPr>
          <w:rFonts w:ascii="Times New Roman" w:hAnsi="Times New Roman" w:eastAsia="微软雅黑" w:cs="微软雅黑"/>
          <w:sz w:val="24"/>
        </w:rPr>
      </w:pPr>
      <w:r>
        <w:rPr>
          <w:rFonts w:ascii="Times New Roman" w:hAnsi="Times New Roman" w:eastAsia="微软雅黑" w:cs="微软雅黑"/>
          <w:sz w:val="24"/>
        </w:rPr>
        <w:br w:type="page"/>
      </w:r>
    </w:p>
    <w:p>
      <w:pPr>
        <w:pStyle w:val="2"/>
        <w:widowControl w:val="0"/>
        <w:numPr>
          <w:ilvl w:val="-1"/>
          <w:numId w:val="0"/>
        </w:numPr>
        <w:spacing w:after="0" w:line="240" w:lineRule="auto"/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" w:name="_Toc12505"/>
      <w:bookmarkStart w:id="2" w:name="_Toc1707_WPSOffice_Level1"/>
      <w:bookmarkStart w:id="3" w:name="_Toc28240"/>
      <w:bookmarkStart w:id="4" w:name="_Toc2409"/>
      <w:bookmarkStart w:id="5" w:name="_Toc21764_WPSOffice_Level1"/>
      <w:bookmarkStart w:id="6" w:name="_Toc22658"/>
      <w:bookmarkStart w:id="7" w:name="_Toc27302"/>
      <w:bookmarkStart w:id="8" w:name="_Toc13196_WPSOffice_Level1"/>
      <w:bookmarkStart w:id="9" w:name="_Toc16594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>
      <w:pPr>
        <w:keepNext/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基因说明：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EGFR是原癌基因c-ERBB1的表达产物，是表皮生长因子受体（EGFR）家族的跨膜受体酪氨酸激酶之一。该蛋白由胞外的结合区、跨膜区及胞内区（包含酪氨酸激酶结构域）组成，通过与多种表皮生长因子结合，其自身发生二聚化并磷酸化，进而引发细胞内信号通路，影响细胞增殖等生物学过程。与EGFR相关的疾病包括肺癌、头颈部实体瘤、鳞状细胞癌、结直肠癌、鼻咽癌等。</w:t>
      </w:r>
    </w:p>
    <w:p>
      <w:pPr>
        <w:keepNext/>
        <w:spacing w:before="26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信号通路说明：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EGFR与配体结合后可引起PI3K-AKT-mTOR或RAS-RAF-MEK-ERK等信号通路活化，增强细胞活性并促进细胞增殖。</w:t>
      </w:r>
    </w:p>
    <w:p>
      <w:pPr>
        <w:spacing w:line="400" w:lineRule="exact"/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突变说明：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蛋白序列中第790位氨基酸苏氨酸（T）被氨基酸甲硫氨酸(M)替代。EGFR T790M位于EGFR蛋白激酶域ATP结合域内[PMID: 20026433]。T790M导致EGFR激酶活性增加，在培养中转化[PMID: 30952700]，T790M是经常发生的继发性体细胞突变，对可逆的EGFR激酶抑制剂产生耐药性[PMID: 17671201; PMID: 18227510; PMID: 20026433]。</w:t>
      </w:r>
    </w:p>
    <w:p>
      <w:pPr>
        <w:keepNext/>
        <w:spacing w:before="26" w:after="120" w:afterLines="50"/>
        <w:rPr>
          <w:rFonts w:ascii="Times New Roman" w:hAnsi="Times New Roman" w:eastAsia="微软雅黑" w:cs="Times New Roman"/>
          <w:b/>
          <w:color w:val="45A3A7"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潜在受益药物研究信息：</w:t>
      </w:r>
    </w:p>
    <w:p>
      <w:pPr>
        <w:bidi w:val="0"/>
        <w:ind w:firstLine="311" w:firstLineChars="0"/>
        <w:jc w:val="left"/>
        <w:rPr>
          <w:rFonts w:hint="eastAsia" w:ascii="Times New Roman" w:hAnsi="Times New Roman" w:eastAsia="微软雅黑" w:cs="Times New Roman"/>
          <w:sz w:val="18"/>
          <w:szCs w:val="18"/>
          <w:lang w:eastAsia="zh-Hans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EGFR T790M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>对</w:t>
      </w: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EGFR TKIs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>产生耐药性，但</w:t>
      </w: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EGFR T790M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>对</w:t>
      </w: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EGFR TKIs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>（奥希替尼</w:t>
      </w: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[PMID: 29151359]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>、阿美替尼</w:t>
      </w: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[PMID: 32916310]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>、伏美替尼</w:t>
      </w: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[J Clin Oncol. 2020; 38(suppl 15): abstr 9602]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>）敏感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Hans" w:bidi="ar"/>
        </w:rPr>
        <w:t>。</w:t>
      </w:r>
    </w:p>
    <w:p>
      <w:pPr>
        <w:bidi w:val="0"/>
        <w:ind w:firstLine="311" w:firstLineChars="0"/>
        <w:jc w:val="left"/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eastAsia="zh-CN"/>
        </w:rPr>
        <w:t>FDA批准</w:t>
      </w:r>
      <w:r>
        <w:rPr>
          <w:rFonts w:ascii="Times New Roman" w:hAnsi="Times New Roman" w:eastAsia="微软雅黑" w:cs="Times New Roman"/>
          <w:b w:val="0"/>
          <w:bCs w:val="0"/>
          <w:sz w:val="18"/>
          <w:szCs w:val="18"/>
        </w:rPr>
        <w:t>奥希替尼</w:t>
      </w: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val="en-US" w:eastAsia="zh-Hans"/>
        </w:rPr>
        <w:t>用于</w:t>
      </w: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eastAsia="zh-CN"/>
        </w:rPr>
        <w:t>治疗转移性EGFR T790M突变阳性非小细胞肺癌，其疾病在EGFR TKI治疗中或治疗后进展；NMPA批准</w:t>
      </w:r>
      <w:r>
        <w:rPr>
          <w:rFonts w:ascii="Times New Roman" w:hAnsi="Times New Roman" w:eastAsia="微软雅黑" w:cs="Times New Roman"/>
          <w:b w:val="0"/>
          <w:bCs w:val="0"/>
          <w:sz w:val="18"/>
          <w:szCs w:val="18"/>
        </w:rPr>
        <w:t>奥希替尼</w:t>
      </w: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eastAsia="zh-CN"/>
        </w:rPr>
        <w:t>既往经表皮生长因子受体（EGFR）酪氨酸激酶抑制剂（TKI）治疗时或治疗后出现疾病进展，并且经检测确认存在EGFR T790M突变阳性的局部晚期或转移性非小细胞性肺癌（NSCLC）成人患者的治疗。</w:t>
      </w:r>
    </w:p>
    <w:p>
      <w:pPr>
        <w:bidi w:val="0"/>
        <w:ind w:firstLine="311" w:firstLineChars="0"/>
        <w:jc w:val="left"/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eastAsia="zh-CN"/>
        </w:rPr>
        <w:t>NMPA批准</w:t>
      </w: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val="en-US" w:eastAsia="zh-Hans"/>
        </w:rPr>
        <w:t>阿美替尼</w:t>
      </w: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eastAsia="zh-CN"/>
        </w:rPr>
        <w:t>用于治疗既往经表皮生长因子受体（EGFR）酪氨酸激酶抑制剂（TKI）治疗进展，且T790M突变阳性的局部晚期或转移性非小细胞肺癌（NSCLC）成人患者。</w:t>
      </w:r>
    </w:p>
    <w:p>
      <w:pPr>
        <w:bidi w:val="0"/>
        <w:ind w:firstLine="311" w:firstLineChars="0"/>
        <w:jc w:val="left"/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val="en-US" w:eastAsia="zh-Hans"/>
        </w:rPr>
      </w:pP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eastAsia="zh-CN"/>
        </w:rPr>
        <w:t>NMPA批准</w:t>
      </w: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val="en-US" w:eastAsia="zh-Hans"/>
        </w:rPr>
        <w:t>伏美替尼用于</w:t>
      </w:r>
      <w:r>
        <w:rPr>
          <w:rFonts w:hint="eastAsia" w:ascii="Times New Roman" w:hAnsi="Times New Roman" w:eastAsia="微软雅黑" w:cs="Times New Roman"/>
          <w:b w:val="0"/>
          <w:bCs w:val="0"/>
          <w:sz w:val="18"/>
          <w:szCs w:val="18"/>
          <w:lang w:eastAsia="zh-CN"/>
        </w:rPr>
        <w:t>既往经表皮生长因子受体（EGFR）酪氨酸激酶抑制剂（TKI）治疗时或治疗后出现疾病进展，并且经检测确认存在EGFR T790M突变阳性的局部晚期或转移性非小细胞性肺癌（NSCLC）成人患者的治疗。</w:t>
      </w:r>
    </w:p>
    <w:p>
      <w:pPr>
        <w:spacing w:line="400" w:lineRule="exact"/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潜在耐药研究信息：</w:t>
      </w:r>
    </w:p>
    <w:p>
      <w:pPr>
        <w:bidi w:val="0"/>
        <w:ind w:firstLine="311" w:firstLineChars="0"/>
        <w:jc w:val="left"/>
        <w:rPr>
          <w:rFonts w:ascii="Times New Roman" w:hAnsi="Times New Roman" w:eastAsia="微软雅黑" w:cs="微软雅黑"/>
          <w:sz w:val="24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>NCCN指南指出，EGFR T790M与EGFR TKI获得性耐药相关[NCCN_Non-Small Cell Lung Cancer_2021_V5]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Hans" w:bidi="ar"/>
        </w:rPr>
        <w:t>，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Hans" w:bidi="ar"/>
        </w:rPr>
        <w:t>在非小细胞肺癌中耐药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Hans"/>
        </w:rPr>
        <w:t>相关药物包含：吉非替尼、厄洛替尼、阿法替尼、埃克替尼、达可替尼。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abstractNum w:abstractNumId="0">
    <w:nsid w:val="F525DE06"/>
    <w:multiLevelType w:val="singleLevel"/>
    <w:tmpl w:val="F525DE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B1E1FC0"/>
    <w:multiLevelType w:val="singleLevel"/>
    <w:tmpl w:val="1B1E1F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746B1D0F"/>
    <w:multiLevelType w:val="singleLevel"/>
    <w:tmpl w:val="746B1D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JiODM3NTU1M2JmN2U3ZjM1ZmQ2ZTBjMGQ2YzYyMjUifQ=="/>
  </w:docVars>
  <w:rsids>
    <w:rsidRoot w:val="006A0900"/>
    <w:rsid w:val="000C76BE"/>
    <w:rsid w:val="000E07BA"/>
    <w:rsid w:val="00121F61"/>
    <w:rsid w:val="001B6CCA"/>
    <w:rsid w:val="001B7259"/>
    <w:rsid w:val="002548E7"/>
    <w:rsid w:val="005910F5"/>
    <w:rsid w:val="005B2194"/>
    <w:rsid w:val="005D26F8"/>
    <w:rsid w:val="00697038"/>
    <w:rsid w:val="006A0900"/>
    <w:rsid w:val="006B302B"/>
    <w:rsid w:val="006D792A"/>
    <w:rsid w:val="007D3F98"/>
    <w:rsid w:val="008F3D57"/>
    <w:rsid w:val="009D6FE4"/>
    <w:rsid w:val="00A63159"/>
    <w:rsid w:val="00AA7B4D"/>
    <w:rsid w:val="00C12EE8"/>
    <w:rsid w:val="00C23AEC"/>
    <w:rsid w:val="00CE64CB"/>
    <w:rsid w:val="00D478F9"/>
    <w:rsid w:val="00DC58A1"/>
    <w:rsid w:val="00DD295E"/>
    <w:rsid w:val="00DD7CF6"/>
    <w:rsid w:val="00E163C0"/>
    <w:rsid w:val="00F326FE"/>
    <w:rsid w:val="00F73E15"/>
    <w:rsid w:val="00FB52A6"/>
    <w:rsid w:val="01E3453D"/>
    <w:rsid w:val="04103784"/>
    <w:rsid w:val="097A0A0D"/>
    <w:rsid w:val="10DB3DCF"/>
    <w:rsid w:val="1CCB2491"/>
    <w:rsid w:val="204A1E0F"/>
    <w:rsid w:val="22806D29"/>
    <w:rsid w:val="2CA434C2"/>
    <w:rsid w:val="2CBA6E83"/>
    <w:rsid w:val="2D111678"/>
    <w:rsid w:val="36F640BD"/>
    <w:rsid w:val="3A492CAA"/>
    <w:rsid w:val="3AC2740B"/>
    <w:rsid w:val="48EF09A8"/>
    <w:rsid w:val="49A80879"/>
    <w:rsid w:val="4D571467"/>
    <w:rsid w:val="507B51AA"/>
    <w:rsid w:val="51E50A2A"/>
    <w:rsid w:val="616A0F43"/>
    <w:rsid w:val="6B981AF3"/>
    <w:rsid w:val="76975A05"/>
    <w:rsid w:val="77745038"/>
    <w:rsid w:val="7AE43FAA"/>
    <w:rsid w:val="7C3E2C81"/>
    <w:rsid w:val="7DAE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next w:val="1"/>
    <w:qFormat/>
    <w:uiPriority w:val="1"/>
    <w:pPr>
      <w:numPr>
        <w:ilvl w:val="0"/>
        <w:numId w:val="1"/>
      </w:numPr>
      <w:spacing w:after="160" w:line="259" w:lineRule="auto"/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页眉 Char"/>
    <w:basedOn w:val="8"/>
    <w:link w:val="4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3"/>
    <w:qFormat/>
    <w:uiPriority w:val="99"/>
    <w:rPr>
      <w:sz w:val="18"/>
      <w:szCs w:val="18"/>
    </w:rPr>
  </w:style>
  <w:style w:type="paragraph" w:customStyle="1" w:styleId="11">
    <w:name w:val="Table Paragraph"/>
    <w:basedOn w:val="1"/>
    <w:qFormat/>
    <w:uiPriority w:val="0"/>
    <w:pPr>
      <w:widowControl w:val="0"/>
    </w:pPr>
    <w:rPr>
      <w:rFonts w:ascii="Calibri" w:hAnsi="Calibri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953</Words>
  <Characters>1575</Characters>
  <Lines>4</Lines>
  <Paragraphs>1</Paragraphs>
  <TotalTime>0</TotalTime>
  <ScaleCrop>false</ScaleCrop>
  <LinksUpToDate>false</LinksUpToDate>
  <CharactersWithSpaces>1646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2017-07-31T01:48:00Z</dcterms:created>
  <dc:creator>慧</dc:creator>
  <cp:lastModifiedBy>刘文娣</cp:lastModifiedBy>
  <dcterms:modified xsi:type="dcterms:W3CDTF">2023-11-21T02:06:26Z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7BC86363A4F141CA95D74975BC6233F6</vt:lpwstr>
  </property>
</Properties>
</file>