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40F8D">
      <w:pPr>
        <w:rPr>
          <w:sz w:val="20"/>
        </w:rPr>
      </w:pPr>
    </w:p>
    <w:p w14:paraId="1E510D15">
      <w:pPr>
        <w:rPr>
          <w:sz w:val="20"/>
        </w:rPr>
      </w:pPr>
    </w:p>
    <w:p w14:paraId="28F719A7">
      <w:pPr>
        <w:rPr>
          <w:sz w:val="20"/>
        </w:rPr>
      </w:pPr>
    </w:p>
    <w:p w14:paraId="1C1C381A">
      <w:pPr>
        <w:ind w:left="420" w:firstLine="420"/>
        <w:rPr>
          <w:sz w:val="20"/>
          <w:lang w:eastAsia="zh-CN"/>
        </w:rPr>
      </w:pPr>
      <w:r>
        <w:rPr>
          <w:rFonts w:hint="eastAsia" w:ascii="微软雅黑" w:hAnsi="微软雅黑" w:eastAsia="微软雅黑" w:cs="微软雅黑"/>
          <w:color w:val="002060"/>
          <w:sz w:val="96"/>
          <w:szCs w:val="96"/>
          <w:lang w:eastAsia="zh-CN" w:bidi="ar"/>
        </w:rPr>
        <w:t>肿瘤个体化用药</w:t>
      </w:r>
    </w:p>
    <w:p w14:paraId="01225B0F">
      <w:pPr>
        <w:rPr>
          <w:sz w:val="20"/>
          <w:lang w:eastAsia="zh-CN"/>
        </w:rPr>
      </w:pPr>
    </w:p>
    <w:p w14:paraId="280CDBA1">
      <w:pPr>
        <w:rPr>
          <w:sz w:val="20"/>
          <w:lang w:eastAsia="zh-CN"/>
        </w:rPr>
      </w:pPr>
    </w:p>
    <w:p w14:paraId="3F7DB447">
      <w:pPr>
        <w:ind w:left="420" w:firstLine="420"/>
        <w:rPr>
          <w:rFonts w:ascii="微软雅黑" w:hAnsi="微软雅黑" w:eastAsia="微软雅黑" w:cs="微软雅黑"/>
          <w:sz w:val="32"/>
          <w:szCs w:val="32"/>
          <w:lang w:eastAsia="zh-CN"/>
        </w:rPr>
      </w:pPr>
      <w:r>
        <w:rPr>
          <w:rFonts w:hint="default" w:ascii="微软雅黑" w:hAnsi="微软雅黑" w:eastAsia="微软雅黑" w:cs="微软雅黑"/>
          <w:color w:val="404040" w:themeColor="text1" w:themeTint="BF"/>
          <w:sz w:val="36"/>
          <w:szCs w:val="36"/>
          <w:highlight w:val="none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HER</w:t>
      </w:r>
      <w:r>
        <w:rPr>
          <w:rFonts w:hint="eastAsia" w:ascii="微软雅黑" w:hAnsi="微软雅黑" w:eastAsia="微软雅黑" w:cs="微软雅黑"/>
          <w:color w:val="404040" w:themeColor="text1" w:themeTint="BF"/>
          <w:sz w:val="36"/>
          <w:szCs w:val="36"/>
          <w:highlight w:val="none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default" w:ascii="微软雅黑" w:hAnsi="微软雅黑" w:eastAsia="微软雅黑" w:cs="微软雅黑"/>
          <w:color w:val="404040" w:themeColor="text1" w:themeTint="BF"/>
          <w:sz w:val="36"/>
          <w:szCs w:val="36"/>
          <w:highlight w:val="none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扩增</w:t>
      </w:r>
      <w:r>
        <w:rPr>
          <w:rFonts w:ascii="微软雅黑" w:hAnsi="微软雅黑" w:eastAsia="微软雅黑" w:cs="微软雅黑"/>
          <w:color w:val="404040" w:themeColor="text1" w:themeTint="BF"/>
          <w:sz w:val="36"/>
          <w:szCs w:val="36"/>
          <w:highlight w:val="yellow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381000</wp:posOffset>
                </wp:positionV>
                <wp:extent cx="4362450" cy="12065"/>
                <wp:effectExtent l="0" t="4445" r="11430" b="635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2450" cy="120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25pt;margin-top:30pt;height:0.95pt;width:343.5pt;z-index:251667456;mso-width-relative:page;mso-height-relative:page;" filled="f" stroked="t" coordsize="21600,21600" o:gfxdata="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NnAZ12AAAAAgBAAAPAAAAAAAAAAEAIAAAACIAAABk&#10;cnMvZG93bnJldi54bWxQSwECFAAUAAAACACHTuJAKlrSAwYCAAD6AwAADgAAAAAAAAABACAAAAAn&#10;AQAAZHJzL2Uyb0RvYy54bWxQSwUGAAAAAAYABgBZAQAAnwUAAAAA&#10;">
                <v:fill on="f" focussize="0,0"/>
                <v:stroke weight="0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84FBADE">
      <w:pPr>
        <w:pStyle w:val="6"/>
        <w:spacing w:line="240" w:lineRule="atLeast"/>
        <w:ind w:left="420" w:firstLine="420"/>
        <w:rPr>
          <w:rFonts w:ascii="黑体"/>
          <w:sz w:val="48"/>
          <w:lang w:eastAsia="zh-CN"/>
        </w:rPr>
      </w:pPr>
      <w:r>
        <w:rPr>
          <w:sz w:val="20"/>
          <w:lang w:eastAsia="zh-CN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4600575</wp:posOffset>
            </wp:positionH>
            <wp:positionV relativeFrom="page">
              <wp:posOffset>9248140</wp:posOffset>
            </wp:positionV>
            <wp:extent cx="2319020" cy="508000"/>
            <wp:effectExtent l="0" t="0" r="12700" b="10160"/>
            <wp:wrapNone/>
            <wp:docPr id="32" name="图片 3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图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283845</wp:posOffset>
            </wp:positionH>
            <wp:positionV relativeFrom="paragraph">
              <wp:posOffset>3422650</wp:posOffset>
            </wp:positionV>
            <wp:extent cx="7565390" cy="6830060"/>
            <wp:effectExtent l="0" t="0" r="8890" b="12700"/>
            <wp:wrapSquare wrapText="bothSides"/>
            <wp:docPr id="33" name="图片 33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片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002060"/>
          <w:sz w:val="49"/>
          <w:szCs w:val="49"/>
          <w:lang w:eastAsia="zh-CN" w:bidi="ar"/>
        </w:rPr>
        <w:t>基因检测报告</w:t>
      </w:r>
    </w:p>
    <w:p w14:paraId="16BE5588">
      <w:pPr>
        <w:tabs>
          <w:tab w:val="left" w:pos="6082"/>
          <w:tab w:val="left" w:pos="6324"/>
          <w:tab w:val="left" w:pos="9183"/>
        </w:tabs>
        <w:spacing w:before="411" w:line="308" w:lineRule="auto"/>
        <w:ind w:right="2699"/>
        <w:jc w:val="both"/>
        <w:rPr>
          <w:sz w:val="30"/>
          <w:u w:val="single"/>
          <w:lang w:eastAsia="zh-CN"/>
        </w:rPr>
        <w:sectPr>
          <w:pgSz w:w="11910" w:h="16840"/>
          <w:pgMar w:top="1580" w:right="0" w:bottom="280" w:left="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</w:p>
    <w:p w14:paraId="1E33C9C3">
      <w:pPr>
        <w:jc w:val="both"/>
      </w:pPr>
      <w:r>
        <w:rPr>
          <w:rFonts w:ascii="Times New Roman" w:hAnsi="Times New Roman" w:eastAsia="微软雅黑" w:cs="Times New Roman"/>
          <w:lang w:eastAsia="zh-CN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1419225</wp:posOffset>
                </wp:positionH>
                <wp:positionV relativeFrom="page">
                  <wp:posOffset>726440</wp:posOffset>
                </wp:positionV>
                <wp:extent cx="1104900" cy="485775"/>
                <wp:effectExtent l="0" t="0" r="7620" b="1905"/>
                <wp:wrapNone/>
                <wp:docPr id="2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0" cy="485775"/>
                        </a:xfrm>
                        <a:prstGeom prst="rect">
                          <a:avLst/>
                        </a:prstGeom>
                        <a:solidFill>
                          <a:srgbClr val="033F8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2987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111.75pt;margin-top:57.2pt;height:38.25pt;width:87pt;mso-position-vertical-relative:page;z-index:-251650048;mso-width-relative:page;mso-height-relative:page;" fillcolor="#033F86" filled="t" stroked="f" coordsize="21600,21600" o:gfxdata="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N94s39cAAAALAQAA&#10;DwAAAAAAAAABACAAAAAiAAAAZHJzL2Rvd25yZXYueG1sUEsBAhQAFAAAAAgAh07iQJ5Z3EAaAgAA&#10;NQQAAA4AAAAAAAAAAQAgAAAAJg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02987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微软雅黑" w:cs="Times New Roman"/>
          <w:lang w:eastAsia="zh-C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-790575</wp:posOffset>
                </wp:positionH>
                <wp:positionV relativeFrom="page">
                  <wp:posOffset>726440</wp:posOffset>
                </wp:positionV>
                <wp:extent cx="2209800" cy="485775"/>
                <wp:effectExtent l="0" t="0" r="0" b="1905"/>
                <wp:wrapNone/>
                <wp:docPr id="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0" cy="4857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162B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-62.25pt;margin-top:57.2pt;height:38.25pt;width:174pt;mso-position-vertical-relative:page;z-index:-251651072;mso-width-relative:page;mso-height-relative:page;" fillcolor="#E7E6E6" filled="t" stroked="f" coordsize="21600,21600" o:gfxdata="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G9UKx9oAAAAM&#10;AQAADwAAAAAAAAABACAAAAAiAAAAZHJzL2Rvd25yZXYueG1sUEsBAhQAFAAAAAgAh07iQIy8d14a&#10;AgAANAQAAA4AAAAAAAAAAQAgAAAAKQEAAGRycy9lMm9Eb2MueG1sUEsFBgAAAAAGAAYAWQEAALU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9162BD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微软雅黑" w:cs="Times New Roman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-170815</wp:posOffset>
                </wp:positionH>
                <wp:positionV relativeFrom="paragraph">
                  <wp:posOffset>83185</wp:posOffset>
                </wp:positionV>
                <wp:extent cx="1543685" cy="649605"/>
                <wp:effectExtent l="0" t="0" r="0" b="0"/>
                <wp:wrapNone/>
                <wp:docPr id="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27075">
                            <w:pPr>
                              <w:rPr>
                                <w:rFonts w:ascii="微软雅黑" w:hAnsi="微软雅黑" w:eastAsia="微软雅黑" w:cs="微软雅黑"/>
                                <w:color w:val="76717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color w:val="767171"/>
                                <w:sz w:val="48"/>
                                <w:szCs w:val="48"/>
                                <w:lang w:eastAsia="zh-CN"/>
                              </w:rPr>
                              <w:t>Contents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-13.45pt;margin-top:6.55pt;height:51.15pt;width:121.55pt;z-index:251664384;mso-width-relative:page;mso-height-relative:page;" filled="f" stroked="f" coordsize="21600,21600" o:gfxdata="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yQtZo1wAAAAoBAAAPAAAAAAAAAAEAIAAAACIAAABk&#10;cnMvZG93bnJldi54bWxQSwECFAAUAAAACACHTuJAvy20AQcCAAAV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3527075">
                      <w:pPr>
                        <w:rPr>
                          <w:rFonts w:ascii="微软雅黑" w:hAnsi="微软雅黑" w:eastAsia="微软雅黑" w:cs="微软雅黑"/>
                          <w:color w:val="767171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eastAsia="微软雅黑" w:cs="Times New Roman"/>
                          <w:color w:val="767171"/>
                          <w:sz w:val="48"/>
                          <w:szCs w:val="48"/>
                          <w:lang w:eastAsia="zh-CN"/>
                        </w:rPr>
                        <w:t>Contents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微软雅黑" w:cs="Times New Roman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81915</wp:posOffset>
                </wp:positionV>
                <wp:extent cx="1191260" cy="570865"/>
                <wp:effectExtent l="0" t="0" r="0" b="0"/>
                <wp:wrapNone/>
                <wp:docPr id="2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1260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64B0A"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目 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111.6pt;margin-top:6.45pt;height:44.95pt;width:93.8pt;z-index:251663360;mso-width-relative:page;mso-height-relative:page;" filled="f" stroked="f" coordsize="21600,21600" o:gfxdata="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cmz+jdYAAAAKAQAADwAAAAAAAAABACAAAAAiAAAAZHJz&#10;L2Rvd25yZXYueG1sUEsBAhQAFAAAAAgAh07iQCLYtvYGAgAAFQQ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C464B0A">
                      <w:pPr>
                        <w:rPr>
                          <w:rFonts w:ascii="微软雅黑" w:hAnsi="微软雅黑" w:eastAsia="微软雅黑" w:cs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eastAsia="微软雅黑" w:cs="Times New Roman"/>
                          <w:b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目 录</w:t>
                      </w:r>
                    </w:p>
                  </w:txbxContent>
                </v:textbox>
              </v:shape>
            </w:pict>
          </mc:Fallback>
        </mc:AlternateContent>
      </w:r>
    </w:p>
    <w:p w14:paraId="4F032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Style w:val="18"/>
          <w:rFonts w:hint="default" w:ascii="Times New Roman" w:hAnsi="Times New Roman" w:eastAsia="微软雅黑" w:cs="微软雅黑"/>
          <w:b/>
          <w:bCs/>
          <w:color w:val="62B541"/>
          <w:sz w:val="32"/>
          <w:szCs w:val="32"/>
          <w:lang w:val="en-US" w:eastAsia="zh-CN" w:bidi="ar-SA"/>
        </w:rPr>
      </w:sdtEndPr>
      <w:sdtContent>
        <w:p w14:paraId="5F98F10A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u w:val="single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</w:p>
        <w:p w14:paraId="2DC26EBB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instrText xml:space="preserve"> HYPERLINK \l _Toc27202 </w:instrTex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样本信息</w: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ab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instrText xml:space="preserve"> PAGEREF _Toc27202 \h </w:instrTex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1</w: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end"/>
          </w:r>
        </w:p>
        <w:p w14:paraId="6695FD1E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instrText xml:space="preserve"> HYPERLINK \l _Toc27475 </w:instrTex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检测</w:t>
          </w:r>
          <w:r>
            <w:rPr>
              <w:rFonts w:hint="eastAsia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项目</w: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ab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instrText xml:space="preserve"> PAGEREF _Toc27475 \h </w:instrTex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1</w: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end"/>
          </w:r>
        </w:p>
        <w:p w14:paraId="603F778E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instrText xml:space="preserve"> HYPERLINK \l _Toc3942 </w:instrTex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检测图谱</w: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ab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instrText xml:space="preserve"> PAGEREF _Toc3942 \h </w:instrTex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1</w: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end"/>
          </w:r>
        </w:p>
        <w:p w14:paraId="50137ED8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instrText xml:space="preserve"> HYPERLINK \l _Toc21769 </w:instrTex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检测结果</w: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ab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instrText xml:space="preserve"> PAGEREF _Toc21769 \h </w:instrTex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3</w: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end"/>
          </w:r>
        </w:p>
        <w:p w14:paraId="2E9BBA1E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instrText xml:space="preserve"> HYPERLINK \l _Toc14200 </w:instrTex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参考资料</w: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ab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instrText xml:space="preserve"> PAGEREF _Toc14200 \h </w:instrTex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t>5</w:t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微软雅黑" w:cs="Times New Roman"/>
              <w:b/>
              <w:bCs/>
              <w:color w:val="033F86"/>
              <w:sz w:val="28"/>
              <w:szCs w:val="28"/>
              <w:lang w:val="en-US" w:eastAsia="zh-CN" w:bidi="ar-SA"/>
            </w:rPr>
            <w:fldChar w:fldCharType="end"/>
          </w:r>
        </w:p>
        <w:p w14:paraId="1ABA88A1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jc w:val="both"/>
            <w:textAlignment w:val="auto"/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</w:sdtContent>
    </w:sdt>
    <w:p w14:paraId="0337A42E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4397"/>
      <w:bookmarkStart w:id="1" w:name="_Toc21009_WPSOffice_Level1"/>
      <w:bookmarkStart w:id="2" w:name="_Toc13806"/>
      <w:bookmarkStart w:id="3" w:name="_Toc30143_WPSOffice_Level1"/>
      <w:bookmarkStart w:id="4" w:name="_Toc24178_WPSOffice_Level1"/>
      <w:bookmarkStart w:id="5" w:name="_Toc27500"/>
      <w:bookmarkStart w:id="6" w:name="_Toc32054"/>
      <w:bookmarkStart w:id="7" w:name="_Toc21669"/>
    </w:p>
    <w:p w14:paraId="2AC90227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3" w:type="default"/>
          <w:footerReference r:id="rId4" w:type="default"/>
          <w:pgSz w:w="11910" w:h="16840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equalWidth="0" w:num="1">
            <w:col w:w="9870"/>
          </w:cols>
          <w:docGrid w:linePitch="299" w:charSpace="0"/>
        </w:sectPr>
      </w:pPr>
    </w:p>
    <w:tbl>
      <w:tblPr>
        <w:tblStyle w:val="14"/>
        <w:tblpPr w:leftFromText="180" w:rightFromText="180" w:vertAnchor="text" w:horzAnchor="page" w:tblpX="973" w:tblpY="625"/>
        <w:tblW w:w="9870" w:type="dxa"/>
        <w:tblInd w:w="0" w:type="dxa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333B119">
        <w:trPr>
          <w:trHeight w:val="567" w:hRule="atLeast"/>
        </w:trPr>
        <w:tc>
          <w:tcPr>
            <w:tcW w:w="3231" w:type="dxa"/>
            <w:tcBorders>
              <w:top w:val="single" w:color="033F86" w:sz="18" w:space="0"/>
              <w:bottom w:val="dotted" w:color="033F86" w:sz="4" w:space="0"/>
              <w:right w:val="dotted" w:color="033F86" w:sz="4" w:space="0"/>
            </w:tcBorders>
            <w:shd w:val="clear" w:color="auto" w:fill="F2F2F2"/>
            <w:vAlign w:val="center"/>
          </w:tcPr>
          <w:p w14:paraId="787F42CE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033F86" w:sz="18" w:space="0"/>
              <w:left w:val="dotted" w:color="033F86" w:sz="4" w:space="0"/>
              <w:bottom w:val="dotted" w:color="033F86" w:sz="4" w:space="0"/>
              <w:right w:val="dotted" w:color="033F86" w:sz="4" w:space="0"/>
            </w:tcBorders>
            <w:shd w:val="clear" w:color="auto" w:fill="F2F2F2"/>
            <w:vAlign w:val="center"/>
          </w:tcPr>
          <w:p w14:paraId="6B24CEB5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033F86" w:sz="18" w:space="0"/>
              <w:left w:val="dotted" w:color="033F86" w:sz="4" w:space="0"/>
              <w:bottom w:val="dotted" w:color="033F86" w:sz="4" w:space="0"/>
            </w:tcBorders>
            <w:shd w:val="clear" w:color="auto" w:fill="F2F2F2"/>
            <w:vAlign w:val="center"/>
          </w:tcPr>
          <w:p w14:paraId="2C4864A5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D3C84A8">
        <w:trPr>
          <w:trHeight w:val="567" w:hRule="atLeast"/>
        </w:trPr>
        <w:tc>
          <w:tcPr>
            <w:tcW w:w="3231" w:type="dxa"/>
            <w:tcBorders>
              <w:top w:val="dotted" w:color="033F86" w:sz="4" w:space="0"/>
              <w:bottom w:val="dotted" w:color="033F86" w:sz="4" w:space="0"/>
              <w:right w:val="dotted" w:color="033F86" w:sz="4" w:space="0"/>
            </w:tcBorders>
            <w:shd w:val="clear" w:color="auto" w:fill="F2F2F2"/>
            <w:vAlign w:val="center"/>
          </w:tcPr>
          <w:p w14:paraId="17DEC365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op w:val="dotted" w:color="033F86" w:sz="4" w:space="0"/>
              <w:left w:val="dotted" w:color="033F86" w:sz="4" w:space="0"/>
              <w:bottom w:val="dotted" w:color="033F86" w:sz="4" w:space="0"/>
              <w:right w:val="dotted" w:color="033F86" w:sz="4" w:space="0"/>
            </w:tcBorders>
            <w:shd w:val="clear" w:color="auto" w:fill="F2F2F2"/>
            <w:vAlign w:val="center"/>
          </w:tcPr>
          <w:p w14:paraId="5D9EA5DB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op w:val="dotted" w:color="033F86" w:sz="4" w:space="0"/>
              <w:left w:val="dotted" w:color="033F86" w:sz="4" w:space="0"/>
              <w:bottom w:val="dotted" w:color="033F86" w:sz="4" w:space="0"/>
            </w:tcBorders>
            <w:shd w:val="clear" w:color="auto" w:fill="F2F2F2"/>
            <w:vAlign w:val="center"/>
          </w:tcPr>
          <w:p w14:paraId="3873FF68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219BE2E">
        <w:trPr>
          <w:trHeight w:val="567" w:hRule="atLeast"/>
        </w:trPr>
        <w:tc>
          <w:tcPr>
            <w:tcW w:w="3231" w:type="dxa"/>
            <w:tcBorders>
              <w:top w:val="dotted" w:color="033F86" w:sz="4" w:space="0"/>
              <w:bottom w:val="dotted" w:color="033F86" w:sz="4" w:space="0"/>
              <w:right w:val="dotted" w:color="033F86" w:sz="4" w:space="0"/>
            </w:tcBorders>
            <w:shd w:val="clear" w:color="auto" w:fill="F2F2F2"/>
            <w:vAlign w:val="center"/>
          </w:tcPr>
          <w:p w14:paraId="6CCA4E51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op w:val="dotted" w:color="033F86" w:sz="4" w:space="0"/>
              <w:left w:val="dotted" w:color="033F86" w:sz="4" w:space="0"/>
              <w:bottom w:val="dotted" w:color="033F86" w:sz="4" w:space="0"/>
              <w:right w:val="dotted" w:color="033F86" w:sz="4" w:space="0"/>
            </w:tcBorders>
            <w:shd w:val="clear" w:color="auto" w:fill="F2F2F2"/>
            <w:vAlign w:val="center"/>
          </w:tcPr>
          <w:p w14:paraId="616660BD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op w:val="dotted" w:color="033F86" w:sz="4" w:space="0"/>
              <w:left w:val="dotted" w:color="033F86" w:sz="4" w:space="0"/>
              <w:bottom w:val="dotted" w:color="033F86" w:sz="4" w:space="0"/>
            </w:tcBorders>
            <w:shd w:val="clear" w:color="auto" w:fill="F2F2F2"/>
            <w:vAlign w:val="center"/>
          </w:tcPr>
          <w:p w14:paraId="6FC6F0C4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282D90F4">
        <w:trPr>
          <w:trHeight w:val="567" w:hRule="atLeast"/>
        </w:trPr>
        <w:tc>
          <w:tcPr>
            <w:tcW w:w="3231" w:type="dxa"/>
            <w:tcBorders>
              <w:top w:val="dotted" w:color="033F86" w:sz="4" w:space="0"/>
              <w:bottom w:val="dotted" w:color="033F86" w:sz="4" w:space="0"/>
              <w:right w:val="dotted" w:color="033F86" w:sz="4" w:space="0"/>
            </w:tcBorders>
            <w:shd w:val="clear" w:color="auto" w:fill="F2F2F2"/>
            <w:vAlign w:val="center"/>
          </w:tcPr>
          <w:p w14:paraId="3ECF8CE4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op w:val="dotted" w:color="033F86" w:sz="4" w:space="0"/>
              <w:left w:val="dotted" w:color="033F86" w:sz="4" w:space="0"/>
              <w:bottom w:val="dotted" w:color="033F86" w:sz="4" w:space="0"/>
              <w:right w:val="dotted" w:color="033F86" w:sz="4" w:space="0"/>
            </w:tcBorders>
            <w:shd w:val="clear" w:color="auto" w:fill="F2F2F2"/>
            <w:vAlign w:val="center"/>
          </w:tcPr>
          <w:p w14:paraId="4DD43D8E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sample_type }}</w:t>
            </w:r>
          </w:p>
        </w:tc>
        <w:tc>
          <w:tcPr>
            <w:tcW w:w="3316" w:type="dxa"/>
            <w:tcBorders>
              <w:top w:val="dotted" w:color="033F86" w:sz="4" w:space="0"/>
              <w:left w:val="dotted" w:color="033F86" w:sz="4" w:space="0"/>
              <w:bottom w:val="dotted" w:color="033F86" w:sz="4" w:space="0"/>
            </w:tcBorders>
            <w:shd w:val="clear" w:color="auto" w:fill="F2F2F2"/>
            <w:vAlign w:val="center"/>
          </w:tcPr>
          <w:p w14:paraId="19FE3A38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5109A55F">
        <w:trPr>
          <w:trHeight w:val="567" w:hRule="atLeast"/>
        </w:trPr>
        <w:tc>
          <w:tcPr>
            <w:tcW w:w="3231" w:type="dxa"/>
            <w:tcBorders>
              <w:top w:val="dotted" w:color="033F86" w:sz="4" w:space="0"/>
              <w:bottom w:val="dotted" w:color="033F86" w:sz="4" w:space="0"/>
              <w:right w:val="dotted" w:color="033F86" w:sz="4" w:space="0"/>
            </w:tcBorders>
            <w:shd w:val="clear" w:color="auto" w:fill="F2F2F2"/>
            <w:vAlign w:val="center"/>
          </w:tcPr>
          <w:p w14:paraId="34FE9EBE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op w:val="dotted" w:color="033F86" w:sz="4" w:space="0"/>
              <w:left w:val="dotted" w:color="033F86" w:sz="4" w:space="0"/>
              <w:bottom w:val="dotted" w:color="033F86" w:sz="4" w:space="0"/>
              <w:right w:val="dotted" w:color="033F86" w:sz="4" w:space="0"/>
            </w:tcBorders>
            <w:shd w:val="clear" w:color="auto" w:fill="F2F2F2"/>
            <w:vAlign w:val="center"/>
          </w:tcPr>
          <w:p w14:paraId="0E2C0B21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op w:val="dotted" w:color="033F86" w:sz="4" w:space="0"/>
              <w:left w:val="dotted" w:color="033F86" w:sz="4" w:space="0"/>
              <w:bottom w:val="dotted" w:color="033F86" w:sz="4" w:space="0"/>
            </w:tcBorders>
            <w:shd w:val="clear" w:color="auto" w:fill="F2F2F2"/>
            <w:vAlign w:val="center"/>
          </w:tcPr>
          <w:p w14:paraId="1D31DC7A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0FDF935B">
      <w:pPr>
        <w:pStyle w:val="2"/>
        <w:numPr>
          <w:ilvl w:val="0"/>
          <w:numId w:val="0"/>
        </w:numPr>
        <w:ind w:left="153" w:leftChars="0"/>
        <w:jc w:val="center"/>
        <w:rPr>
          <w:rFonts w:hint="default"/>
          <w:b/>
          <w:bCs/>
          <w:color w:val="033F86"/>
          <w:sz w:val="28"/>
        </w:rPr>
      </w:pPr>
      <w:bookmarkStart w:id="8" w:name="_Toc27202"/>
      <w:r>
        <w:rPr>
          <w:rFonts w:hint="default"/>
          <w:b/>
          <w:bCs/>
          <w:color w:val="033F86"/>
          <w:sz w:val="28"/>
        </w:rPr>
        <w:t>样本信息</w:t>
      </w:r>
      <w:bookmarkEnd w:id="8"/>
    </w:p>
    <w:p w14:paraId="0879C923">
      <w:pPr>
        <w:numPr>
          <w:ilvl w:val="-1"/>
          <w:numId w:val="0"/>
        </w:numPr>
        <w:ind w:left="0" w:firstLine="0"/>
        <w:jc w:val="left"/>
        <w:outlineLvl w:val="9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1E6FB4F1">
      <w:pPr>
        <w:pStyle w:val="2"/>
        <w:numPr>
          <w:ilvl w:val="0"/>
          <w:numId w:val="0"/>
        </w:numPr>
        <w:ind w:left="153" w:leftChars="0"/>
        <w:jc w:val="center"/>
        <w:rPr>
          <w:rFonts w:hint="default"/>
          <w:color w:val="033F86"/>
        </w:rPr>
      </w:pPr>
      <w:bookmarkStart w:id="9" w:name="_Toc27475"/>
      <w:r>
        <w:rPr>
          <w:rFonts w:hint="default"/>
          <w:color w:val="033F86"/>
        </w:rPr>
        <w:t>检测</w:t>
      </w:r>
      <w:r>
        <w:rPr>
          <w:rFonts w:hint="eastAsia"/>
          <w:color w:val="033F86"/>
          <w:lang w:val="en-US" w:eastAsia="zh-CN"/>
        </w:rPr>
        <w:t>项目</w:t>
      </w:r>
      <w:bookmarkEnd w:id="9"/>
    </w:p>
    <w:tbl>
      <w:tblPr>
        <w:tblStyle w:val="14"/>
        <w:tblpPr w:leftFromText="180" w:rightFromText="180" w:vertAnchor="text" w:horzAnchor="margin" w:tblpXSpec="center" w:tblpY="11"/>
        <w:tblW w:w="10251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6639"/>
      </w:tblGrid>
      <w:tr w14:paraId="7682FEFF">
        <w:trPr>
          <w:trHeight w:val="632" w:hRule="atLeast"/>
          <w:jc w:val="center"/>
        </w:trPr>
        <w:tc>
          <w:tcPr>
            <w:tcW w:w="3612" w:type="dxa"/>
            <w:tcBorders>
              <w:top w:val="single" w:color="033F86" w:sz="24" w:space="0"/>
            </w:tcBorders>
            <w:shd w:val="clear" w:color="auto" w:fill="F2F2F2"/>
            <w:vAlign w:val="bottom"/>
          </w:tcPr>
          <w:p w14:paraId="3E5E2C57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/>
                <w:color w:val="033F8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033F86"/>
                <w:sz w:val="21"/>
                <w:szCs w:val="21"/>
                <w:lang w:val="en-US" w:eastAsia="en-US" w:bidi="ar-SA"/>
              </w:rPr>
              <w:t>检测项目：</w:t>
            </w:r>
          </w:p>
        </w:tc>
        <w:tc>
          <w:tcPr>
            <w:tcW w:w="6639" w:type="dxa"/>
            <w:tcBorders>
              <w:top w:val="single" w:color="033F86" w:sz="24" w:space="0"/>
            </w:tcBorders>
            <w:shd w:val="clear" w:color="auto" w:fill="F2F2F2"/>
            <w:vAlign w:val="bottom"/>
          </w:tcPr>
          <w:p w14:paraId="5947FE46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HER-2基因扩增检测</w:t>
            </w:r>
          </w:p>
        </w:tc>
      </w:tr>
      <w:tr w14:paraId="7224924C">
        <w:trPr>
          <w:trHeight w:val="567" w:hRule="atLeast"/>
          <w:jc w:val="center"/>
        </w:trPr>
        <w:tc>
          <w:tcPr>
            <w:tcW w:w="3612" w:type="dxa"/>
            <w:shd w:val="clear" w:color="auto" w:fill="F2F2F2"/>
            <w:vAlign w:val="bottom"/>
          </w:tcPr>
          <w:p w14:paraId="0DCC464F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/>
                <w:color w:val="033F8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033F86"/>
                <w:sz w:val="21"/>
                <w:szCs w:val="21"/>
                <w:lang w:val="en-US" w:eastAsia="en-US" w:bidi="ar-SA"/>
              </w:rPr>
              <w:t>检测方法：</w:t>
            </w:r>
          </w:p>
        </w:tc>
        <w:tc>
          <w:tcPr>
            <w:tcW w:w="6639" w:type="dxa"/>
            <w:shd w:val="clear" w:color="auto" w:fill="F2F2F2"/>
            <w:vAlign w:val="bottom"/>
          </w:tcPr>
          <w:p w14:paraId="40F9E9C2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0C7D6136">
        <w:trPr>
          <w:trHeight w:val="567" w:hRule="atLeast"/>
          <w:jc w:val="center"/>
        </w:trPr>
        <w:tc>
          <w:tcPr>
            <w:tcW w:w="3612" w:type="dxa"/>
            <w:vMerge w:val="restart"/>
            <w:shd w:val="clear" w:color="auto" w:fill="F2F2F2"/>
            <w:vAlign w:val="center"/>
          </w:tcPr>
          <w:p w14:paraId="401B5456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/>
                <w:color w:val="033F8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033F86"/>
                <w:sz w:val="21"/>
                <w:szCs w:val="21"/>
                <w:lang w:val="en-US" w:eastAsia="en-US" w:bidi="ar-SA"/>
              </w:rPr>
              <w:t>质量控制：</w:t>
            </w:r>
          </w:p>
        </w:tc>
        <w:tc>
          <w:tcPr>
            <w:tcW w:w="6639" w:type="dxa"/>
            <w:shd w:val="clear" w:color="auto" w:fill="F2F2F2"/>
            <w:vAlign w:val="bottom"/>
          </w:tcPr>
          <w:p w14:paraId="5123E0C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>肿瘤细胞占比：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.Tumor_cel_content }}</w:t>
            </w:r>
          </w:p>
        </w:tc>
      </w:tr>
      <w:tr w14:paraId="2DC2BA1F">
        <w:trPr>
          <w:trHeight w:val="567" w:hRule="atLeast"/>
          <w:jc w:val="center"/>
        </w:trPr>
        <w:tc>
          <w:tcPr>
            <w:tcW w:w="3612" w:type="dxa"/>
            <w:vMerge w:val="continue"/>
            <w:shd w:val="clear" w:color="auto" w:fill="F2F2F2"/>
            <w:vAlign w:val="bottom"/>
          </w:tcPr>
          <w:p w14:paraId="5184CBC3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shd w:val="clear" w:color="auto" w:fill="F2F2F2"/>
            <w:vAlign w:val="bottom"/>
          </w:tcPr>
          <w:p w14:paraId="7774C72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  <w:tr w14:paraId="72A8F5E3">
        <w:trPr>
          <w:trHeight w:val="567" w:hRule="atLeast"/>
          <w:jc w:val="center"/>
        </w:trPr>
        <w:tc>
          <w:tcPr>
            <w:tcW w:w="3612" w:type="dxa"/>
            <w:vMerge w:val="continue"/>
            <w:shd w:val="clear" w:color="auto" w:fill="F2F2F2"/>
            <w:vAlign w:val="bottom"/>
          </w:tcPr>
          <w:p w14:paraId="5838F428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shd w:val="clear" w:color="auto" w:fill="F2F2F2"/>
            <w:vAlign w:val="bottom"/>
          </w:tcPr>
          <w:p w14:paraId="159358EF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</w:tbl>
    <w:p w14:paraId="599C9A01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5C2A4698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78C1DD37">
      <w:pPr>
        <w:pStyle w:val="2"/>
        <w:numPr>
          <w:ilvl w:val="-1"/>
          <w:numId w:val="0"/>
        </w:numPr>
        <w:ind w:left="0" w:firstLine="0"/>
        <w:jc w:val="center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3942"/>
      <w:r>
        <w:rPr>
          <w:rFonts w:hint="default"/>
          <w:color w:val="033F86"/>
        </w:rPr>
        <w:t>检测图谱</w:t>
      </w:r>
      <w:bookmarkEnd w:id="10"/>
    </w:p>
    <w:tbl>
      <w:tblPr>
        <w:tblStyle w:val="4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9"/>
        <w:gridCol w:w="4940"/>
      </w:tblGrid>
      <w:tr w14:paraId="1C9D40A4">
        <w:trPr>
          <w:trHeight w:val="498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C9ABEA">
            <w:pPr>
              <w:jc w:val="center"/>
              <w:rPr>
                <w:rFonts w:hint="default" w:ascii="Times New Roman" w:hAnsi="Times New Roman" w:eastAsia="微软雅黑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lang w:val="en-US" w:eastAsia="zh-CN"/>
              </w:rPr>
              <w:t>FISH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3D2430">
            <w:pPr>
              <w:jc w:val="center"/>
              <w:rPr>
                <w:rFonts w:hint="default" w:ascii="Times New Roman" w:hAnsi="Times New Roman" w:eastAsia="微软雅黑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lang w:val="en-US" w:eastAsia="zh-CN"/>
              </w:rPr>
              <w:t>IHC</w:t>
            </w:r>
          </w:p>
        </w:tc>
      </w:tr>
      <w:tr w14:paraId="66736CD2">
        <w:trPr>
          <w:trHeight w:val="3264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730F96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0367DD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</w:tbl>
    <w:p w14:paraId="7D0D27CC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39ED4456">
      <w:pPr>
        <w:pStyle w:val="2"/>
        <w:numPr>
          <w:ilvl w:val="-1"/>
          <w:numId w:val="0"/>
        </w:numPr>
        <w:ind w:left="0" w:firstLine="0"/>
        <w:jc w:val="center"/>
        <w:rPr>
          <w:rFonts w:hint="default"/>
          <w:color w:val="033F86"/>
        </w:rPr>
      </w:pPr>
      <w:bookmarkStart w:id="11" w:name="_Toc21769"/>
      <w:r>
        <w:rPr>
          <w:rFonts w:hint="default"/>
          <w:color w:val="033F86"/>
        </w:rPr>
        <w:t>检测结果</w:t>
      </w:r>
      <w:bookmarkEnd w:id="11"/>
    </w:p>
    <w:tbl>
      <w:tblPr>
        <w:tblStyle w:val="14"/>
        <w:tblpPr w:leftFromText="180" w:rightFromText="180" w:vertAnchor="text" w:horzAnchor="margin" w:tblpXSpec="center" w:tblpY="11"/>
        <w:tblW w:w="10516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940"/>
        <w:gridCol w:w="2269"/>
        <w:gridCol w:w="2185"/>
        <w:gridCol w:w="2593"/>
      </w:tblGrid>
      <w:tr w14:paraId="448B4BC2">
        <w:trPr>
          <w:trHeight w:val="712" w:hRule="atLeast"/>
          <w:jc w:val="center"/>
        </w:trPr>
        <w:tc>
          <w:tcPr>
            <w:tcW w:w="1529" w:type="dxa"/>
            <w:tcBorders>
              <w:top w:val="single" w:color="033F86" w:sz="24" w:space="0"/>
            </w:tcBorders>
            <w:shd w:val="clear" w:color="auto" w:fill="F2F2F2"/>
            <w:vAlign w:val="center"/>
          </w:tcPr>
          <w:p w14:paraId="2C1BF086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1940" w:type="dxa"/>
            <w:tcBorders>
              <w:top w:val="single" w:color="033F86" w:sz="24" w:space="0"/>
            </w:tcBorders>
            <w:shd w:val="clear" w:color="auto" w:fill="F2F2F2"/>
            <w:vAlign w:val="center"/>
          </w:tcPr>
          <w:p w14:paraId="3E6FC59D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2269" w:type="dxa"/>
            <w:tcBorders>
              <w:top w:val="single" w:color="033F86" w:sz="24" w:space="0"/>
            </w:tcBorders>
            <w:shd w:val="clear" w:color="auto" w:fill="F2F2F2"/>
            <w:vAlign w:val="center"/>
          </w:tcPr>
          <w:p w14:paraId="47FD32AA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2185" w:type="dxa"/>
            <w:tcBorders>
              <w:top w:val="single" w:color="033F86" w:sz="24" w:space="0"/>
            </w:tcBorders>
            <w:shd w:val="clear" w:color="auto" w:fill="F2F2F2"/>
            <w:vAlign w:val="center"/>
          </w:tcPr>
          <w:p w14:paraId="617F5864">
            <w:pPr>
              <w:jc w:val="center"/>
              <w:rPr>
                <w:rFonts w:hint="default" w:ascii="Times New Roman" w:hAnsi="Times New Roman" w:eastAsia="微软雅黑" w:cs="Times New Roman"/>
                <w:b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kern w:val="2"/>
                <w:sz w:val="18"/>
                <w:szCs w:val="18"/>
              </w:rPr>
              <w:t>检测结果</w:t>
            </w:r>
          </w:p>
        </w:tc>
        <w:tc>
          <w:tcPr>
            <w:tcW w:w="2593" w:type="dxa"/>
            <w:tcBorders>
              <w:top w:val="single" w:color="033F86" w:sz="24" w:space="0"/>
            </w:tcBorders>
            <w:shd w:val="clear" w:color="auto" w:fill="F2F2F2"/>
            <w:vAlign w:val="center"/>
          </w:tcPr>
          <w:p w14:paraId="179C08C0">
            <w:pPr>
              <w:jc w:val="center"/>
              <w:rPr>
                <w:rFonts w:hint="default" w:ascii="Times New Roman" w:hAnsi="Times New Roman" w:eastAsia="微软雅黑" w:cs="Times New Roman"/>
                <w:b/>
                <w:color w:val="auto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kern w:val="2"/>
                <w:sz w:val="18"/>
                <w:szCs w:val="18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kern w:val="2"/>
                <w:sz w:val="18"/>
                <w:szCs w:val="18"/>
              </w:rPr>
              <w:t>组化结果</w:t>
            </w:r>
          </w:p>
        </w:tc>
      </w:tr>
      <w:tr w14:paraId="55E64E86">
        <w:trPr>
          <w:trHeight w:val="477" w:hRule="atLeast"/>
          <w:jc w:val="center"/>
        </w:trPr>
        <w:tc>
          <w:tcPr>
            <w:tcW w:w="10516" w:type="dxa"/>
            <w:gridSpan w:val="5"/>
            <w:shd w:val="clear" w:color="auto" w:fill="F2F2F2"/>
            <w:vAlign w:val="center"/>
          </w:tcPr>
          <w:p w14:paraId="0FE372FB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 %}</w:t>
            </w:r>
          </w:p>
        </w:tc>
      </w:tr>
      <w:tr w14:paraId="23A61BD4">
        <w:trPr>
          <w:trHeight w:val="619" w:hRule="atLeast"/>
          <w:jc w:val="center"/>
        </w:trPr>
        <w:tc>
          <w:tcPr>
            <w:tcW w:w="1529" w:type="dxa"/>
            <w:vMerge w:val="restart"/>
            <w:shd w:val="clear" w:color="auto" w:fill="F2F2F2"/>
            <w:vAlign w:val="center"/>
          </w:tcPr>
          <w:p w14:paraId="37181AEE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HER-2 基因扩增</w:t>
            </w:r>
          </w:p>
        </w:tc>
        <w:tc>
          <w:tcPr>
            <w:tcW w:w="1940" w:type="dxa"/>
            <w:vMerge w:val="restart"/>
            <w:shd w:val="clear" w:color="auto" w:fill="F2F2F2"/>
            <w:vAlign w:val="center"/>
          </w:tcPr>
          <w:p w14:paraId="5F0C40BA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2269" w:type="dxa"/>
            <w:vMerge w:val="restart"/>
            <w:shd w:val="clear" w:color="auto" w:fill="F2F2F2"/>
            <w:vAlign w:val="center"/>
          </w:tcPr>
          <w:p w14:paraId="28761E37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her2.her2_cep17 }}</w:t>
            </w:r>
          </w:p>
        </w:tc>
        <w:tc>
          <w:tcPr>
            <w:tcW w:w="2185" w:type="dxa"/>
            <w:vMerge w:val="restart"/>
            <w:shd w:val="clear" w:color="auto" w:fill="F2F2F2"/>
            <w:vAlign w:val="center"/>
          </w:tcPr>
          <w:p w14:paraId="2058F65E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her2.cep17_cell }}</w:t>
            </w:r>
          </w:p>
        </w:tc>
        <w:tc>
          <w:tcPr>
            <w:tcW w:w="2593" w:type="dxa"/>
            <w:shd w:val="clear" w:color="auto" w:fill="F2F2F2"/>
            <w:vAlign w:val="center"/>
          </w:tcPr>
          <w:p w14:paraId="1AE89D5F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her2.detection }}</w:t>
            </w:r>
          </w:p>
        </w:tc>
      </w:tr>
      <w:tr w14:paraId="042615A0">
        <w:trPr>
          <w:trHeight w:val="619" w:hRule="atLeast"/>
          <w:jc w:val="center"/>
        </w:trPr>
        <w:tc>
          <w:tcPr>
            <w:tcW w:w="1529" w:type="dxa"/>
            <w:vMerge w:val="continue"/>
            <w:shd w:val="clear" w:color="auto" w:fill="F2F2F2"/>
            <w:vAlign w:val="center"/>
          </w:tcPr>
          <w:p w14:paraId="478E1029">
            <w:pPr>
              <w:pStyle w:val="47"/>
            </w:pPr>
          </w:p>
        </w:tc>
        <w:tc>
          <w:tcPr>
            <w:tcW w:w="1940" w:type="dxa"/>
            <w:vMerge w:val="continue"/>
            <w:shd w:val="clear" w:color="auto" w:fill="F2F2F2"/>
            <w:vAlign w:val="center"/>
          </w:tcPr>
          <w:p w14:paraId="39B4C97E">
            <w:pPr>
              <w:pStyle w:val="47"/>
            </w:pPr>
          </w:p>
        </w:tc>
        <w:tc>
          <w:tcPr>
            <w:tcW w:w="2269" w:type="dxa"/>
            <w:vMerge w:val="continue"/>
            <w:shd w:val="clear" w:color="auto" w:fill="F2F2F2"/>
            <w:vAlign w:val="center"/>
          </w:tcPr>
          <w:p w14:paraId="47132C5E">
            <w:pPr>
              <w:pStyle w:val="47"/>
            </w:pPr>
          </w:p>
        </w:tc>
        <w:tc>
          <w:tcPr>
            <w:tcW w:w="2185" w:type="dxa"/>
            <w:vMerge w:val="continue"/>
            <w:shd w:val="clear" w:color="auto" w:fill="F2F2F2"/>
            <w:vAlign w:val="center"/>
          </w:tcPr>
          <w:p w14:paraId="61F6836B">
            <w:pPr>
              <w:pStyle w:val="47"/>
            </w:pPr>
          </w:p>
        </w:tc>
        <w:tc>
          <w:tcPr>
            <w:tcW w:w="2593" w:type="dxa"/>
            <w:shd w:val="clear" w:color="auto" w:fill="F2F2F2"/>
            <w:vAlign w:val="center"/>
          </w:tcPr>
          <w:p w14:paraId="2EF96449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her2.her2_cell }}</w:t>
            </w:r>
          </w:p>
        </w:tc>
      </w:tr>
      <w:tr w14:paraId="30C6E30E">
        <w:trPr>
          <w:trHeight w:val="477" w:hRule="atLeast"/>
          <w:jc w:val="center"/>
        </w:trPr>
        <w:tc>
          <w:tcPr>
            <w:tcW w:w="10516" w:type="dxa"/>
            <w:gridSpan w:val="5"/>
            <w:shd w:val="clear" w:color="auto" w:fill="F2F2F2"/>
            <w:vAlign w:val="center"/>
          </w:tcPr>
          <w:p w14:paraId="1D329872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{%tr else %}</w:t>
            </w:r>
          </w:p>
        </w:tc>
      </w:tr>
      <w:tr w14:paraId="7A33FB0D">
        <w:trPr>
          <w:trHeight w:val="477" w:hRule="atLeast"/>
          <w:jc w:val="center"/>
        </w:trPr>
        <w:tc>
          <w:tcPr>
            <w:tcW w:w="1529" w:type="dxa"/>
            <w:vMerge w:val="restart"/>
            <w:shd w:val="clear" w:color="auto" w:fill="F2F2F2"/>
            <w:vAlign w:val="center"/>
          </w:tcPr>
          <w:p w14:paraId="676DAB1C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HER-2 基因扩增</w:t>
            </w:r>
          </w:p>
        </w:tc>
        <w:tc>
          <w:tcPr>
            <w:tcW w:w="1940" w:type="dxa"/>
            <w:vMerge w:val="restart"/>
            <w:shd w:val="clear" w:color="auto" w:fill="F2F2F2"/>
            <w:vAlign w:val="center"/>
          </w:tcPr>
          <w:p w14:paraId="3B02E6A0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2269" w:type="dxa"/>
            <w:shd w:val="clear" w:color="auto" w:fill="F2F2F2"/>
            <w:vAlign w:val="center"/>
          </w:tcPr>
          <w:p w14:paraId="389CD471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.her2_cep17 }}</w:t>
            </w:r>
          </w:p>
        </w:tc>
        <w:tc>
          <w:tcPr>
            <w:tcW w:w="2185" w:type="dxa"/>
            <w:vMerge w:val="restart"/>
            <w:shd w:val="clear" w:color="auto" w:fill="F2F2F2"/>
            <w:vAlign w:val="center"/>
          </w:tcPr>
          <w:p w14:paraId="1206514C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her2.detection }}</w:t>
            </w:r>
          </w:p>
        </w:tc>
        <w:tc>
          <w:tcPr>
            <w:tcW w:w="2593" w:type="dxa"/>
            <w:vMerge w:val="restart"/>
            <w:shd w:val="clear" w:color="auto" w:fill="F2F2F2"/>
            <w:vAlign w:val="center"/>
          </w:tcPr>
          <w:p w14:paraId="34848323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her2.histochemical }}</w:t>
            </w:r>
          </w:p>
        </w:tc>
      </w:tr>
      <w:tr w14:paraId="4E1D671A">
        <w:trPr>
          <w:trHeight w:val="477" w:hRule="atLeast"/>
          <w:jc w:val="center"/>
        </w:trPr>
        <w:tc>
          <w:tcPr>
            <w:tcW w:w="1529" w:type="dxa"/>
            <w:vMerge w:val="continue"/>
            <w:shd w:val="clear" w:color="auto" w:fill="F2F2F2"/>
            <w:vAlign w:val="center"/>
          </w:tcPr>
          <w:p w14:paraId="556D527E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shd w:val="clear" w:color="auto" w:fill="F2F2F2"/>
            <w:vAlign w:val="center"/>
          </w:tcPr>
          <w:p w14:paraId="5AF667E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269" w:type="dxa"/>
            <w:shd w:val="clear" w:color="auto" w:fill="F2F2F2"/>
            <w:vAlign w:val="center"/>
          </w:tcPr>
          <w:p w14:paraId="75E8FF06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.her2_cell }}</w:t>
            </w:r>
          </w:p>
        </w:tc>
        <w:tc>
          <w:tcPr>
            <w:tcW w:w="2185" w:type="dxa"/>
            <w:vMerge w:val="continue"/>
            <w:shd w:val="clear" w:color="auto" w:fill="F2F2F2"/>
            <w:vAlign w:val="center"/>
          </w:tcPr>
          <w:p w14:paraId="266E7B12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shd w:val="clear" w:color="auto" w:fill="F2F2F2"/>
            <w:vAlign w:val="center"/>
          </w:tcPr>
          <w:p w14:paraId="14E14189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6057067F">
        <w:trPr>
          <w:trHeight w:val="477" w:hRule="atLeast"/>
          <w:jc w:val="center"/>
        </w:trPr>
        <w:tc>
          <w:tcPr>
            <w:tcW w:w="1529" w:type="dxa"/>
            <w:vMerge w:val="continue"/>
            <w:shd w:val="clear" w:color="auto" w:fill="F2F2F2"/>
            <w:vAlign w:val="center"/>
          </w:tcPr>
          <w:p w14:paraId="3C710E53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shd w:val="clear" w:color="auto" w:fill="F2F2F2"/>
            <w:vAlign w:val="center"/>
          </w:tcPr>
          <w:p w14:paraId="1DEEF3E7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269" w:type="dxa"/>
            <w:shd w:val="clear" w:color="auto" w:fill="F2F2F2"/>
            <w:vAlign w:val="center"/>
          </w:tcPr>
          <w:p w14:paraId="5433514F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.cep17_cell }}</w:t>
            </w:r>
          </w:p>
        </w:tc>
        <w:tc>
          <w:tcPr>
            <w:tcW w:w="2185" w:type="dxa"/>
            <w:vMerge w:val="continue"/>
            <w:shd w:val="clear" w:color="auto" w:fill="F2F2F2"/>
            <w:vAlign w:val="center"/>
          </w:tcPr>
          <w:p w14:paraId="57640DF8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shd w:val="clear" w:color="auto" w:fill="F2F2F2"/>
            <w:vAlign w:val="center"/>
          </w:tcPr>
          <w:p w14:paraId="27D57AAA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288CB92A">
        <w:trPr>
          <w:trHeight w:val="477" w:hRule="atLeast"/>
          <w:jc w:val="center"/>
        </w:trPr>
        <w:tc>
          <w:tcPr>
            <w:tcW w:w="10516" w:type="dxa"/>
            <w:gridSpan w:val="5"/>
            <w:shd w:val="clear" w:color="auto" w:fill="F2F2F2"/>
            <w:vAlign w:val="center"/>
          </w:tcPr>
          <w:p w14:paraId="43367A03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kern w:val="0"/>
                <w:sz w:val="22"/>
                <w:szCs w:val="22"/>
                <w:lang w:val="en-US" w:eastAsia="zh-CN" w:bidi="ar-SA"/>
              </w:rPr>
              <w:t>{%tr endif %}</w:t>
            </w:r>
          </w:p>
        </w:tc>
      </w:tr>
      <w:tr w14:paraId="21F1B1BD">
        <w:trPr>
          <w:trHeight w:val="676" w:hRule="atLeast"/>
          <w:jc w:val="center"/>
        </w:trPr>
        <w:tc>
          <w:tcPr>
            <w:tcW w:w="10516" w:type="dxa"/>
            <w:gridSpan w:val="5"/>
            <w:shd w:val="clear" w:color="auto" w:fill="F2F2F2"/>
            <w:vAlign w:val="center"/>
          </w:tcPr>
          <w:p w14:paraId="78E445C6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‘乳腺癌’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5A5ADC5B">
        <w:trPr>
          <w:trHeight w:val="4260" w:hRule="atLeast"/>
          <w:jc w:val="center"/>
        </w:trPr>
        <w:tc>
          <w:tcPr>
            <w:tcW w:w="1529" w:type="dxa"/>
            <w:shd w:val="clear" w:color="auto" w:fill="F2F2F2"/>
            <w:vAlign w:val="center"/>
          </w:tcPr>
          <w:p w14:paraId="39E8E8CF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32226577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shd w:val="clear" w:color="auto" w:fill="F2F2F2"/>
            <w:vAlign w:val="center"/>
          </w:tcPr>
          <w:p w14:paraId="3B1E7A5D">
            <w:pPr>
              <w:adjustRightInd w:val="0"/>
              <w:snapToGrid w:val="0"/>
              <w:spacing w:line="204" w:lineRule="auto"/>
              <w:jc w:val="center"/>
            </w:pPr>
          </w:p>
          <w:p w14:paraId="566E8C6A">
            <w:pPr>
              <w:adjustRightInd w:val="0"/>
              <w:snapToGrid w:val="0"/>
              <w:spacing w:line="204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4756785" cy="2853055"/>
                  <wp:effectExtent l="0" t="0" r="13335" b="1206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14443" r="409" b="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285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98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4" w:lineRule="auto"/>
              <w:ind w:firstLine="480" w:firstLineChars="30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  <w:t>注：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来源于乳腺癌HER2检测指南(2019版)&amp;非小细胞肺癌HER2变异临床诊疗实践专家共识2022版</w:t>
            </w:r>
          </w:p>
        </w:tc>
      </w:tr>
      <w:tr w14:paraId="7E44138D">
        <w:trPr>
          <w:trHeight w:val="573" w:hRule="atLeast"/>
          <w:jc w:val="center"/>
        </w:trPr>
        <w:tc>
          <w:tcPr>
            <w:tcW w:w="10516" w:type="dxa"/>
            <w:gridSpan w:val="5"/>
            <w:shd w:val="clear" w:color="auto" w:fill="F2F2F2"/>
            <w:vAlign w:val="center"/>
          </w:tcPr>
          <w:p w14:paraId="59131E9E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胃癌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5FC796D9">
        <w:trPr>
          <w:trHeight w:val="4260" w:hRule="atLeast"/>
          <w:jc w:val="center"/>
        </w:trPr>
        <w:tc>
          <w:tcPr>
            <w:tcW w:w="1529" w:type="dxa"/>
            <w:shd w:val="clear" w:color="auto" w:fill="F2F2F2"/>
            <w:vAlign w:val="center"/>
          </w:tcPr>
          <w:p w14:paraId="5FF41FEE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19840E17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shd w:val="clear" w:color="auto" w:fill="F2F2F2"/>
            <w:vAlign w:val="center"/>
          </w:tcPr>
          <w:p w14:paraId="5F0F88DE">
            <w:pPr>
              <w:adjustRightInd w:val="0"/>
              <w:snapToGrid w:val="0"/>
              <w:spacing w:line="204" w:lineRule="auto"/>
            </w:pPr>
          </w:p>
          <w:p w14:paraId="58B903BC">
            <w:pPr>
              <w:adjustRightInd w:val="0"/>
              <w:snapToGrid w:val="0"/>
              <w:spacing w:line="204" w:lineRule="auto"/>
            </w:pPr>
            <w:r>
              <w:drawing>
                <wp:inline distT="0" distB="0" distL="114300" distR="114300">
                  <wp:extent cx="5010150" cy="2465070"/>
                  <wp:effectExtent l="0" t="0" r="3810" b="381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r="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46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7DA3C6">
            <w:pPr>
              <w:adjustRightInd w:val="0"/>
              <w:snapToGrid w:val="0"/>
              <w:spacing w:line="204" w:lineRule="auto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注：来源于胃癌胃镜活检标本HER-2检测中国专家共识（2023版）</w:t>
            </w:r>
          </w:p>
        </w:tc>
      </w:tr>
      <w:tr w14:paraId="1CC2EB17">
        <w:trPr>
          <w:trHeight w:val="650" w:hRule="atLeast"/>
          <w:jc w:val="center"/>
        </w:trPr>
        <w:tc>
          <w:tcPr>
            <w:tcW w:w="10516" w:type="dxa"/>
            <w:gridSpan w:val="5"/>
            <w:shd w:val="clear" w:color="auto" w:fill="F2F2F2"/>
            <w:vAlign w:val="center"/>
          </w:tcPr>
          <w:p w14:paraId="5363102B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尿路上皮癌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6B3D042F">
        <w:trPr>
          <w:trHeight w:val="4260" w:hRule="atLeast"/>
          <w:jc w:val="center"/>
        </w:trPr>
        <w:tc>
          <w:tcPr>
            <w:tcW w:w="1529" w:type="dxa"/>
            <w:shd w:val="clear" w:color="auto" w:fill="F2F2F2"/>
            <w:vAlign w:val="center"/>
          </w:tcPr>
          <w:p w14:paraId="74798EC2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25A3E1BB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shd w:val="clear" w:color="auto" w:fill="F2F2F2"/>
            <w:vAlign w:val="center"/>
          </w:tcPr>
          <w:p w14:paraId="22EEEA71">
            <w:pPr>
              <w:adjustRightInd w:val="0"/>
              <w:snapToGrid w:val="0"/>
              <w:spacing w:line="204" w:lineRule="auto"/>
              <w:jc w:val="center"/>
            </w:pPr>
            <w:r>
              <w:drawing>
                <wp:inline distT="0" distB="0" distL="114300" distR="114300">
                  <wp:extent cx="5027295" cy="2075815"/>
                  <wp:effectExtent l="0" t="0" r="1905" b="1206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295" cy="207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998AD">
            <w:pPr>
              <w:adjustRightInd w:val="0"/>
              <w:snapToGrid w:val="0"/>
              <w:spacing w:line="204" w:lineRule="auto"/>
              <w:jc w:val="left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中国尿路上皮癌人表皮生长因子受体2检测临床病理专家共识2021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版；低拷贝扩增：弱阳性</w:t>
            </w:r>
          </w:p>
        </w:tc>
      </w:tr>
      <w:tr w14:paraId="0FE57494">
        <w:trPr>
          <w:trHeight w:val="664" w:hRule="atLeast"/>
          <w:jc w:val="center"/>
        </w:trPr>
        <w:tc>
          <w:tcPr>
            <w:tcW w:w="10516" w:type="dxa"/>
            <w:gridSpan w:val="5"/>
            <w:shd w:val="clear" w:color="auto" w:fill="F2F2F2"/>
            <w:vAlign w:val="center"/>
          </w:tcPr>
          <w:p w14:paraId="3EA5FAF1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3F01B2D7">
        <w:trPr>
          <w:trHeight w:val="4260" w:hRule="atLeast"/>
          <w:jc w:val="center"/>
        </w:trPr>
        <w:tc>
          <w:tcPr>
            <w:tcW w:w="1529" w:type="dxa"/>
            <w:shd w:val="clear" w:color="auto" w:fill="F2F2F2"/>
            <w:vAlign w:val="center"/>
          </w:tcPr>
          <w:p w14:paraId="34BACFCA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756F5CD3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shd w:val="clear" w:color="auto" w:fill="F2F2F2"/>
            <w:vAlign w:val="center"/>
          </w:tcPr>
          <w:p w14:paraId="496D58EB">
            <w:pPr>
              <w:adjustRightInd w:val="0"/>
              <w:snapToGrid w:val="0"/>
              <w:spacing w:line="204" w:lineRule="auto"/>
            </w:pPr>
          </w:p>
          <w:p w14:paraId="7B7182E4">
            <w:pPr>
              <w:adjustRightInd w:val="0"/>
              <w:snapToGrid w:val="0"/>
              <w:spacing w:line="204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30470" cy="2801620"/>
                  <wp:effectExtent l="0" t="0" r="13970" b="254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470" cy="280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5B0B77">
            <w:pP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注：来源于结直肠癌靶向治疗中国专家共识2023版。</w:t>
            </w:r>
          </w:p>
        </w:tc>
      </w:tr>
      <w:tr w14:paraId="423B6FEB">
        <w:trPr>
          <w:trHeight w:val="660" w:hRule="atLeast"/>
          <w:jc w:val="center"/>
        </w:trPr>
        <w:tc>
          <w:tcPr>
            <w:tcW w:w="10516" w:type="dxa"/>
            <w:gridSpan w:val="5"/>
            <w:tcBorders>
              <w:bottom w:val="single" w:color="033F86" w:sz="18" w:space="0"/>
            </w:tcBorders>
            <w:shd w:val="clear" w:color="auto" w:fill="F2F2F2"/>
            <w:vAlign w:val="center"/>
          </w:tcPr>
          <w:p w14:paraId="4CEBE99B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{%tr endif %}</w:t>
            </w:r>
          </w:p>
        </w:tc>
      </w:tr>
    </w:tbl>
    <w:p w14:paraId="3843E409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{%if her2.result !=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/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%}</w:t>
      </w:r>
      <w:r>
        <w:rPr>
          <w:rFonts w:hint="default" w:ascii="Times New Roman" w:hAnsi="Times New Roman" w:eastAsia="微软雅黑" w:cs="Times New Roman"/>
          <w:b/>
          <w:color w:val="033F86"/>
          <w:kern w:val="0"/>
          <w:sz w:val="21"/>
          <w:szCs w:val="21"/>
        </w:rPr>
        <w:t>结果提示：</w:t>
      </w:r>
      <w:r>
        <w:rPr>
          <w:rFonts w:hint="eastAsia" w:ascii="Times New Roman" w:hAnsi="Times New Roman" w:eastAsia="微软雅黑" w:cs="Times New Roman"/>
          <w:lang w:val="en-US" w:eastAsia="zh-CN"/>
        </w:rPr>
        <w:t>{{ her2.result }}{%endif%}</w:t>
      </w:r>
    </w:p>
    <w:tbl>
      <w:tblPr>
        <w:tblStyle w:val="56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05AEDC78">
        <w:trPr>
          <w:trHeight w:val="482" w:hRule="atLeast"/>
        </w:trPr>
        <w:tc>
          <w:tcPr>
            <w:tcW w:w="3402" w:type="dxa"/>
            <w:tcBorders>
              <w:top w:val="nil"/>
              <w:left w:val="nil"/>
              <w:bottom w:val="single" w:color="033F86" w:sz="4" w:space="0"/>
              <w:right w:val="nil"/>
            </w:tcBorders>
            <w:vAlign w:val="bottom"/>
          </w:tcPr>
          <w:p w14:paraId="36DB5CAA">
            <w:pPr>
              <w:adjustRightInd w:val="0"/>
              <w:jc w:val="both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val="en-US" w:eastAsia="zh-CN" w:bidi="ar"/>
              </w:rPr>
              <w:t>her2.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>examiner }}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033F86" w:sz="4" w:space="0"/>
              <w:right w:val="nil"/>
            </w:tcBorders>
            <w:vAlign w:val="bottom"/>
          </w:tcPr>
          <w:p w14:paraId="67857CB9">
            <w:pPr>
              <w:adjustRightInd w:val="0"/>
              <w:jc w:val="both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审核医生：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033F86" w:sz="4" w:space="0"/>
              <w:right w:val="nil"/>
            </w:tcBorders>
            <w:vAlign w:val="bottom"/>
          </w:tcPr>
          <w:p w14:paraId="71036D19">
            <w:pPr>
              <w:jc w:val="both"/>
              <w:rPr>
                <w:b/>
                <w:sz w:val="16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val="en-US" w:eastAsia="zh-CN" w:bidi="ar"/>
              </w:rPr>
              <w:t>{{ her2.auditor }}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033F86" w:sz="4" w:space="0"/>
              <w:right w:val="nil"/>
            </w:tcBorders>
            <w:vAlign w:val="bottom"/>
          </w:tcPr>
          <w:p w14:paraId="066A2409">
            <w:pPr>
              <w:widowControl w:val="0"/>
              <w:adjustRightInd w:val="0"/>
              <w:jc w:val="right"/>
              <w:rPr>
                <w:rFonts w:ascii="Calibri" w:hAnsi="Calibri" w:eastAsia="宋体" w:cs="Arial"/>
                <w:b/>
                <w:color w:val="000000"/>
                <w:sz w:val="16"/>
                <w:szCs w:val="16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en-US" w:bidi="ar"/>
              </w:rPr>
              <w:t>报告日期：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>reportdate2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 }}</w:t>
            </w:r>
          </w:p>
        </w:tc>
      </w:tr>
      <w:tr w14:paraId="378C3A1E">
        <w:trPr>
          <w:trHeight w:val="204" w:hRule="atLeast"/>
        </w:trPr>
        <w:tc>
          <w:tcPr>
            <w:tcW w:w="9706" w:type="dxa"/>
            <w:gridSpan w:val="4"/>
            <w:tcBorders>
              <w:top w:val="single" w:color="033F86" w:sz="4" w:space="0"/>
              <w:left w:val="nil"/>
              <w:bottom w:val="nil"/>
              <w:right w:val="nil"/>
            </w:tcBorders>
          </w:tcPr>
          <w:p w14:paraId="3CA77678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77538224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br w:type="page"/>
      </w:r>
    </w:p>
    <w:p w14:paraId="02E70DAC">
      <w:pPr>
        <w:pStyle w:val="2"/>
        <w:numPr>
          <w:ilvl w:val="-1"/>
          <w:numId w:val="0"/>
        </w:numPr>
        <w:ind w:left="0" w:firstLine="0"/>
        <w:jc w:val="center"/>
        <w:rPr>
          <w:rFonts w:hint="default"/>
          <w:color w:val="033F86"/>
        </w:rPr>
      </w:pPr>
      <w:bookmarkStart w:id="12" w:name="_Toc14200"/>
      <w:r>
        <w:rPr>
          <w:rFonts w:hint="default"/>
          <w:color w:val="033F86"/>
        </w:rPr>
        <w:t>参考资料</w:t>
      </w:r>
      <w:bookmarkEnd w:id="12"/>
    </w:p>
    <w:bookmarkEnd w:id="0"/>
    <w:bookmarkEnd w:id="1"/>
    <w:bookmarkEnd w:id="2"/>
    <w:bookmarkEnd w:id="3"/>
    <w:bookmarkEnd w:id="4"/>
    <w:bookmarkEnd w:id="5"/>
    <w:bookmarkEnd w:id="6"/>
    <w:bookmarkEnd w:id="7"/>
    <w:p w14:paraId="1BB415A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  <w:t>HER2靶点解析</w:t>
      </w:r>
    </w:p>
    <w:p w14:paraId="70FFCC51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人表皮生长因子受体２（HER2）是由原癌基因erbb-2编码的、具有酪氨酸激酶活性的跨膜糖蛋白，属于表皮生长因子受体家族成员。ERBB2蛋白介导的信号转导途径主要有Ras/Raf/丝裂原活化蛋白激酶(MAPK)途径，磷脂酰肌醇3羟基激酶(P13K)/Akt途径，信号转导及转录激活(</w:t>
      </w:r>
      <w:bookmarkStart w:id="13" w:name="OLE_LINK2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STAT</w:t>
      </w:r>
      <w:bookmarkEnd w:id="13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)途径和PLC通路等。HER2癌基因的致瘤机制是抑制凋亡，促进增殖；增加肿瘤细胞的侵袭力；促进肿瘤血管新生和淋巴管新生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 xml:space="preserve"> [1,2]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。HER2与乳腺癌、胃癌、结直肠癌、膀胱癌、卵巢癌、宫颈癌（胰腺癌）、肺癌等多种恶性肿瘤密切相关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>[3]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，因此对于HER2的检测在这些肿瘤的诊断、治疗及预后判断中具有重要意义。</w:t>
      </w:r>
    </w:p>
    <w:p w14:paraId="0266A9F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  <w:t>HER2</w:t>
      </w:r>
      <w:r>
        <w:rPr>
          <w:rFonts w:hint="eastAsia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  <w:t>靶点</w:t>
      </w:r>
      <w:r>
        <w:rPr>
          <w:rFonts w:hint="default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  <w:t>已获批药物</w:t>
      </w:r>
      <w:bookmarkStart w:id="14" w:name="OLE_LINK3"/>
      <w:r>
        <w:rPr>
          <w:rFonts w:hint="default" w:ascii="Times New Roman" w:hAnsi="Times New Roman" w:eastAsia="微软雅黑" w:cs="Times New Roman"/>
          <w:bCs/>
          <w:color w:val="033F86"/>
          <w:sz w:val="21"/>
          <w:szCs w:val="21"/>
          <w:vertAlign w:val="superscript"/>
          <w:lang w:val="en-US" w:eastAsia="zh-CN" w:bidi="ar-SA"/>
        </w:rPr>
        <w:t>[4,5]</w:t>
      </w:r>
    </w:p>
    <w:bookmarkEnd w:id="14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1"/>
        <w:gridCol w:w="3849"/>
        <w:gridCol w:w="3139"/>
      </w:tblGrid>
      <w:tr w14:paraId="2A56324F">
        <w:trPr>
          <w:trHeight w:val="389" w:hRule="atLeast"/>
          <w:jc w:val="center"/>
        </w:trPr>
        <w:tc>
          <w:tcPr>
            <w:tcW w:w="3171" w:type="dxa"/>
            <w:shd w:val="clear" w:color="auto" w:fill="BEBEBE"/>
            <w:vAlign w:val="center"/>
          </w:tcPr>
          <w:p w14:paraId="1351A93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3849" w:type="dxa"/>
            <w:shd w:val="clear" w:color="auto" w:fill="BEBEBE"/>
            <w:vAlign w:val="center"/>
          </w:tcPr>
          <w:p w14:paraId="20B0E9E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3139" w:type="dxa"/>
            <w:shd w:val="clear" w:color="auto" w:fill="BEBEBE"/>
            <w:vAlign w:val="center"/>
          </w:tcPr>
          <w:p w14:paraId="5209D23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获批机构</w:t>
            </w:r>
          </w:p>
        </w:tc>
      </w:tr>
      <w:tr w14:paraId="457151CA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5BF55E8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曲妥珠单抗</w:t>
            </w:r>
          </w:p>
        </w:tc>
        <w:tc>
          <w:tcPr>
            <w:tcW w:w="3849" w:type="dxa"/>
            <w:vAlign w:val="center"/>
          </w:tcPr>
          <w:p w14:paraId="4D7089D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乳腺癌、胃癌、结直肠癌</w:t>
            </w:r>
          </w:p>
        </w:tc>
        <w:tc>
          <w:tcPr>
            <w:tcW w:w="3139" w:type="dxa"/>
            <w:vAlign w:val="center"/>
          </w:tcPr>
          <w:p w14:paraId="70F2F66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108ED66C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25A48C1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5" w:name="OLE_LINK8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帕妥珠单抗</w:t>
            </w:r>
            <w:bookmarkEnd w:id="15"/>
          </w:p>
        </w:tc>
        <w:tc>
          <w:tcPr>
            <w:tcW w:w="3849" w:type="dxa"/>
            <w:vAlign w:val="center"/>
          </w:tcPr>
          <w:p w14:paraId="3F11158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3F3D3F7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76BD07BA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0DAB1C2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拉帕替尼</w:t>
            </w:r>
          </w:p>
        </w:tc>
        <w:tc>
          <w:tcPr>
            <w:tcW w:w="3849" w:type="dxa"/>
            <w:vAlign w:val="center"/>
          </w:tcPr>
          <w:p w14:paraId="6CAFA7B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7F8E3DE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NMPA/FDA</w:t>
            </w:r>
          </w:p>
        </w:tc>
      </w:tr>
      <w:tr w14:paraId="0C2D2164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69ACC04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6" w:name="OLE_LINK9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吡咯替尼</w:t>
            </w:r>
            <w:bookmarkEnd w:id="16"/>
          </w:p>
        </w:tc>
        <w:tc>
          <w:tcPr>
            <w:tcW w:w="3849" w:type="dxa"/>
            <w:vAlign w:val="center"/>
          </w:tcPr>
          <w:p w14:paraId="008FFCE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5512E26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610B0C32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E7FF1C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7" w:name="OLE_LINK1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奈拉替尼</w:t>
            </w:r>
            <w:bookmarkEnd w:id="17"/>
          </w:p>
        </w:tc>
        <w:tc>
          <w:tcPr>
            <w:tcW w:w="3849" w:type="dxa"/>
            <w:vAlign w:val="center"/>
          </w:tcPr>
          <w:p w14:paraId="548FD59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26DA0B9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1B012FD0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23034D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1"/>
                <w:szCs w:val="21"/>
                <w:lang w:eastAsia="zh-CN"/>
              </w:rPr>
              <w:t>图卡替尼</w:t>
            </w:r>
          </w:p>
        </w:tc>
        <w:tc>
          <w:tcPr>
            <w:tcW w:w="3849" w:type="dxa"/>
            <w:vAlign w:val="center"/>
          </w:tcPr>
          <w:p w14:paraId="17E1748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乳腺癌、结直肠癌</w:t>
            </w:r>
          </w:p>
        </w:tc>
        <w:tc>
          <w:tcPr>
            <w:tcW w:w="3139" w:type="dxa"/>
            <w:vAlign w:val="center"/>
          </w:tcPr>
          <w:p w14:paraId="2D43CCD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1642E8A2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0EF052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8" w:name="OLE_LINK11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伊尼妥单抗</w:t>
            </w:r>
            <w:bookmarkEnd w:id="18"/>
          </w:p>
        </w:tc>
        <w:tc>
          <w:tcPr>
            <w:tcW w:w="3849" w:type="dxa"/>
            <w:vAlign w:val="center"/>
          </w:tcPr>
          <w:p w14:paraId="5794136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6FFCC19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101708E2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0E388D0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9" w:name="OLE_LINK12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恩美曲妥珠单抗</w:t>
            </w:r>
            <w:bookmarkEnd w:id="19"/>
          </w:p>
        </w:tc>
        <w:tc>
          <w:tcPr>
            <w:tcW w:w="3849" w:type="dxa"/>
            <w:vAlign w:val="center"/>
          </w:tcPr>
          <w:p w14:paraId="6EF3ABD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53CCE5B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1CE15690">
        <w:trPr>
          <w:trHeight w:val="23" w:hRule="atLeast"/>
          <w:jc w:val="center"/>
        </w:trPr>
        <w:tc>
          <w:tcPr>
            <w:tcW w:w="3171" w:type="dxa"/>
            <w:vMerge w:val="restart"/>
            <w:vAlign w:val="center"/>
          </w:tcPr>
          <w:p w14:paraId="0603F02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0" w:name="OLE_LINK1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德曲妥珠单抗</w:t>
            </w:r>
            <w:bookmarkEnd w:id="2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3849" w:type="dxa"/>
            <w:vAlign w:val="center"/>
          </w:tcPr>
          <w:p w14:paraId="6EAFB04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</w:t>
            </w: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癌、非小细胞肺癌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、胃癌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胃食管</w:t>
            </w:r>
            <w:bookmarkStart w:id="31" w:name="_GoBack"/>
            <w:bookmarkEnd w:id="31"/>
          </w:p>
          <w:p w14:paraId="6BDF0A8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结合腺癌</w:t>
            </w:r>
          </w:p>
        </w:tc>
        <w:tc>
          <w:tcPr>
            <w:tcW w:w="3139" w:type="dxa"/>
            <w:vAlign w:val="center"/>
          </w:tcPr>
          <w:p w14:paraId="01F8AC4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234092F2">
        <w:trPr>
          <w:trHeight w:val="23" w:hRule="atLeast"/>
          <w:jc w:val="center"/>
        </w:trPr>
        <w:tc>
          <w:tcPr>
            <w:tcW w:w="3171" w:type="dxa"/>
            <w:vMerge w:val="continue"/>
            <w:tcBorders/>
            <w:vAlign w:val="center"/>
          </w:tcPr>
          <w:p w14:paraId="611C9DE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1" w:name="OLE_LINK14"/>
          </w:p>
        </w:tc>
        <w:tc>
          <w:tcPr>
            <w:tcW w:w="3849" w:type="dxa"/>
            <w:vAlign w:val="center"/>
          </w:tcPr>
          <w:p w14:paraId="267EAE5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实体瘤</w:t>
            </w:r>
          </w:p>
        </w:tc>
        <w:tc>
          <w:tcPr>
            <w:tcW w:w="3139" w:type="dxa"/>
            <w:vAlign w:val="center"/>
          </w:tcPr>
          <w:p w14:paraId="6646DDD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45CB4E55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78EB511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马吉妥昔单抗</w:t>
            </w:r>
            <w:bookmarkEnd w:id="21"/>
          </w:p>
        </w:tc>
        <w:tc>
          <w:tcPr>
            <w:tcW w:w="3849" w:type="dxa"/>
            <w:vAlign w:val="center"/>
          </w:tcPr>
          <w:p w14:paraId="487AE35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7D7BDF5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1339D709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694EEBE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维迪西妥单抗</w:t>
            </w:r>
          </w:p>
        </w:tc>
        <w:tc>
          <w:tcPr>
            <w:tcW w:w="3849" w:type="dxa"/>
            <w:vAlign w:val="center"/>
          </w:tcPr>
          <w:p w14:paraId="7263940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2" w:name="OLE_LINK1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</w:t>
            </w:r>
            <w:bookmarkEnd w:id="22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、膀胱尿路上皮癌</w:t>
            </w:r>
          </w:p>
        </w:tc>
        <w:tc>
          <w:tcPr>
            <w:tcW w:w="3139" w:type="dxa"/>
            <w:vAlign w:val="center"/>
          </w:tcPr>
          <w:p w14:paraId="2530B99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10905024">
        <w:trPr>
          <w:trHeight w:val="400" w:hRule="atLeast"/>
          <w:jc w:val="center"/>
        </w:trPr>
        <w:tc>
          <w:tcPr>
            <w:tcW w:w="3171" w:type="dxa"/>
            <w:vAlign w:val="center"/>
          </w:tcPr>
          <w:p w14:paraId="784A3E5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帕博利珠单抗</w:t>
            </w:r>
          </w:p>
        </w:tc>
        <w:tc>
          <w:tcPr>
            <w:tcW w:w="3849" w:type="dxa"/>
            <w:vAlign w:val="center"/>
          </w:tcPr>
          <w:p w14:paraId="528F863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</w:t>
            </w:r>
          </w:p>
        </w:tc>
        <w:tc>
          <w:tcPr>
            <w:tcW w:w="3139" w:type="dxa"/>
            <w:vAlign w:val="center"/>
          </w:tcPr>
          <w:p w14:paraId="6D3C07E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</w:tbl>
    <w:p w14:paraId="5CB77FEC">
      <w:pPr>
        <w:adjustRightInd w:val="0"/>
        <w:snapToGrid w:val="0"/>
        <w:jc w:val="both"/>
        <w:rPr>
          <w:rFonts w:hint="default" w:ascii="Times New Roman" w:hAnsi="Times New Roman" w:eastAsia="微软雅黑" w:cs="Times New Roman"/>
          <w:b/>
          <w:bCs/>
          <w:color w:val="548DD4"/>
          <w:sz w:val="16"/>
          <w:szCs w:val="16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16"/>
          <w:szCs w:val="16"/>
          <w:lang w:eastAsia="zh-CN"/>
        </w:rPr>
        <w:t>注：德曲妥珠单抗* 经FDA批准可用于HER2低表达 (IHC 1+ or IHC 2+/ISH-）不可切除或转移性乳腺癌成人患者。</w:t>
      </w:r>
    </w:p>
    <w:p w14:paraId="18775CC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  <w:t>其它处于临床研究阶段的</w:t>
      </w:r>
      <w:r>
        <w:rPr>
          <w:rFonts w:hint="default" w:ascii="Times New Roman" w:hAnsi="Times New Roman" w:eastAsia="微软雅黑" w:cs="Times New Roman"/>
          <w:b/>
          <w:bCs w:val="0"/>
          <w:color w:val="033F86"/>
          <w:lang w:val="en-US" w:eastAsia="zh-CN" w:bidi="ar-SA"/>
        </w:rPr>
        <w:t>（部分）</w:t>
      </w:r>
      <w:r>
        <w:rPr>
          <w:rFonts w:hint="default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  <w:t>药物</w:t>
      </w:r>
      <w:r>
        <w:rPr>
          <w:rFonts w:hint="default" w:ascii="Times New Roman" w:hAnsi="Times New Roman" w:eastAsia="微软雅黑" w:cs="Times New Roman"/>
          <w:bCs/>
          <w:color w:val="033F86"/>
          <w:sz w:val="21"/>
          <w:szCs w:val="21"/>
          <w:vertAlign w:val="superscript"/>
          <w:lang w:val="en-US" w:eastAsia="zh-CN" w:bidi="ar-SA"/>
        </w:rPr>
        <w:t>[6,7]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2350"/>
        <w:gridCol w:w="1487"/>
        <w:gridCol w:w="2482"/>
        <w:gridCol w:w="1444"/>
      </w:tblGrid>
      <w:tr w14:paraId="2BC892AF">
        <w:trPr>
          <w:trHeight w:val="90" w:hRule="atLeast"/>
          <w:jc w:val="center"/>
        </w:trPr>
        <w:tc>
          <w:tcPr>
            <w:tcW w:w="2175" w:type="dxa"/>
            <w:shd w:val="clear" w:color="auto" w:fill="BEBEBE"/>
            <w:vAlign w:val="center"/>
          </w:tcPr>
          <w:p w14:paraId="75B5790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公司</w:t>
            </w:r>
          </w:p>
        </w:tc>
        <w:tc>
          <w:tcPr>
            <w:tcW w:w="2350" w:type="dxa"/>
            <w:shd w:val="clear" w:color="auto" w:fill="BEBEBE"/>
            <w:vAlign w:val="center"/>
          </w:tcPr>
          <w:p w14:paraId="7F645F9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1487" w:type="dxa"/>
            <w:shd w:val="clear" w:color="auto" w:fill="BEBEBE"/>
            <w:vAlign w:val="center"/>
          </w:tcPr>
          <w:p w14:paraId="767AF3B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靶点</w:t>
            </w:r>
          </w:p>
        </w:tc>
        <w:tc>
          <w:tcPr>
            <w:tcW w:w="2482" w:type="dxa"/>
            <w:shd w:val="clear" w:color="auto" w:fill="BEBEBE"/>
            <w:vAlign w:val="center"/>
          </w:tcPr>
          <w:p w14:paraId="5C86EBA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1444" w:type="dxa"/>
            <w:shd w:val="clear" w:color="auto" w:fill="BEBEBE"/>
            <w:vAlign w:val="center"/>
          </w:tcPr>
          <w:p w14:paraId="7AD943C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临床分期</w:t>
            </w:r>
          </w:p>
        </w:tc>
      </w:tr>
      <w:tr w14:paraId="4C64B98F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20E944E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0A71557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3" w:name="OLE_LINK18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</w:t>
            </w:r>
            <w:bookmarkEnd w:id="2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a</w:t>
            </w:r>
          </w:p>
        </w:tc>
        <w:tc>
          <w:tcPr>
            <w:tcW w:w="1487" w:type="dxa"/>
            <w:vAlign w:val="center"/>
          </w:tcPr>
          <w:p w14:paraId="0B9CB3A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62DE59D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胃癌或GEJ腺癌</w:t>
            </w:r>
          </w:p>
        </w:tc>
        <w:tc>
          <w:tcPr>
            <w:tcW w:w="1444" w:type="dxa"/>
            <w:vAlign w:val="center"/>
          </w:tcPr>
          <w:p w14:paraId="6AFC324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4F4BF721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42C8185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58098D2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6A941D0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01FD565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2009A30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6E67CC8A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3F4D0FC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4FDC591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6C8870C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7FB0887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实体瘤</w:t>
            </w:r>
          </w:p>
        </w:tc>
        <w:tc>
          <w:tcPr>
            <w:tcW w:w="1444" w:type="dxa"/>
            <w:vAlign w:val="center"/>
          </w:tcPr>
          <w:p w14:paraId="40BED85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7FCC9066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4CF1397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阿斯利康</w:t>
            </w:r>
          </w:p>
        </w:tc>
        <w:tc>
          <w:tcPr>
            <w:tcW w:w="2350" w:type="dxa"/>
            <w:vAlign w:val="center"/>
          </w:tcPr>
          <w:p w14:paraId="0CCC612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2B3B2E3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50717BF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非小细胞肺癌</w:t>
            </w:r>
          </w:p>
        </w:tc>
        <w:tc>
          <w:tcPr>
            <w:tcW w:w="1444" w:type="dxa"/>
            <w:vAlign w:val="center"/>
          </w:tcPr>
          <w:p w14:paraId="392E2B2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711DB29F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4553768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4" w:name="OLE_LINK2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恒瑞医药</w:t>
            </w:r>
            <w:bookmarkEnd w:id="24"/>
          </w:p>
        </w:tc>
        <w:tc>
          <w:tcPr>
            <w:tcW w:w="2350" w:type="dxa"/>
            <w:vAlign w:val="center"/>
          </w:tcPr>
          <w:p w14:paraId="3BC3DAA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5" w:name="OLE_LINK22"/>
            <w:bookmarkStart w:id="26" w:name="OLE_LINK24"/>
            <w:bookmarkStart w:id="27" w:name="OLE_LINK2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SHR</w:t>
            </w:r>
            <w:bookmarkEnd w:id="2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-A181</w:t>
            </w:r>
            <w:bookmarkEnd w:id="26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1</w:t>
            </w:r>
            <w:bookmarkEnd w:id="27"/>
          </w:p>
        </w:tc>
        <w:tc>
          <w:tcPr>
            <w:tcW w:w="1487" w:type="dxa"/>
            <w:vAlign w:val="center"/>
          </w:tcPr>
          <w:p w14:paraId="01A7B7B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8" w:name="OLE_LINK2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  <w:bookmarkEnd w:id="28"/>
          </w:p>
        </w:tc>
        <w:tc>
          <w:tcPr>
            <w:tcW w:w="2482" w:type="dxa"/>
            <w:vAlign w:val="center"/>
          </w:tcPr>
          <w:p w14:paraId="1570388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7DFDF19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3C10FB3F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6959CD3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00FBC6D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580B009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085BAFA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0D1CAAD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0DFE3BA9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57E3CE9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盛禾生物</w:t>
            </w:r>
          </w:p>
        </w:tc>
        <w:tc>
          <w:tcPr>
            <w:tcW w:w="2350" w:type="dxa"/>
            <w:vAlign w:val="center"/>
          </w:tcPr>
          <w:p w14:paraId="0B4DB82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IAH0968</w:t>
            </w:r>
          </w:p>
        </w:tc>
        <w:tc>
          <w:tcPr>
            <w:tcW w:w="1487" w:type="dxa"/>
            <w:vAlign w:val="center"/>
          </w:tcPr>
          <w:p w14:paraId="3A0D7C0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261259B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64451B5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0C7CAE85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26016C0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康宁杰瑞</w:t>
            </w:r>
          </w:p>
        </w:tc>
        <w:tc>
          <w:tcPr>
            <w:tcW w:w="2350" w:type="dxa"/>
            <w:vAlign w:val="center"/>
          </w:tcPr>
          <w:p w14:paraId="0593FDF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KN026</w:t>
            </w:r>
          </w:p>
        </w:tc>
        <w:tc>
          <w:tcPr>
            <w:tcW w:w="1487" w:type="dxa"/>
            <w:vAlign w:val="center"/>
          </w:tcPr>
          <w:p w14:paraId="5A8A0CE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309B5A5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胃癌/胃食管结合腺癌</w:t>
            </w:r>
          </w:p>
        </w:tc>
        <w:tc>
          <w:tcPr>
            <w:tcW w:w="1444" w:type="dxa"/>
            <w:vAlign w:val="center"/>
          </w:tcPr>
          <w:p w14:paraId="2F4763C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9" w:name="OLE_LINK3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  <w:bookmarkEnd w:id="29"/>
          </w:p>
        </w:tc>
      </w:tr>
      <w:tr w14:paraId="60E09DC6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1D0ADE1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恒瑞医药</w:t>
            </w:r>
          </w:p>
        </w:tc>
        <w:tc>
          <w:tcPr>
            <w:tcW w:w="2350" w:type="dxa"/>
            <w:vAlign w:val="center"/>
          </w:tcPr>
          <w:p w14:paraId="1CB5C0B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SHR-A1811</w:t>
            </w:r>
          </w:p>
        </w:tc>
        <w:tc>
          <w:tcPr>
            <w:tcW w:w="1487" w:type="dxa"/>
            <w:vAlign w:val="center"/>
          </w:tcPr>
          <w:p w14:paraId="63EBBF9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227CD75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66D06DD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  <w:tr w14:paraId="50CF8DDE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44EA5B7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66E4C4D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4AEAF4D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386F587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尿路上皮癌</w:t>
            </w:r>
          </w:p>
        </w:tc>
        <w:tc>
          <w:tcPr>
            <w:tcW w:w="1444" w:type="dxa"/>
            <w:vAlign w:val="center"/>
          </w:tcPr>
          <w:p w14:paraId="281C33C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</w:tbl>
    <w:p w14:paraId="7080C523">
      <w:pPr>
        <w:autoSpaceDE w:val="0"/>
        <w:autoSpaceDN w:val="0"/>
        <w:adjustRightInd w:val="0"/>
        <w:snapToGrid w:val="0"/>
        <w:spacing w:line="360" w:lineRule="auto"/>
        <w:ind w:firstLine="440" w:firstLineChars="200"/>
        <w:jc w:val="both"/>
        <w:rPr>
          <w:rFonts w:hint="default" w:ascii="Times New Roman" w:hAnsi="Times New Roman" w:eastAsia="微软雅黑" w:cs="Times New Roman"/>
          <w:bCs/>
          <w:kern w:val="0"/>
        </w:rPr>
      </w:pPr>
      <w:r>
        <w:rPr>
          <w:rFonts w:hint="default" w:ascii="Times New Roman" w:hAnsi="Times New Roman" w:eastAsia="微软雅黑" w:cs="Times New Roman"/>
          <w:bCs/>
          <w:kern w:val="0"/>
        </w:rPr>
        <w:br w:type="page"/>
      </w:r>
    </w:p>
    <w:p w14:paraId="31C1000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color w:val="033F86"/>
          <w:sz w:val="21"/>
          <w:szCs w:val="21"/>
          <w:lang w:val="en-US" w:eastAsia="zh-CN" w:bidi="ar-SA"/>
        </w:rPr>
        <w:t>参考文献</w:t>
      </w:r>
    </w:p>
    <w:p w14:paraId="56B00B7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Yarden, Y，et al. Untangling the ErbB signalling network. Nature reviews. Molecular cell biology. 2001 Feb;2(2):127-37.</w:t>
      </w:r>
    </w:p>
    <w:p w14:paraId="72CBBDF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Hynes, N. E，et al. ERBB receptors and cancer: the complexity of targeted inhibitors. Nature reviews. Cancer. 2005 May;5(5):341-54.</w:t>
      </w:r>
    </w:p>
    <w:p w14:paraId="3C8BC0C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 xml:space="preserve">Menard S，et al. Biologic and therapeutic role of HER2 in cancer［J］. Oncogene. 2003 Sep 29;22(42):6570-8. </w:t>
      </w:r>
    </w:p>
    <w:p w14:paraId="0A80C2A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国家药品监督管理局药品审评中心 (cde.org.cn)</w:t>
      </w:r>
    </w:p>
    <w:p w14:paraId="6864DB3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Drugs@FDA: FDA-Approved Drugs</w:t>
      </w:r>
    </w:p>
    <w:p w14:paraId="281F754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bookmarkStart w:id="30" w:name="OLE_LINK7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https://www.chictr.org.cn/</w:t>
      </w:r>
      <w:bookmarkEnd w:id="30"/>
    </w:p>
    <w:p w14:paraId="6C6596A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https://clinicaltrials.gov/</w:t>
      </w:r>
    </w:p>
    <w:p w14:paraId="0FB10868">
      <w:pPr>
        <w:pStyle w:val="13"/>
        <w:widowControl/>
        <w:rPr>
          <w:rFonts w:hint="default" w:ascii="Times New Roman" w:hAnsi="Times New Roman" w:eastAsia="等线"/>
          <w:sz w:val="22"/>
          <w:lang w:eastAsia="zh-CN"/>
        </w:rPr>
      </w:pPr>
    </w:p>
    <w:sectPr>
      <w:headerReference r:id="rId5" w:type="default"/>
      <w:footerReference r:id="rId6" w:type="default"/>
      <w:pgSz w:w="11906" w:h="16838"/>
      <w:pgMar w:top="850" w:right="850" w:bottom="850" w:left="850" w:header="851" w:footer="39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B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34629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95B500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3784BA4B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59264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395B500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3784BA4B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7EE47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3208655</wp:posOffset>
              </wp:positionH>
              <wp:positionV relativeFrom="paragraph">
                <wp:posOffset>-43815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7705F1">
                          <w:pPr>
                            <w:pStyle w:val="9"/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2.65pt;margin-top:-3.45pt;height:144pt;width:144pt;mso-position-horizontal-relative:margin;mso-wrap-style:none;z-index:251660288;mso-width-relative:page;mso-height-relative:page;" filled="f" stroked="f" coordsize="21600,21600" o:gfxdata="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eePr9gAAAAKAQAADwAAAAAAAAABACAAAAAiAAAAZHJzL2Rvd25yZXYueG1s&#10;UEsBAhQAFAAAAAgAh07iQOsAOHoxAgAAYwQAAA4AAAAAAAAAAQAgAAAAJ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7705F1">
                    <w:pPr>
                      <w:pStyle w:val="9"/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EFF7C">
    <w:pPr>
      <w:pStyle w:val="10"/>
      <w:jc w:val="right"/>
      <w:rPr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49282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750F2A0"/>
    <w:multiLevelType w:val="singleLevel"/>
    <w:tmpl w:val="C750F2A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rFonts w:hint="default"/>
        <w:sz w:val="18"/>
        <w:szCs w:val="18"/>
      </w:rPr>
    </w:lvl>
  </w:abstractNum>
  <w:abstractNum w:abstractNumId="1">
    <w:nsid w:val="EF752B0B"/>
    <w:multiLevelType w:val="singleLevel"/>
    <w:tmpl w:val="EF752B0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yN2RjY2U1ZDAzZWMyYzFlOTBlZjhiNjIyZTM0MTE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22E17E8"/>
    <w:rsid w:val="02337A11"/>
    <w:rsid w:val="029E39F1"/>
    <w:rsid w:val="02AC1427"/>
    <w:rsid w:val="02B32C00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3F3B9B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141C07"/>
    <w:rsid w:val="063D39DB"/>
    <w:rsid w:val="06A61E8D"/>
    <w:rsid w:val="06E36A2C"/>
    <w:rsid w:val="06EB7F4D"/>
    <w:rsid w:val="06F67704"/>
    <w:rsid w:val="07313E5F"/>
    <w:rsid w:val="074043CC"/>
    <w:rsid w:val="07AB34E7"/>
    <w:rsid w:val="07D36A00"/>
    <w:rsid w:val="07DB59EB"/>
    <w:rsid w:val="07EE7232"/>
    <w:rsid w:val="08337B1F"/>
    <w:rsid w:val="083F50A2"/>
    <w:rsid w:val="088D7FF0"/>
    <w:rsid w:val="08D31BFA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B106684"/>
    <w:rsid w:val="0C1768CC"/>
    <w:rsid w:val="0C3A0C95"/>
    <w:rsid w:val="0C3E5385"/>
    <w:rsid w:val="0C96240B"/>
    <w:rsid w:val="0D055CE8"/>
    <w:rsid w:val="0D0E2E15"/>
    <w:rsid w:val="0D5374B9"/>
    <w:rsid w:val="0D877621"/>
    <w:rsid w:val="0D8D61C7"/>
    <w:rsid w:val="0D9819F1"/>
    <w:rsid w:val="0DF02F5A"/>
    <w:rsid w:val="0E11445D"/>
    <w:rsid w:val="0E4A7A1D"/>
    <w:rsid w:val="0E542351"/>
    <w:rsid w:val="0E632099"/>
    <w:rsid w:val="0EBF2A43"/>
    <w:rsid w:val="0EC91129"/>
    <w:rsid w:val="0ED843CC"/>
    <w:rsid w:val="0EDF160E"/>
    <w:rsid w:val="0F1A5CDE"/>
    <w:rsid w:val="0F1B299B"/>
    <w:rsid w:val="0F4D1A8A"/>
    <w:rsid w:val="0FB9297A"/>
    <w:rsid w:val="0FCB1589"/>
    <w:rsid w:val="0FEF6595"/>
    <w:rsid w:val="0FF26B15"/>
    <w:rsid w:val="0FFE1C1F"/>
    <w:rsid w:val="100920B1"/>
    <w:rsid w:val="102F4176"/>
    <w:rsid w:val="10626219"/>
    <w:rsid w:val="10A519AE"/>
    <w:rsid w:val="11067689"/>
    <w:rsid w:val="110D3F98"/>
    <w:rsid w:val="11216BAF"/>
    <w:rsid w:val="11E05943"/>
    <w:rsid w:val="12744159"/>
    <w:rsid w:val="12850E64"/>
    <w:rsid w:val="12963DA1"/>
    <w:rsid w:val="12F372F0"/>
    <w:rsid w:val="131E6B23"/>
    <w:rsid w:val="132612E4"/>
    <w:rsid w:val="13897526"/>
    <w:rsid w:val="13AB527B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915022"/>
    <w:rsid w:val="15D73C77"/>
    <w:rsid w:val="165063E4"/>
    <w:rsid w:val="16560F01"/>
    <w:rsid w:val="16BD5BE8"/>
    <w:rsid w:val="16E67B0D"/>
    <w:rsid w:val="16EF32B7"/>
    <w:rsid w:val="16F8465A"/>
    <w:rsid w:val="179E5A16"/>
    <w:rsid w:val="17EF172D"/>
    <w:rsid w:val="17EF6030"/>
    <w:rsid w:val="18036692"/>
    <w:rsid w:val="184F5A03"/>
    <w:rsid w:val="186B4287"/>
    <w:rsid w:val="188B1EE6"/>
    <w:rsid w:val="188E10A8"/>
    <w:rsid w:val="18A5002C"/>
    <w:rsid w:val="19437087"/>
    <w:rsid w:val="1969147D"/>
    <w:rsid w:val="199369D8"/>
    <w:rsid w:val="19C00606"/>
    <w:rsid w:val="1A810FAD"/>
    <w:rsid w:val="1B10343F"/>
    <w:rsid w:val="1B28649B"/>
    <w:rsid w:val="1BA36B7F"/>
    <w:rsid w:val="1BAD3E87"/>
    <w:rsid w:val="1C7A05D0"/>
    <w:rsid w:val="1C98707F"/>
    <w:rsid w:val="1CCD19AC"/>
    <w:rsid w:val="1CFB3D7D"/>
    <w:rsid w:val="1D0B7646"/>
    <w:rsid w:val="1D103BE7"/>
    <w:rsid w:val="1E5B4AE9"/>
    <w:rsid w:val="1E5F5CBE"/>
    <w:rsid w:val="1E8474D2"/>
    <w:rsid w:val="1EAB0C6A"/>
    <w:rsid w:val="1EAF2912"/>
    <w:rsid w:val="1EEB2832"/>
    <w:rsid w:val="1F2B7CAE"/>
    <w:rsid w:val="1F4E3F72"/>
    <w:rsid w:val="1F7A352E"/>
    <w:rsid w:val="1FB23A5A"/>
    <w:rsid w:val="1FC77337"/>
    <w:rsid w:val="20205A20"/>
    <w:rsid w:val="202D7F0F"/>
    <w:rsid w:val="20855B55"/>
    <w:rsid w:val="209432E5"/>
    <w:rsid w:val="20C205EB"/>
    <w:rsid w:val="20CA3A62"/>
    <w:rsid w:val="21491A1D"/>
    <w:rsid w:val="216F18A9"/>
    <w:rsid w:val="218960DE"/>
    <w:rsid w:val="21D55A39"/>
    <w:rsid w:val="22003639"/>
    <w:rsid w:val="22180203"/>
    <w:rsid w:val="225C4CF6"/>
    <w:rsid w:val="22765AC8"/>
    <w:rsid w:val="228766DF"/>
    <w:rsid w:val="22A41FB0"/>
    <w:rsid w:val="22BB36DF"/>
    <w:rsid w:val="22D11985"/>
    <w:rsid w:val="22D327D6"/>
    <w:rsid w:val="22D4409F"/>
    <w:rsid w:val="2300063A"/>
    <w:rsid w:val="2322058C"/>
    <w:rsid w:val="235C2C2A"/>
    <w:rsid w:val="239301B8"/>
    <w:rsid w:val="23AE4FF1"/>
    <w:rsid w:val="23DC4798"/>
    <w:rsid w:val="23FF1819"/>
    <w:rsid w:val="240007AE"/>
    <w:rsid w:val="243036BC"/>
    <w:rsid w:val="243D05CE"/>
    <w:rsid w:val="244D2216"/>
    <w:rsid w:val="250E3D96"/>
    <w:rsid w:val="25233303"/>
    <w:rsid w:val="253036C5"/>
    <w:rsid w:val="256C4478"/>
    <w:rsid w:val="26393298"/>
    <w:rsid w:val="26976104"/>
    <w:rsid w:val="26FE539F"/>
    <w:rsid w:val="271A3FF4"/>
    <w:rsid w:val="271C165B"/>
    <w:rsid w:val="2786240A"/>
    <w:rsid w:val="27870460"/>
    <w:rsid w:val="280D4603"/>
    <w:rsid w:val="28855B91"/>
    <w:rsid w:val="28B63ACE"/>
    <w:rsid w:val="28B640D1"/>
    <w:rsid w:val="28B74238"/>
    <w:rsid w:val="28B83CA7"/>
    <w:rsid w:val="28E502F9"/>
    <w:rsid w:val="290D27BA"/>
    <w:rsid w:val="292D0C40"/>
    <w:rsid w:val="29363F06"/>
    <w:rsid w:val="296F5B95"/>
    <w:rsid w:val="29DE0525"/>
    <w:rsid w:val="29EF70C8"/>
    <w:rsid w:val="2A1A518F"/>
    <w:rsid w:val="2A221D03"/>
    <w:rsid w:val="2A3716AB"/>
    <w:rsid w:val="2A51621C"/>
    <w:rsid w:val="2A9646DF"/>
    <w:rsid w:val="2ABA75FF"/>
    <w:rsid w:val="2ADE2A02"/>
    <w:rsid w:val="2B0025D7"/>
    <w:rsid w:val="2B485DBB"/>
    <w:rsid w:val="2B671B1E"/>
    <w:rsid w:val="2B692B05"/>
    <w:rsid w:val="2B8C0A94"/>
    <w:rsid w:val="2BDE1876"/>
    <w:rsid w:val="2BF7758D"/>
    <w:rsid w:val="2C165FD1"/>
    <w:rsid w:val="2C180353"/>
    <w:rsid w:val="2C427C83"/>
    <w:rsid w:val="2D6440D5"/>
    <w:rsid w:val="2D99461C"/>
    <w:rsid w:val="2E0C0EE9"/>
    <w:rsid w:val="2E2868F4"/>
    <w:rsid w:val="2E3D6CA4"/>
    <w:rsid w:val="2E7C3545"/>
    <w:rsid w:val="2EB35A8A"/>
    <w:rsid w:val="2F1809B2"/>
    <w:rsid w:val="2F28730D"/>
    <w:rsid w:val="2F311567"/>
    <w:rsid w:val="2F37139C"/>
    <w:rsid w:val="2F412D0C"/>
    <w:rsid w:val="2F9768C8"/>
    <w:rsid w:val="2FF67B04"/>
    <w:rsid w:val="303F18CE"/>
    <w:rsid w:val="304862D7"/>
    <w:rsid w:val="304B0481"/>
    <w:rsid w:val="307F054F"/>
    <w:rsid w:val="30DA24F1"/>
    <w:rsid w:val="30E41C41"/>
    <w:rsid w:val="31033685"/>
    <w:rsid w:val="31033CD2"/>
    <w:rsid w:val="310959FE"/>
    <w:rsid w:val="3109732A"/>
    <w:rsid w:val="314B21CA"/>
    <w:rsid w:val="315E5833"/>
    <w:rsid w:val="31F97D80"/>
    <w:rsid w:val="32080EDC"/>
    <w:rsid w:val="323C7625"/>
    <w:rsid w:val="32AB7EAB"/>
    <w:rsid w:val="32B71D27"/>
    <w:rsid w:val="32DE07F1"/>
    <w:rsid w:val="32F01EBB"/>
    <w:rsid w:val="33323300"/>
    <w:rsid w:val="33725A73"/>
    <w:rsid w:val="338527AA"/>
    <w:rsid w:val="3395520D"/>
    <w:rsid w:val="33AE0711"/>
    <w:rsid w:val="33B80238"/>
    <w:rsid w:val="341460B3"/>
    <w:rsid w:val="346D24B1"/>
    <w:rsid w:val="34777EA9"/>
    <w:rsid w:val="348573AD"/>
    <w:rsid w:val="354B10C4"/>
    <w:rsid w:val="357E5409"/>
    <w:rsid w:val="35945D5F"/>
    <w:rsid w:val="35973784"/>
    <w:rsid w:val="35B3556B"/>
    <w:rsid w:val="35C945AD"/>
    <w:rsid w:val="35F5325E"/>
    <w:rsid w:val="360630CA"/>
    <w:rsid w:val="360A76FC"/>
    <w:rsid w:val="369C274E"/>
    <w:rsid w:val="36F37161"/>
    <w:rsid w:val="37054AD1"/>
    <w:rsid w:val="37092813"/>
    <w:rsid w:val="371E73E3"/>
    <w:rsid w:val="37E81DE8"/>
    <w:rsid w:val="3848012E"/>
    <w:rsid w:val="38E26DA6"/>
    <w:rsid w:val="39334160"/>
    <w:rsid w:val="39525C52"/>
    <w:rsid w:val="3962620A"/>
    <w:rsid w:val="399A5E65"/>
    <w:rsid w:val="39A64D30"/>
    <w:rsid w:val="3A202424"/>
    <w:rsid w:val="3AEF4843"/>
    <w:rsid w:val="3AF460F5"/>
    <w:rsid w:val="3B0C44A5"/>
    <w:rsid w:val="3B42564A"/>
    <w:rsid w:val="3B6E4C22"/>
    <w:rsid w:val="3B721C7C"/>
    <w:rsid w:val="3B9B0105"/>
    <w:rsid w:val="3BCA5BC4"/>
    <w:rsid w:val="3BE02CB1"/>
    <w:rsid w:val="3BEA5380"/>
    <w:rsid w:val="3C3F24CA"/>
    <w:rsid w:val="3C5D7D9D"/>
    <w:rsid w:val="3CC95781"/>
    <w:rsid w:val="3CD218BB"/>
    <w:rsid w:val="3D1C54C3"/>
    <w:rsid w:val="3D6A1663"/>
    <w:rsid w:val="3D6C60E9"/>
    <w:rsid w:val="3D855C98"/>
    <w:rsid w:val="3DC8028C"/>
    <w:rsid w:val="3E3A3804"/>
    <w:rsid w:val="3EC949BD"/>
    <w:rsid w:val="3F141D55"/>
    <w:rsid w:val="3F1D1FAD"/>
    <w:rsid w:val="3F484A69"/>
    <w:rsid w:val="3F4A5238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9377D3"/>
    <w:rsid w:val="41C73588"/>
    <w:rsid w:val="41EC43CC"/>
    <w:rsid w:val="41FF695D"/>
    <w:rsid w:val="422B0E54"/>
    <w:rsid w:val="42D665BD"/>
    <w:rsid w:val="42F70CC1"/>
    <w:rsid w:val="43037B90"/>
    <w:rsid w:val="43370708"/>
    <w:rsid w:val="43821027"/>
    <w:rsid w:val="438A6A89"/>
    <w:rsid w:val="44C23006"/>
    <w:rsid w:val="452112A4"/>
    <w:rsid w:val="454A2BAB"/>
    <w:rsid w:val="459308E1"/>
    <w:rsid w:val="45A93012"/>
    <w:rsid w:val="45D4644E"/>
    <w:rsid w:val="46550A34"/>
    <w:rsid w:val="46B72EB2"/>
    <w:rsid w:val="474B4782"/>
    <w:rsid w:val="477517FF"/>
    <w:rsid w:val="477E3BB2"/>
    <w:rsid w:val="47A33F8A"/>
    <w:rsid w:val="480368AF"/>
    <w:rsid w:val="4811052D"/>
    <w:rsid w:val="48480CC1"/>
    <w:rsid w:val="48531B40"/>
    <w:rsid w:val="48C5225E"/>
    <w:rsid w:val="48C65C4C"/>
    <w:rsid w:val="48F33103"/>
    <w:rsid w:val="49463453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B09298A"/>
    <w:rsid w:val="4B315A79"/>
    <w:rsid w:val="4BC14EAA"/>
    <w:rsid w:val="4BE42260"/>
    <w:rsid w:val="4C050246"/>
    <w:rsid w:val="4C0B1AE7"/>
    <w:rsid w:val="4C0F23A4"/>
    <w:rsid w:val="4C120763"/>
    <w:rsid w:val="4C190002"/>
    <w:rsid w:val="4C6263AC"/>
    <w:rsid w:val="4CBC4A3F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3D2F1A"/>
    <w:rsid w:val="4E414BB2"/>
    <w:rsid w:val="4EBE65E6"/>
    <w:rsid w:val="4ED24E8A"/>
    <w:rsid w:val="4ED75229"/>
    <w:rsid w:val="4ED81994"/>
    <w:rsid w:val="4F2C4F1E"/>
    <w:rsid w:val="4F5624CB"/>
    <w:rsid w:val="4F8A3F4D"/>
    <w:rsid w:val="4FB467F9"/>
    <w:rsid w:val="4FCB398E"/>
    <w:rsid w:val="4FD02F65"/>
    <w:rsid w:val="510D07DF"/>
    <w:rsid w:val="516C72A2"/>
    <w:rsid w:val="51967B24"/>
    <w:rsid w:val="519B28E7"/>
    <w:rsid w:val="52594F0F"/>
    <w:rsid w:val="52832C8D"/>
    <w:rsid w:val="52972F71"/>
    <w:rsid w:val="52DB3A4A"/>
    <w:rsid w:val="52E57CC3"/>
    <w:rsid w:val="52FF44FB"/>
    <w:rsid w:val="5312550A"/>
    <w:rsid w:val="53287C34"/>
    <w:rsid w:val="53667193"/>
    <w:rsid w:val="53BA6F17"/>
    <w:rsid w:val="53D1543B"/>
    <w:rsid w:val="53DE69BF"/>
    <w:rsid w:val="541A0F48"/>
    <w:rsid w:val="541C0D17"/>
    <w:rsid w:val="541E45C6"/>
    <w:rsid w:val="542A6641"/>
    <w:rsid w:val="543E18F6"/>
    <w:rsid w:val="544B130D"/>
    <w:rsid w:val="547738E5"/>
    <w:rsid w:val="54CF254E"/>
    <w:rsid w:val="54D44608"/>
    <w:rsid w:val="54D723E8"/>
    <w:rsid w:val="550721D5"/>
    <w:rsid w:val="55195EBF"/>
    <w:rsid w:val="5566343D"/>
    <w:rsid w:val="55A47060"/>
    <w:rsid w:val="55AC3F06"/>
    <w:rsid w:val="55AC636A"/>
    <w:rsid w:val="55C15CC7"/>
    <w:rsid w:val="55C40B66"/>
    <w:rsid w:val="55F3376F"/>
    <w:rsid w:val="56021356"/>
    <w:rsid w:val="56111690"/>
    <w:rsid w:val="563648E8"/>
    <w:rsid w:val="56765A9B"/>
    <w:rsid w:val="56872CC7"/>
    <w:rsid w:val="56A650A5"/>
    <w:rsid w:val="56B967C0"/>
    <w:rsid w:val="56BE67A9"/>
    <w:rsid w:val="56EE7782"/>
    <w:rsid w:val="57345015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C45C8C"/>
    <w:rsid w:val="58DE21CC"/>
    <w:rsid w:val="58E6455C"/>
    <w:rsid w:val="5927169E"/>
    <w:rsid w:val="59404CA7"/>
    <w:rsid w:val="597A346D"/>
    <w:rsid w:val="5B201627"/>
    <w:rsid w:val="5B2616E5"/>
    <w:rsid w:val="5B3A4C3E"/>
    <w:rsid w:val="5B884B96"/>
    <w:rsid w:val="5C702399"/>
    <w:rsid w:val="5D090FC9"/>
    <w:rsid w:val="5E8C7702"/>
    <w:rsid w:val="5EB2544D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A827A3"/>
    <w:rsid w:val="60D51A59"/>
    <w:rsid w:val="60E82224"/>
    <w:rsid w:val="60F575C1"/>
    <w:rsid w:val="610010C4"/>
    <w:rsid w:val="61147D5F"/>
    <w:rsid w:val="613926B5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A948B2"/>
    <w:rsid w:val="63D615FE"/>
    <w:rsid w:val="640B7333"/>
    <w:rsid w:val="64367532"/>
    <w:rsid w:val="64582635"/>
    <w:rsid w:val="645D6AC4"/>
    <w:rsid w:val="6469117D"/>
    <w:rsid w:val="64871562"/>
    <w:rsid w:val="648D5C88"/>
    <w:rsid w:val="64BF03EE"/>
    <w:rsid w:val="64EA7FB1"/>
    <w:rsid w:val="64EC6C5A"/>
    <w:rsid w:val="653D7AF3"/>
    <w:rsid w:val="658D3BDA"/>
    <w:rsid w:val="65B119A5"/>
    <w:rsid w:val="65F916BF"/>
    <w:rsid w:val="6622535F"/>
    <w:rsid w:val="66565CBE"/>
    <w:rsid w:val="670E76D1"/>
    <w:rsid w:val="67326007"/>
    <w:rsid w:val="67574E33"/>
    <w:rsid w:val="67D77C44"/>
    <w:rsid w:val="68645048"/>
    <w:rsid w:val="68B13961"/>
    <w:rsid w:val="690459DC"/>
    <w:rsid w:val="69076303"/>
    <w:rsid w:val="690B7AFD"/>
    <w:rsid w:val="69334FB5"/>
    <w:rsid w:val="69543567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26854"/>
    <w:rsid w:val="6C385BB0"/>
    <w:rsid w:val="6CA6506C"/>
    <w:rsid w:val="6CB75CCD"/>
    <w:rsid w:val="6D2D26D4"/>
    <w:rsid w:val="6D425E8D"/>
    <w:rsid w:val="6D550E72"/>
    <w:rsid w:val="6D57537F"/>
    <w:rsid w:val="6D6F7597"/>
    <w:rsid w:val="6D8E38BF"/>
    <w:rsid w:val="6DE74955"/>
    <w:rsid w:val="6E296D1B"/>
    <w:rsid w:val="6E411486"/>
    <w:rsid w:val="6E9303C1"/>
    <w:rsid w:val="6ECF03D4"/>
    <w:rsid w:val="6EEA4B30"/>
    <w:rsid w:val="6EEB1850"/>
    <w:rsid w:val="6EF5262D"/>
    <w:rsid w:val="6F313CA3"/>
    <w:rsid w:val="6F8370B8"/>
    <w:rsid w:val="6FC02C16"/>
    <w:rsid w:val="6FE859EE"/>
    <w:rsid w:val="6FF6475E"/>
    <w:rsid w:val="70184EA3"/>
    <w:rsid w:val="70687850"/>
    <w:rsid w:val="70CB53E1"/>
    <w:rsid w:val="70E45041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39C34AF"/>
    <w:rsid w:val="73CD0149"/>
    <w:rsid w:val="741F0C23"/>
    <w:rsid w:val="743439CA"/>
    <w:rsid w:val="743851C6"/>
    <w:rsid w:val="748F3308"/>
    <w:rsid w:val="749F2A35"/>
    <w:rsid w:val="74AB5178"/>
    <w:rsid w:val="74BC7F66"/>
    <w:rsid w:val="74DD127A"/>
    <w:rsid w:val="7509001F"/>
    <w:rsid w:val="75354D44"/>
    <w:rsid w:val="753D1C2F"/>
    <w:rsid w:val="75686B98"/>
    <w:rsid w:val="7677072C"/>
    <w:rsid w:val="768076F4"/>
    <w:rsid w:val="76937428"/>
    <w:rsid w:val="76A00464"/>
    <w:rsid w:val="76A021B3"/>
    <w:rsid w:val="76B664D7"/>
    <w:rsid w:val="76E33575"/>
    <w:rsid w:val="76EB2B73"/>
    <w:rsid w:val="770B0914"/>
    <w:rsid w:val="775D41D3"/>
    <w:rsid w:val="77A33591"/>
    <w:rsid w:val="77D16924"/>
    <w:rsid w:val="782219A0"/>
    <w:rsid w:val="782C2784"/>
    <w:rsid w:val="782D72EC"/>
    <w:rsid w:val="78326601"/>
    <w:rsid w:val="783C5EB8"/>
    <w:rsid w:val="797F7147"/>
    <w:rsid w:val="79BE2A91"/>
    <w:rsid w:val="7A590988"/>
    <w:rsid w:val="7A992CC0"/>
    <w:rsid w:val="7B2965AD"/>
    <w:rsid w:val="7B3A50B0"/>
    <w:rsid w:val="7B7B235C"/>
    <w:rsid w:val="7B8B2C1D"/>
    <w:rsid w:val="7B924DCC"/>
    <w:rsid w:val="7BCA3B47"/>
    <w:rsid w:val="7BD020E4"/>
    <w:rsid w:val="7C01614C"/>
    <w:rsid w:val="7C8D1210"/>
    <w:rsid w:val="7CAE2711"/>
    <w:rsid w:val="7D2F0819"/>
    <w:rsid w:val="7D2F33BE"/>
    <w:rsid w:val="7D793C28"/>
    <w:rsid w:val="7D8C0F6F"/>
    <w:rsid w:val="7DD26D7D"/>
    <w:rsid w:val="7E0D3F64"/>
    <w:rsid w:val="7E517338"/>
    <w:rsid w:val="7E9771C1"/>
    <w:rsid w:val="7EB604BE"/>
    <w:rsid w:val="7EEF3669"/>
    <w:rsid w:val="7F6A5445"/>
    <w:rsid w:val="7FE30275"/>
    <w:rsid w:val="A9EFA46F"/>
    <w:rsid w:val="DAD7D570"/>
    <w:rsid w:val="EFBD3F3C"/>
    <w:rsid w:val="FDBBC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2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lkgvc"/>
    <w:basedOn w:val="27"/>
    <w:autoRedefine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7">
    <w:name w:val="P1"/>
    <w:basedOn w:val="1"/>
    <w:autoRedefine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5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6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7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9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0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1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2">
    <w:name w:val="qc5 Char"/>
    <w:basedOn w:val="16"/>
    <w:link w:val="43"/>
    <w:autoRedefine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3">
    <w:name w:val="qc5"/>
    <w:basedOn w:val="1"/>
    <w:link w:val="42"/>
    <w:autoRedefine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4">
    <w:name w:val="网格型15"/>
    <w:basedOn w:val="14"/>
    <w:autoRedefine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73a8eb6c-f7a4-4b27-8f86-ffa7c051b96f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hello1098"/>
    <w:basedOn w:val="1"/>
    <w:autoRedefine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7">
    <w:name w:val="5_red"/>
    <w:basedOn w:val="46"/>
    <w:autoRedefine/>
    <w:qFormat/>
    <w:uiPriority w:val="0"/>
    <w:rPr>
      <w:color w:val="FF0000"/>
      <w:sz w:val="20"/>
    </w:rPr>
  </w:style>
  <w:style w:type="paragraph" w:customStyle="1" w:styleId="48">
    <w:name w:val="5_black"/>
    <w:basedOn w:val="47"/>
    <w:autoRedefine/>
    <w:qFormat/>
    <w:uiPriority w:val="0"/>
    <w:rPr>
      <w:color w:val="auto"/>
    </w:rPr>
  </w:style>
  <w:style w:type="paragraph" w:customStyle="1" w:styleId="49">
    <w:name w:val="样式10"/>
    <w:basedOn w:val="50"/>
    <w:autoRedefine/>
    <w:qFormat/>
    <w:uiPriority w:val="0"/>
    <w:pPr>
      <w:ind w:firstLine="333"/>
    </w:pPr>
    <w:rPr>
      <w:szCs w:val="18"/>
    </w:rPr>
  </w:style>
  <w:style w:type="paragraph" w:customStyle="1" w:styleId="50">
    <w:name w:val="样式3"/>
    <w:basedOn w:val="51"/>
    <w:autoRedefine/>
    <w:qFormat/>
    <w:uiPriority w:val="0"/>
    <w:rPr>
      <w:rFonts w:ascii="微软雅黑" w:hAnsi="微软雅黑" w:eastAsia="微软雅黑"/>
      <w:sz w:val="18"/>
    </w:rPr>
  </w:style>
  <w:style w:type="paragraph" w:customStyle="1" w:styleId="51">
    <w:name w:val="样式2"/>
    <w:basedOn w:val="1"/>
    <w:autoRedefine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2">
    <w:name w:val="3300a14f-dd40-4409-84a9-5d9488cb46c4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3">
    <w:name w:val="lll1"/>
    <w:basedOn w:val="1"/>
    <w:autoRedefine/>
    <w:qFormat/>
    <w:uiPriority w:val="0"/>
    <w:pPr>
      <w:jc w:val="center"/>
    </w:pPr>
    <w:rPr>
      <w:rFonts w:asciiTheme="minorHAnsi"/>
      <w:kern w:val="2"/>
    </w:rPr>
  </w:style>
  <w:style w:type="paragraph" w:customStyle="1" w:styleId="54">
    <w:name w:val="haha"/>
    <w:basedOn w:val="48"/>
    <w:autoRedefine/>
    <w:qFormat/>
    <w:uiPriority w:val="0"/>
    <w:rPr>
      <w:color w:val="FF0000"/>
    </w:rPr>
  </w:style>
  <w:style w:type="paragraph" w:customStyle="1" w:styleId="55">
    <w:name w:val="fgh345233"/>
    <w:basedOn w:val="1"/>
    <w:autoRedefine/>
    <w:qFormat/>
    <w:uiPriority w:val="0"/>
    <w:pPr>
      <w:jc w:val="center"/>
    </w:pPr>
    <w:rPr>
      <w:rFonts w:ascii="微软雅黑" w:hAnsi="微软雅黑" w:eastAsia="微软雅黑" w:cs="微软雅黑"/>
      <w:kern w:val="2"/>
      <w:sz w:val="18"/>
      <w:szCs w:val="18"/>
      <w:lang w:val="zh-CN"/>
    </w:rPr>
  </w:style>
  <w:style w:type="table" w:customStyle="1" w:styleId="56">
    <w:name w:val="网格型9"/>
    <w:basedOn w:val="14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7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paragraph" w:customStyle="1" w:styleId="5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1810</Words>
  <Characters>4272</Characters>
  <Lines>399</Lines>
  <Paragraphs>112</Paragraphs>
  <TotalTime>0</TotalTime>
  <ScaleCrop>false</ScaleCrop>
  <LinksUpToDate>false</LinksUpToDate>
  <CharactersWithSpaces>4670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2021-04-22T17:08:00Z</dcterms:created>
  <dc:creator>86131</dc:creator>
  <cp:lastModifiedBy>Levi</cp:lastModifiedBy>
  <dcterms:modified xsi:type="dcterms:W3CDTF">2024-11-01T18:47:01Z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571A23818E774FF9BECB798EE15A8D8C</vt:lpwstr>
  </property>
</Properties>
</file>