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5C393">
      <w:pPr>
        <w:jc w:val="center"/>
        <w:rPr>
          <w:sz w:val="20"/>
          <w:lang w:eastAsia="zh-CN"/>
        </w:rPr>
      </w:pPr>
      <w:bookmarkStart w:id="0" w:name="_Toc26189"/>
      <w:bookmarkStart w:id="1" w:name="_Toc12869"/>
    </w:p>
    <w:p w14:paraId="63C0693B">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2" name="图片 2"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3"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58813B56">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035017F3">
      <w:pPr>
        <w:snapToGrid w:val="0"/>
        <w:ind w:firstLine="1575" w:firstLineChars="750"/>
        <w:rPr>
          <w:i/>
          <w:color w:val="008080"/>
          <w:sz w:val="21"/>
          <w:szCs w:val="21"/>
        </w:rPr>
      </w:pPr>
      <w:r>
        <w:rPr>
          <w:i/>
          <w:color w:val="008080"/>
          <w:sz w:val="21"/>
          <w:szCs w:val="21"/>
        </w:rPr>
        <w:t>Molecular Medical Laboratory, Chongqing Medical University</w:t>
      </w:r>
    </w:p>
    <w:p w14:paraId="3AE36E9F">
      <w:pPr>
        <w:jc w:val="both"/>
        <w:rPr>
          <w:sz w:val="20"/>
          <w:lang w:eastAsia="zh-CN"/>
        </w:rPr>
      </w:pPr>
    </w:p>
    <w:p w14:paraId="64C2A67D">
      <w:pPr>
        <w:jc w:val="center"/>
        <w:rPr>
          <w:sz w:val="20"/>
          <w:lang w:eastAsia="zh-CN"/>
        </w:rPr>
      </w:pPr>
    </w:p>
    <w:p w14:paraId="02DE376D">
      <w:pPr>
        <w:jc w:val="center"/>
        <w:rPr>
          <w:sz w:val="20"/>
          <w:lang w:eastAsia="zh-CN"/>
        </w:rPr>
      </w:pPr>
    </w:p>
    <w:p w14:paraId="1906BDF9">
      <w:pPr>
        <w:jc w:val="center"/>
        <w:rPr>
          <w:sz w:val="20"/>
          <w:lang w:eastAsia="zh-CN"/>
        </w:rPr>
      </w:pPr>
    </w:p>
    <w:p w14:paraId="48D06B76">
      <w:pPr>
        <w:jc w:val="center"/>
        <w:rPr>
          <w:sz w:val="20"/>
          <w:lang w:eastAsia="zh-CN"/>
        </w:rPr>
      </w:pPr>
    </w:p>
    <w:p w14:paraId="74E8AC30">
      <w:pPr>
        <w:jc w:val="center"/>
        <w:rPr>
          <w:sz w:val="20"/>
          <w:lang w:eastAsia="zh-CN"/>
        </w:rPr>
      </w:pPr>
    </w:p>
    <w:p w14:paraId="4E4FA2EB">
      <w:pPr>
        <w:jc w:val="center"/>
        <w:rPr>
          <w:sz w:val="20"/>
          <w:lang w:eastAsia="zh-CN"/>
        </w:rPr>
      </w:pPr>
    </w:p>
    <w:p w14:paraId="7ED33F2F">
      <w:pPr>
        <w:jc w:val="center"/>
        <w:rPr>
          <w:sz w:val="20"/>
          <w:lang w:eastAsia="zh-CN"/>
        </w:rPr>
      </w:pPr>
    </w:p>
    <w:p w14:paraId="2D0F9F97">
      <w:pPr>
        <w:jc w:val="center"/>
        <w:rPr>
          <w:sz w:val="20"/>
          <w:lang w:eastAsia="zh-CN"/>
        </w:rPr>
      </w:pPr>
    </w:p>
    <w:p w14:paraId="14AED40A">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 if PDInfo == undefined %}肿瘤同源重组修复缺陷评分（HRD score）</w:t>
      </w:r>
    </w:p>
    <w:p w14:paraId="69E71536">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检测报告{% else %}肿瘤同源重组修复缺陷评分（HRD score）</w:t>
      </w:r>
    </w:p>
    <w:p w14:paraId="32817BC7">
      <w:pPr>
        <w:jc w:val="center"/>
        <w:rPr>
          <w:rFonts w:hint="default"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+PD-L1检测报告{% endif %}</w:t>
      </w:r>
    </w:p>
    <w:p w14:paraId="4BCA8A72">
      <w:pPr>
        <w:jc w:val="center"/>
        <w:rPr>
          <w:sz w:val="20"/>
          <w:lang w:eastAsia="zh-CN"/>
        </w:rPr>
      </w:pPr>
    </w:p>
    <w:p w14:paraId="5CB11CC1">
      <w:pPr>
        <w:jc w:val="center"/>
        <w:rPr>
          <w:sz w:val="20"/>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F36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601C7FE">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0693FCC">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1B2F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EABA97C">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8DADE45">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237F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C777FAC">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A35E8DD">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6C43D1E7">
      <w:pPr>
        <w:jc w:val="center"/>
        <w:rPr>
          <w:sz w:val="20"/>
          <w:lang w:eastAsia="zh-CN"/>
        </w:rPr>
      </w:pPr>
    </w:p>
    <w:p w14:paraId="45EF75ED">
      <w:pPr>
        <w:jc w:val="both"/>
        <w:rPr>
          <w:sz w:val="20"/>
          <w:lang w:eastAsia="zh-CN"/>
        </w:rPr>
      </w:pPr>
    </w:p>
    <w:p w14:paraId="5463C4B6">
      <w:pPr>
        <w:jc w:val="center"/>
        <w:rPr>
          <w:sz w:val="20"/>
          <w:lang w:eastAsia="zh-CN"/>
        </w:rPr>
      </w:pPr>
    </w:p>
    <w:p w14:paraId="19842EC0">
      <w:pPr>
        <w:jc w:val="center"/>
        <w:rPr>
          <w:sz w:val="20"/>
          <w:lang w:eastAsia="zh-CN"/>
        </w:rPr>
        <w:sectPr>
          <w:pgSz w:w="11911" w:h="16838"/>
          <w:pgMar w:top="1037" w:right="1020" w:bottom="981" w:left="1020" w:header="680" w:footer="680" w:gutter="0"/>
          <w:pgBorders>
            <w:top w:val="none" w:sz="0" w:space="0"/>
            <w:left w:val="none" w:sz="0" w:space="0"/>
            <w:bottom w:val="none" w:sz="0" w:space="0"/>
            <w:right w:val="none" w:sz="0" w:space="0"/>
          </w:pgBorders>
          <w:pgNumType w:start="1"/>
          <w:cols w:space="425" w:num="1"/>
        </w:sectPr>
      </w:pPr>
    </w:p>
    <w:bookmarkEnd w:id="0"/>
    <w:bookmarkEnd w:id="1"/>
    <w:p w14:paraId="7BFDB207">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9B9F945">
      <w:pPr>
        <w:jc w:val="center"/>
        <w:rPr>
          <w:sz w:val="24"/>
          <w:szCs w:val="24"/>
          <w:lang w:eastAsia="zh-CN"/>
        </w:rPr>
      </w:pPr>
      <w:r>
        <w:rPr>
          <w:rFonts w:hint="eastAsia" w:ascii="Times New Roman" w:hAnsi="Times New Roman" w:eastAsia="微软雅黑"/>
          <w:sz w:val="36"/>
          <w:szCs w:val="36"/>
          <w:lang w:eastAsia="zh-CN"/>
        </w:rPr>
        <w:t>Content</w:t>
      </w:r>
    </w:p>
    <w:p w14:paraId="6E459ED8">
      <w:pPr>
        <w:jc w:val="center"/>
      </w:pPr>
    </w:p>
    <w:p w14:paraId="0F855695">
      <w:pPr>
        <w:pStyle w:val="11"/>
        <w:tabs>
          <w:tab w:val="right" w:leader="dot" w:pos="9861"/>
        </w:tabs>
        <w:rPr>
          <w:rFonts w:hint="eastAsia" w:ascii="Times New Roman" w:hAnsi="Times New Roman" w:eastAsia="微软雅黑" w:cs="宋体"/>
          <w:b/>
          <w:color w:val="62B541"/>
          <w:sz w:val="32"/>
          <w:lang w:eastAsia="zh-CN"/>
        </w:rPr>
      </w:pPr>
      <w:r>
        <w:rPr>
          <w:rStyle w:val="18"/>
          <w:color w:val="FFFFFF" w:themeColor="background1"/>
          <w:sz w:val="28"/>
          <w:szCs w:val="28"/>
          <w:shd w:val="clear" w:color="auto" w:fill="00B050"/>
          <w14:textFill>
            <w14:solidFill>
              <w14:schemeClr w14:val="bg1"/>
            </w14:solidFill>
          </w14:textFill>
        </w:rPr>
        <w:fldChar w:fldCharType="begin"/>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color w:val="FFFFFF" w:themeColor="background1"/>
          <w:sz w:val="28"/>
          <w:szCs w:val="28"/>
          <w:shd w:val="clear" w:color="auto" w:fill="00B050"/>
          <w14:textFill>
            <w14:solidFill>
              <w14:schemeClr w14:val="bg1"/>
            </w14:solidFill>
          </w14:textFill>
        </w:rPr>
        <w:fldChar w:fldCharType="separate"/>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_Toc2077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样本信息</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_Toc2077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1</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14:paraId="63C5DEFD">
      <w:pPr>
        <w:pStyle w:val="11"/>
        <w:tabs>
          <w:tab w:val="right" w:leader="dot" w:pos="9861"/>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_Toc12616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检测项目</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_Toc12616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1</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14:paraId="06BA98F7">
      <w:pPr>
        <w:pStyle w:val="11"/>
        <w:tabs>
          <w:tab w:val="right" w:leader="dot" w:pos="9861"/>
        </w:tabs>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_Toc19777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检测结果总览</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_Toc19777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1</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14:paraId="4FD69FFF">
      <w:pPr>
        <w:pStyle w:val="12"/>
        <w:tabs>
          <w:tab w:val="right" w:leader="dot" w:pos="9871"/>
        </w:tabs>
        <w:rPr>
          <w:rFonts w:hint="default" w:ascii="Times New Roman" w:hAnsi="Times New Roman" w:eastAsia="微软雅黑" w:cs="Times New Roman"/>
          <w:color w:val="auto"/>
          <w:sz w:val="28"/>
          <w:szCs w:val="28"/>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_Toc24922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检测结果小结</w:t>
      </w:r>
      <w:r>
        <w:rPr>
          <w:rFonts w:hint="default" w:ascii="Times New Roman" w:hAnsi="Times New Roman" w:eastAsia="微软雅黑" w:cs="Times New Roman"/>
          <w:color w:val="auto"/>
          <w:sz w:val="28"/>
          <w:szCs w:val="28"/>
        </w:rPr>
        <w:tab/>
      </w:r>
      <w:r>
        <w:rPr>
          <w:rFonts w:hint="default" w:ascii="Times New Roman" w:hAnsi="Times New Roman" w:eastAsia="微软雅黑" w:cs="Times New Roman"/>
          <w:color w:val="auto"/>
          <w:sz w:val="28"/>
          <w:szCs w:val="28"/>
        </w:rPr>
        <w:fldChar w:fldCharType="begin"/>
      </w:r>
      <w:r>
        <w:rPr>
          <w:rFonts w:hint="default" w:ascii="Times New Roman" w:hAnsi="Times New Roman" w:eastAsia="微软雅黑" w:cs="Times New Roman"/>
          <w:color w:val="auto"/>
          <w:sz w:val="28"/>
          <w:szCs w:val="28"/>
        </w:rPr>
        <w:instrText xml:space="preserve"> PAGEREF _Toc24922 \h </w:instrText>
      </w:r>
      <w:r>
        <w:rPr>
          <w:rFonts w:hint="default" w:ascii="Times New Roman" w:hAnsi="Times New Roman" w:eastAsia="微软雅黑" w:cs="Times New Roman"/>
          <w:color w:val="auto"/>
          <w:sz w:val="28"/>
          <w:szCs w:val="28"/>
        </w:rPr>
        <w:fldChar w:fldCharType="separate"/>
      </w:r>
      <w:r>
        <w:rPr>
          <w:rFonts w:hint="default" w:ascii="Times New Roman" w:hAnsi="Times New Roman" w:eastAsia="微软雅黑" w:cs="Times New Roman"/>
          <w:color w:val="auto"/>
          <w:sz w:val="28"/>
          <w:szCs w:val="28"/>
        </w:rPr>
        <w:t>1</w:t>
      </w:r>
      <w:r>
        <w:rPr>
          <w:rFonts w:hint="default" w:ascii="Times New Roman" w:hAnsi="Times New Roman" w:eastAsia="微软雅黑" w:cs="Times New Roman"/>
          <w:color w:val="auto"/>
          <w:sz w:val="28"/>
          <w:szCs w:val="28"/>
        </w:rPr>
        <w:fldChar w:fldCharType="end"/>
      </w:r>
      <w:r>
        <w:rPr>
          <w:rFonts w:hint="default" w:ascii="Times New Roman" w:hAnsi="Times New Roman" w:eastAsia="微软雅黑" w:cs="Times New Roman"/>
          <w:color w:val="auto"/>
          <w:sz w:val="28"/>
          <w:szCs w:val="28"/>
          <w:lang w:eastAsia="zh-CN"/>
        </w:rPr>
        <w:fldChar w:fldCharType="end"/>
      </w:r>
    </w:p>
    <w:p w14:paraId="6E9CE31C">
      <w:pPr>
        <w:pStyle w:val="11"/>
        <w:tabs>
          <w:tab w:val="right" w:leader="dot" w:pos="9861"/>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_Toc8623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检测结果及用药提示</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_Toc8623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2</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14:paraId="6AF975FD">
      <w:pPr>
        <w:pStyle w:val="12"/>
        <w:tabs>
          <w:tab w:val="right" w:leader="dot" w:pos="9871"/>
        </w:tabs>
        <w:rPr>
          <w:rFonts w:hint="eastAsia" w:ascii="微软雅黑" w:hAnsi="微软雅黑" w:eastAsia="微软雅黑" w:cs="微软雅黑"/>
          <w:color w:val="auto"/>
          <w:sz w:val="28"/>
          <w:szCs w:val="28"/>
          <w:lang w:eastAsia="zh-CN"/>
        </w:rPr>
      </w:pPr>
      <w:r>
        <w:rPr>
          <w:rFonts w:hint="eastAsia" w:ascii="微软雅黑" w:hAnsi="微软雅黑" w:eastAsia="微软雅黑" w:cs="微软雅黑"/>
          <w:color w:val="auto"/>
          <w:sz w:val="28"/>
          <w:szCs w:val="28"/>
          <w:lang w:eastAsia="zh-CN"/>
        </w:rPr>
        <w:fldChar w:fldCharType="begin"/>
      </w:r>
      <w:r>
        <w:rPr>
          <w:rFonts w:hint="eastAsia" w:ascii="微软雅黑" w:hAnsi="微软雅黑" w:eastAsia="微软雅黑" w:cs="微软雅黑"/>
          <w:color w:val="auto"/>
          <w:sz w:val="28"/>
          <w:szCs w:val="28"/>
          <w:lang w:eastAsia="zh-CN"/>
        </w:rPr>
        <w:instrText xml:space="preserve"> HYPERLINK \l _Toc3264 </w:instrText>
      </w:r>
      <w:r>
        <w:rPr>
          <w:rFonts w:hint="eastAsia" w:ascii="微软雅黑" w:hAnsi="微软雅黑" w:eastAsia="微软雅黑" w:cs="微软雅黑"/>
          <w:color w:val="auto"/>
          <w:sz w:val="28"/>
          <w:szCs w:val="28"/>
          <w:lang w:eastAsia="zh-CN"/>
        </w:rPr>
        <w:fldChar w:fldCharType="separate"/>
      </w:r>
      <w:r>
        <w:rPr>
          <w:rFonts w:hint="eastAsia" w:ascii="微软雅黑" w:hAnsi="微软雅黑" w:eastAsia="微软雅黑" w:cs="微软雅黑"/>
          <w:color w:val="auto"/>
          <w:sz w:val="28"/>
          <w:szCs w:val="28"/>
          <w:lang w:eastAsia="zh-CN"/>
        </w:rPr>
        <w:t>同源重组缺陷状态提示</w:t>
      </w:r>
      <w:r>
        <w:rPr>
          <w:rFonts w:hint="eastAsia" w:ascii="微软雅黑" w:hAnsi="微软雅黑" w:eastAsia="微软雅黑" w:cs="微软雅黑"/>
          <w:color w:val="auto"/>
          <w:sz w:val="28"/>
          <w:szCs w:val="28"/>
          <w:lang w:eastAsia="zh-CN"/>
        </w:rPr>
        <w:tab/>
      </w:r>
      <w:r>
        <w:rPr>
          <w:rFonts w:hint="eastAsia" w:ascii="微软雅黑" w:hAnsi="微软雅黑" w:eastAsia="微软雅黑" w:cs="微软雅黑"/>
          <w:color w:val="auto"/>
          <w:sz w:val="28"/>
          <w:szCs w:val="28"/>
          <w:lang w:eastAsia="zh-CN"/>
        </w:rPr>
        <w:fldChar w:fldCharType="begin"/>
      </w:r>
      <w:r>
        <w:rPr>
          <w:rFonts w:hint="eastAsia" w:ascii="微软雅黑" w:hAnsi="微软雅黑" w:eastAsia="微软雅黑" w:cs="微软雅黑"/>
          <w:color w:val="auto"/>
          <w:sz w:val="28"/>
          <w:szCs w:val="28"/>
          <w:lang w:eastAsia="zh-CN"/>
        </w:rPr>
        <w:instrText xml:space="preserve"> PAGEREF _Toc3264 \h </w:instrText>
      </w:r>
      <w:r>
        <w:rPr>
          <w:rFonts w:hint="eastAsia" w:ascii="微软雅黑" w:hAnsi="微软雅黑" w:eastAsia="微软雅黑" w:cs="微软雅黑"/>
          <w:color w:val="auto"/>
          <w:sz w:val="28"/>
          <w:szCs w:val="28"/>
          <w:lang w:eastAsia="zh-CN"/>
        </w:rPr>
        <w:fldChar w:fldCharType="separate"/>
      </w:r>
      <w:r>
        <w:rPr>
          <w:rFonts w:hint="eastAsia" w:ascii="微软雅黑" w:hAnsi="微软雅黑" w:eastAsia="微软雅黑" w:cs="微软雅黑"/>
          <w:color w:val="auto"/>
          <w:sz w:val="28"/>
          <w:szCs w:val="28"/>
          <w:lang w:eastAsia="zh-CN"/>
        </w:rPr>
        <w:t>2</w:t>
      </w:r>
      <w:r>
        <w:rPr>
          <w:rFonts w:hint="eastAsia" w:ascii="微软雅黑" w:hAnsi="微软雅黑" w:eastAsia="微软雅黑" w:cs="微软雅黑"/>
          <w:color w:val="auto"/>
          <w:sz w:val="28"/>
          <w:szCs w:val="28"/>
          <w:lang w:eastAsia="zh-CN"/>
        </w:rPr>
        <w:fldChar w:fldCharType="end"/>
      </w:r>
      <w:r>
        <w:rPr>
          <w:rFonts w:hint="eastAsia" w:ascii="微软雅黑" w:hAnsi="微软雅黑" w:eastAsia="微软雅黑" w:cs="微软雅黑"/>
          <w:color w:val="auto"/>
          <w:sz w:val="28"/>
          <w:szCs w:val="28"/>
          <w:lang w:eastAsia="zh-CN"/>
        </w:rPr>
        <w:fldChar w:fldCharType="end"/>
      </w:r>
      <w:r>
        <w:rPr>
          <w:rFonts w:hint="default" w:ascii="Times New Roman" w:hAnsi="Times New Roman" w:eastAsia="微软雅黑" w:cs="Times New Roman"/>
          <w:sz w:val="24"/>
          <w:szCs w:val="24"/>
          <w:lang w:eastAsia="zh-CN"/>
        </w:rPr>
        <w:t>{%if PDInfo != undefined %}</w:t>
      </w:r>
    </w:p>
    <w:p w14:paraId="050BA391">
      <w:pPr>
        <w:pStyle w:val="12"/>
        <w:tabs>
          <w:tab w:val="right" w:leader="dot" w:pos="9871"/>
        </w:tabs>
        <w:rPr>
          <w:rFonts w:hint="eastAsia" w:ascii="微软雅黑" w:hAnsi="微软雅黑" w:eastAsia="微软雅黑" w:cs="微软雅黑"/>
          <w:color w:val="auto"/>
          <w:sz w:val="28"/>
          <w:szCs w:val="28"/>
          <w:lang w:eastAsia="zh-CN"/>
        </w:rPr>
      </w:pPr>
      <w:r>
        <w:rPr>
          <w:rFonts w:hint="eastAsia" w:ascii="微软雅黑" w:hAnsi="微软雅黑" w:eastAsia="微软雅黑" w:cs="微软雅黑"/>
          <w:color w:val="auto"/>
          <w:sz w:val="28"/>
          <w:szCs w:val="28"/>
          <w:lang w:eastAsia="zh-CN"/>
        </w:rPr>
        <w:fldChar w:fldCharType="begin"/>
      </w:r>
      <w:r>
        <w:rPr>
          <w:rFonts w:hint="eastAsia" w:ascii="微软雅黑" w:hAnsi="微软雅黑" w:eastAsia="微软雅黑" w:cs="微软雅黑"/>
          <w:color w:val="auto"/>
          <w:sz w:val="28"/>
          <w:szCs w:val="28"/>
          <w:lang w:eastAsia="zh-CN"/>
        </w:rPr>
        <w:instrText xml:space="preserve"> HYPERLINK \l _Toc8587 </w:instrText>
      </w:r>
      <w:r>
        <w:rPr>
          <w:rFonts w:hint="eastAsia" w:ascii="微软雅黑" w:hAnsi="微软雅黑" w:eastAsia="微软雅黑" w:cs="微软雅黑"/>
          <w:color w:val="auto"/>
          <w:sz w:val="28"/>
          <w:szCs w:val="28"/>
          <w:lang w:eastAsia="zh-CN"/>
        </w:rPr>
        <w:fldChar w:fldCharType="separate"/>
      </w:r>
      <w:r>
        <w:rPr>
          <w:rFonts w:hint="eastAsia" w:ascii="微软雅黑" w:hAnsi="微软雅黑" w:eastAsia="微软雅黑" w:cs="微软雅黑"/>
          <w:color w:val="auto"/>
          <w:sz w:val="28"/>
          <w:szCs w:val="28"/>
          <w:lang w:eastAsia="zh-CN"/>
        </w:rPr>
        <w:t>PD-L1检测结果</w:t>
      </w:r>
      <w:r>
        <w:rPr>
          <w:rFonts w:hint="eastAsia" w:ascii="微软雅黑" w:hAnsi="微软雅黑" w:eastAsia="微软雅黑" w:cs="微软雅黑"/>
          <w:color w:val="auto"/>
          <w:sz w:val="28"/>
          <w:szCs w:val="28"/>
          <w:lang w:eastAsia="zh-CN"/>
        </w:rPr>
        <w:tab/>
      </w:r>
      <w:r>
        <w:rPr>
          <w:rFonts w:hint="eastAsia" w:ascii="微软雅黑" w:hAnsi="微软雅黑" w:eastAsia="微软雅黑" w:cs="微软雅黑"/>
          <w:color w:val="auto"/>
          <w:sz w:val="28"/>
          <w:szCs w:val="28"/>
          <w:lang w:eastAsia="zh-CN"/>
        </w:rPr>
        <w:fldChar w:fldCharType="begin"/>
      </w:r>
      <w:r>
        <w:rPr>
          <w:rFonts w:hint="eastAsia" w:ascii="微软雅黑" w:hAnsi="微软雅黑" w:eastAsia="微软雅黑" w:cs="微软雅黑"/>
          <w:color w:val="auto"/>
          <w:sz w:val="28"/>
          <w:szCs w:val="28"/>
          <w:lang w:eastAsia="zh-CN"/>
        </w:rPr>
        <w:instrText xml:space="preserve"> PAGEREF _Toc8587 \h </w:instrText>
      </w:r>
      <w:r>
        <w:rPr>
          <w:rFonts w:hint="eastAsia" w:ascii="微软雅黑" w:hAnsi="微软雅黑" w:eastAsia="微软雅黑" w:cs="微软雅黑"/>
          <w:color w:val="auto"/>
          <w:sz w:val="28"/>
          <w:szCs w:val="28"/>
          <w:lang w:eastAsia="zh-CN"/>
        </w:rPr>
        <w:fldChar w:fldCharType="separate"/>
      </w:r>
      <w:r>
        <w:rPr>
          <w:rFonts w:hint="eastAsia" w:ascii="微软雅黑" w:hAnsi="微软雅黑" w:eastAsia="微软雅黑" w:cs="微软雅黑"/>
          <w:color w:val="auto"/>
          <w:sz w:val="28"/>
          <w:szCs w:val="28"/>
          <w:lang w:eastAsia="zh-CN"/>
        </w:rPr>
        <w:t>3</w:t>
      </w:r>
      <w:r>
        <w:rPr>
          <w:rFonts w:hint="eastAsia" w:ascii="微软雅黑" w:hAnsi="微软雅黑" w:eastAsia="微软雅黑" w:cs="微软雅黑"/>
          <w:color w:val="auto"/>
          <w:sz w:val="28"/>
          <w:szCs w:val="28"/>
          <w:lang w:eastAsia="zh-CN"/>
        </w:rPr>
        <w:fldChar w:fldCharType="end"/>
      </w:r>
      <w:r>
        <w:rPr>
          <w:rFonts w:hint="eastAsia" w:ascii="微软雅黑" w:hAnsi="微软雅黑" w:eastAsia="微软雅黑" w:cs="微软雅黑"/>
          <w:color w:val="auto"/>
          <w:sz w:val="28"/>
          <w:szCs w:val="28"/>
          <w:lang w:eastAsia="zh-CN"/>
        </w:rPr>
        <w:fldChar w:fldCharType="end"/>
      </w:r>
      <w:r>
        <w:rPr>
          <w:rFonts w:hint="default" w:ascii="Times New Roman" w:hAnsi="Times New Roman" w:eastAsia="微软雅黑" w:cs="Times New Roman"/>
          <w:sz w:val="24"/>
          <w:szCs w:val="24"/>
          <w:lang w:eastAsia="zh-CN"/>
        </w:rPr>
        <w:t>{% endif %}</w:t>
      </w:r>
    </w:p>
    <w:p w14:paraId="0700B351">
      <w:pPr>
        <w:pStyle w:val="11"/>
        <w:tabs>
          <w:tab w:val="right" w:leader="dot" w:pos="9861"/>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_Toc4769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基因检测结果解析</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_Toc4769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5</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14:paraId="1E9B8871">
      <w:pPr>
        <w:pStyle w:val="12"/>
        <w:tabs>
          <w:tab w:val="right" w:leader="dot" w:pos="9871"/>
        </w:tabs>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_Toc23723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同源重组缺陷状态解析</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_Toc23723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5</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3B64C9AC">
      <w:pPr>
        <w:pStyle w:val="11"/>
        <w:tabs>
          <w:tab w:val="right" w:leader="dot" w:pos="9861"/>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_Toc25501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附录</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_Toc25501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7</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14:paraId="74CA6FDA">
      <w:pPr>
        <w:pStyle w:val="12"/>
        <w:tabs>
          <w:tab w:val="right" w:leader="dot" w:pos="9871"/>
        </w:tabs>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_Toc10437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样本质控情况</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_Toc10437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7</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6DAAFEDD">
      <w:pPr>
        <w:pStyle w:val="12"/>
        <w:tabs>
          <w:tab w:val="right" w:leader="dot" w:pos="9871"/>
        </w:tabs>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_Toc28611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基因组不稳定性介绍</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_Toc28611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8</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128E3748">
      <w:pPr>
        <w:pStyle w:val="12"/>
        <w:tabs>
          <w:tab w:val="right" w:leader="dot" w:pos="9871"/>
        </w:tabs>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_Toc10776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同源重组缺陷（HRD）介绍</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_Toc10776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9</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4C880CDA">
      <w:pPr>
        <w:pStyle w:val="12"/>
        <w:tabs>
          <w:tab w:val="right" w:leader="dot" w:pos="9871"/>
        </w:tabs>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_Toc5398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易感人群特征</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_Toc5398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10</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665514F6">
      <w:pPr>
        <w:pStyle w:val="12"/>
        <w:tabs>
          <w:tab w:val="right" w:leader="dot" w:pos="9871"/>
        </w:tabs>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_Toc28248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检测方法与局限性</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_Toc28248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12</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24BFDDD2">
      <w:pPr>
        <w:pStyle w:val="12"/>
        <w:tabs>
          <w:tab w:val="right" w:leader="dot" w:pos="9871"/>
        </w:tabs>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_Toc6993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参考文献</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_Toc6993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13</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1135A11A">
      <w:pPr>
        <w:spacing w:line="520" w:lineRule="atLeast"/>
        <w:rPr>
          <w:lang w:eastAsia="zh-CN"/>
        </w:rPr>
        <w:sectPr>
          <w:headerReference r:id="rId3" w:type="default"/>
          <w:footerReference r:id="rId4" w:type="default"/>
          <w:pgSz w:w="11911" w:h="16838"/>
          <w:pgMar w:top="1037" w:right="1020" w:bottom="981" w:left="1020" w:header="567" w:footer="567" w:gutter="0"/>
          <w:pgNumType w:start="1"/>
          <w:cols w:space="0" w:num="1"/>
          <w:docGrid w:linePitch="299" w:charSpace="0"/>
        </w:sectPr>
      </w:pPr>
      <w:r>
        <w:rPr>
          <w:rFonts w:ascii="Times New Roman" w:hAnsi="Times New Roman" w:eastAsia="微软雅黑" w:cs="Times New Roman"/>
          <w:lang w:eastAsia="zh-CN"/>
        </w:rPr>
        <w:fldChar w:fldCharType="end"/>
      </w:r>
    </w:p>
    <w:p w14:paraId="1A82E51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1669"/>
      <w:bookmarkStart w:id="3" w:name="_Toc24178_WPSOffice_Level1"/>
      <w:bookmarkStart w:id="4" w:name="_Toc14123"/>
      <w:bookmarkStart w:id="5" w:name="_Toc30143_WPSOffice_Level1"/>
      <w:bookmarkStart w:id="6" w:name="_Toc13806"/>
      <w:bookmarkStart w:id="7" w:name="_Toc21009_WPSOffice_Level1"/>
      <w:bookmarkStart w:id="8" w:name="_Toc2077"/>
      <w:bookmarkStart w:id="9" w:name="_Toc3619"/>
      <w:bookmarkStart w:id="10" w:name="_Toc107825547"/>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54A711FC">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34D08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190A749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20000C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A01F4B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91DB49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D4B212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3F10C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sample_type }}</w:t>
            </w:r>
          </w:p>
        </w:tc>
      </w:tr>
      <w:tr w14:paraId="4FE86AA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02ECC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008792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1F3F02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F9486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7C4AF0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31074BA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297D5C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DB1E826">
      <w:pPr>
        <w:rPr>
          <w:rFonts w:ascii="Times New Roman" w:hAnsi="Times New Roman" w:eastAsia="微软雅黑" w:cs="Times New Roman"/>
          <w:b/>
          <w:color w:val="00B050"/>
          <w:sz w:val="28"/>
          <w:szCs w:val="28"/>
          <w:lang w:eastAsia="zh-CN"/>
        </w:rPr>
      </w:pPr>
    </w:p>
    <w:p w14:paraId="24C3779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7021_WPSOffice_Level1"/>
      <w:bookmarkStart w:id="12" w:name="_Toc29272"/>
      <w:bookmarkStart w:id="13" w:name="_Toc18062_WPSOffice_Level1"/>
      <w:bookmarkStart w:id="14" w:name="_Toc107825548"/>
      <w:bookmarkStart w:id="15" w:name="_Toc11015_WPSOffice_Level1"/>
      <w:bookmarkStart w:id="16" w:name="_Toc17451"/>
      <w:bookmarkStart w:id="17" w:name="_Toc12616"/>
      <w:bookmarkStart w:id="18" w:name="_Toc2673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53C62B01">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检测通过</w:t>
      </w:r>
      <w:r>
        <w:rPr>
          <w:rFonts w:hint="eastAsia" w:ascii="Times New Roman" w:hAnsi="Times New Roman" w:eastAsia="微软雅黑" w:cs="Times New Roman"/>
          <w:bCs/>
          <w:sz w:val="21"/>
          <w:szCs w:val="21"/>
          <w:lang w:eastAsia="zh-CN"/>
        </w:rPr>
        <w:t>脱氧核糖核酸测序，综合检测</w:t>
      </w:r>
      <w:r>
        <w:rPr>
          <w:rFonts w:ascii="Times New Roman" w:hAnsi="Times New Roman" w:eastAsia="微软雅黑" w:cs="Times New Roman"/>
          <w:bCs/>
          <w:sz w:val="21"/>
          <w:szCs w:val="21"/>
          <w:lang w:eastAsia="zh-CN"/>
        </w:rPr>
        <w:t>基因组杂合性缺失</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LOH</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、端粒等位基因不平衡</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TAI</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、大片段迁移</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LST</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三个指标</w:t>
      </w:r>
      <w:r>
        <w:rPr>
          <w:rFonts w:hint="eastAsia" w:ascii="Times New Roman" w:hAnsi="Times New Roman" w:eastAsia="微软雅黑" w:cs="Times New Roman"/>
          <w:bCs/>
          <w:sz w:val="21"/>
          <w:szCs w:val="21"/>
          <w:lang w:eastAsia="zh-CN"/>
        </w:rPr>
        <w:t>进行</w:t>
      </w:r>
      <w:r>
        <w:rPr>
          <w:rFonts w:ascii="Times New Roman" w:hAnsi="Times New Roman" w:eastAsia="微软雅黑" w:cs="Times New Roman"/>
          <w:bCs/>
          <w:sz w:val="21"/>
          <w:szCs w:val="21"/>
          <w:lang w:eastAsia="zh-CN"/>
        </w:rPr>
        <w:t>基因不稳定状态</w:t>
      </w:r>
      <w:r>
        <w:rPr>
          <w:rFonts w:hint="eastAsia" w:ascii="Times New Roman" w:hAnsi="Times New Roman" w:eastAsia="微软雅黑" w:cs="Times New Roman"/>
          <w:bCs/>
          <w:sz w:val="21"/>
          <w:szCs w:val="21"/>
          <w:lang w:eastAsia="zh-CN"/>
        </w:rPr>
        <w:t>（GIS）评分</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根据GIS评分（HRD Score）全面评估同源重组修复缺陷状态，为BRCA基因检测结果为阴性的患者寻找PARP抑制剂获益的可能。</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5207FE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本报告给出靶向药物（FDA/NMPA批准药物、临床试验药物等）用药提示信息，从而为临床制定治疗方案提供参考信息。</w:t>
      </w:r>
    </w:p>
    <w:p w14:paraId="62CC2F4D">
      <w:pPr>
        <w:rPr>
          <w:rFonts w:ascii="Times New Roman" w:hAnsi="Times New Roman" w:eastAsia="微软雅黑" w:cs="Times New Roman"/>
          <w:bCs/>
          <w:sz w:val="21"/>
          <w:szCs w:val="21"/>
          <w:lang w:eastAsia="zh-CN"/>
        </w:rPr>
      </w:pPr>
    </w:p>
    <w:p w14:paraId="641433D8">
      <w:pPr>
        <w:numPr>
          <w:ilvl w:val="255"/>
          <w:numId w:val="0"/>
        </w:numPr>
        <w:jc w:val="both"/>
        <w:outlineLvl w:val="0"/>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1" w:name="_Toc25920"/>
      <w:bookmarkStart w:id="22" w:name="_Toc6221_WPSOffice_Level1"/>
      <w:bookmarkStart w:id="23" w:name="_Toc16576"/>
      <w:bookmarkStart w:id="24" w:name="_Toc23369_WPSOffice_Level1"/>
      <w:bookmarkStart w:id="25" w:name="_Toc18058"/>
      <w:bookmarkStart w:id="26" w:name="_Toc107825549"/>
      <w:bookmarkStart w:id="27" w:name="_Toc12582"/>
      <w:bookmarkStart w:id="28" w:name="_Toc1977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21"/>
      <w:bookmarkEnd w:id="22"/>
      <w:bookmarkEnd w:id="23"/>
      <w:bookmarkEnd w:id="24"/>
      <w:bookmarkEnd w:id="25"/>
      <w:bookmarkEnd w:id="26"/>
      <w:bookmarkEnd w:id="2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8"/>
    </w:p>
    <w:p w14:paraId="5444229F">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sz w:val="30"/>
          <w:lang w:eastAsia="zh-CN"/>
        </w:rPr>
      </w:pPr>
      <w:bookmarkStart w:id="29" w:name="_Toc24922"/>
      <w:bookmarkStart w:id="30" w:name="_Toc149837254"/>
      <w:r>
        <w:rPr>
          <w:rFonts w:hint="eastAsia"/>
          <w:color w:val="auto"/>
          <w:sz w:val="30"/>
          <w:lang w:eastAsia="zh-CN"/>
        </w:rPr>
        <w:t>检测结果小结</w:t>
      </w:r>
      <w:bookmarkEnd w:id="29"/>
      <w:bookmarkEnd w:id="30"/>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0BE3E68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695BBD9B">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0FD524BE">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3737285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op w:val="nil"/>
              <w:tl2br w:val="nil"/>
              <w:tr2bl w:val="nil"/>
            </w:tcBorders>
            <w:shd w:val="clear" w:color="auto" w:fill="auto"/>
            <w:vAlign w:val="center"/>
          </w:tcPr>
          <w:p w14:paraId="1810151B">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14:paraId="3C93DC5E">
            <w:pPr>
              <w:pStyle w:val="20"/>
              <w:keepNext w:val="0"/>
              <w:keepLines w:val="0"/>
              <w:pageBreakBefore w:val="0"/>
              <w:widowControl w:val="0"/>
              <w:kinsoku/>
              <w:wordWrap/>
              <w:overflowPunct/>
              <w:topLinePunct w:val="0"/>
              <w:autoSpaceDE/>
              <w:autoSpaceDN/>
              <w:bidi w:val="0"/>
              <w:adjustRightInd/>
              <w:snapToGrid/>
              <w:spacing w:line="240" w:lineRule="auto"/>
              <w:ind w:left="118" w:right="178"/>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0BB58C3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7BB722F4">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011161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638A5B54">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00F1B91E">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0C06F3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71A18EFE">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F373A6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769E13AC">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6B39DD29">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hrd != undefined%}{{ hrd.sequencing_depth | oqa(200,150) }}{%endif%}</w:t>
            </w:r>
          </w:p>
        </w:tc>
      </w:tr>
    </w:tbl>
    <w:p w14:paraId="7E628F2C">
      <w:pPr>
        <w:rPr>
          <w:rFonts w:ascii="Times New Roman" w:hAnsi="Times New Roman" w:eastAsia="微软雅黑" w:cs="黑体"/>
          <w:b/>
          <w:bCs/>
          <w:color w:val="00B050"/>
          <w:sz w:val="28"/>
          <w:szCs w:val="36"/>
          <w:lang w:eastAsia="zh-CN"/>
        </w:rPr>
      </w:pPr>
    </w:p>
    <w:p w14:paraId="5C866BC1">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7D8D6E31">
      <w:pPr>
        <w:rPr>
          <w:lang w:eastAsia="zh-CN"/>
        </w:rPr>
      </w:pPr>
    </w:p>
    <w:p w14:paraId="7DAD07B0">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1" w:name="_Toc2781"/>
      <w:bookmarkStart w:id="32" w:name="_Toc22132"/>
      <w:bookmarkStart w:id="33" w:name="_Toc8623"/>
      <w:bookmarkStart w:id="34" w:name="_Toc107825550"/>
      <w:bookmarkStart w:id="35" w:name="_Toc2866"/>
      <w:bookmarkStart w:id="36" w:name="_Toc19898_WPSOffice_Level1"/>
      <w:bookmarkStart w:id="37" w:name="_Toc20136_WPSOffice_Level1"/>
      <w:bookmarkStart w:id="38" w:name="_Toc24235"/>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1"/>
      <w:bookmarkEnd w:id="32"/>
      <w:bookmarkEnd w:id="33"/>
      <w:bookmarkEnd w:id="34"/>
      <w:bookmarkEnd w:id="35"/>
      <w:bookmarkEnd w:id="36"/>
      <w:bookmarkEnd w:id="37"/>
      <w:bookmarkEnd w:id="38"/>
    </w:p>
    <w:p w14:paraId="4F278F44">
      <w:pPr>
        <w:pStyle w:val="3"/>
        <w:numPr>
          <w:ilvl w:val="255"/>
          <w:numId w:val="0"/>
        </w:numPr>
        <w:jc w:val="left"/>
        <w:rPr>
          <w:color w:val="auto"/>
          <w:sz w:val="30"/>
        </w:rPr>
      </w:pPr>
      <w:bookmarkStart w:id="39" w:name="_Toc17240"/>
      <w:bookmarkStart w:id="40" w:name="_Toc3264"/>
      <w:bookmarkStart w:id="41" w:name="_Toc107825551"/>
      <w:r>
        <w:rPr>
          <w:rFonts w:hint="eastAsia"/>
          <w:color w:val="auto"/>
          <w:sz w:val="30"/>
          <w:lang w:eastAsia="zh-CN"/>
        </w:rPr>
        <w:t>同源重组缺陷状态</w:t>
      </w:r>
      <w:r>
        <w:rPr>
          <w:color w:val="auto"/>
          <w:sz w:val="30"/>
        </w:rPr>
        <w:t>提示</w:t>
      </w:r>
      <w:bookmarkEnd w:id="39"/>
      <w:bookmarkEnd w:id="40"/>
      <w:bookmarkEnd w:id="41"/>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62F7B0A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nil"/>
              <w:right w:val="single" w:color="FFFFFF" w:sz="18" w:space="0"/>
            </w:tcBorders>
            <w:shd w:val="clear" w:color="auto" w:fill="62BC41"/>
            <w:vAlign w:val="center"/>
          </w:tcPr>
          <w:p w14:paraId="4426C3F8">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62BC41"/>
            <w:vAlign w:val="center"/>
          </w:tcPr>
          <w:p w14:paraId="55797DE5">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65B7960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nil"/>
              <w:left w:val="nil"/>
              <w:bottom w:val="single" w:color="A4A4A4" w:sz="4" w:space="0"/>
              <w:right w:val="single" w:color="A4A4A4" w:sz="4" w:space="0"/>
            </w:tcBorders>
            <w:shd w:val="clear" w:color="auto" w:fill="auto"/>
            <w:vAlign w:val="center"/>
          </w:tcPr>
          <w:p w14:paraId="3B786585">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828" w:type="dxa"/>
            <w:tcBorders>
              <w:top w:val="nil"/>
              <w:left w:val="single" w:color="A4A4A4" w:sz="4" w:space="0"/>
              <w:bottom w:val="single" w:color="A4A4A4" w:sz="4" w:space="0"/>
              <w:right w:val="nil"/>
            </w:tcBorders>
            <w:shd w:val="clear" w:color="auto" w:fill="auto"/>
            <w:vAlign w:val="center"/>
          </w:tcPr>
          <w:p w14:paraId="512A0FBC">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2818F38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ABDD88F">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017AA082">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38DF1B51">
      <w:pPr>
        <w:rPr>
          <w:rFonts w:ascii="Times New Roman" w:hAnsi="Times New Roman" w:eastAsia="微软雅黑" w:cs="Times New Roman"/>
          <w:b/>
          <w:sz w:val="18"/>
          <w:szCs w:val="18"/>
          <w:highlight w:val="yellow"/>
          <w:lang w:eastAsia="zh-CN"/>
        </w:rPr>
      </w:pPr>
    </w:p>
    <w:p w14:paraId="1811C2A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7ABFCF6">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患者进行肿瘤同源重组修复缺陷评分（HRD score）检测前，推荐优先检测BRCA基因，确定BRCA1/2突变为阴性。</w:t>
      </w:r>
    </w:p>
    <w:p w14:paraId="6E42852A">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同源重组缺陷状态“阳性”代表检测到该肿瘤患者基因组不稳定性评分（HRD score）大于等于4</w:t>
      </w:r>
      <w:r>
        <w:rPr>
          <w:rFonts w:ascii="Times New Roman" w:hAnsi="Times New Roman" w:eastAsia="微软雅黑" w:cs="Times New Roman"/>
          <w:sz w:val="18"/>
          <w:szCs w:val="18"/>
          <w:lang w:eastAsia="zh-CN"/>
        </w:rPr>
        <w:t>3</w:t>
      </w:r>
      <w:r>
        <w:rPr>
          <w:rFonts w:hint="eastAsia" w:ascii="Times New Roman" w:hAnsi="Times New Roman" w:eastAsia="微软雅黑" w:cs="Times New Roman"/>
          <w:sz w:val="18"/>
          <w:szCs w:val="18"/>
          <w:lang w:eastAsia="zh-CN"/>
        </w:rPr>
        <w:t>分，同源重组缺陷状态“阴性”代表检测到该肿瘤患者基因组不稳定性评分（HRD score）小于43分。</w:t>
      </w:r>
    </w:p>
    <w:p w14:paraId="54EB17BB">
      <w:pPr>
        <w:rPr>
          <w:lang w:eastAsia="zh-CN"/>
        </w:rPr>
      </w:pPr>
      <w:r>
        <w:rPr>
          <w:lang w:eastAsia="zh-CN"/>
        </w:rPr>
        <w:br w:type="page"/>
      </w:r>
    </w:p>
    <w:p w14:paraId="619546D8">
      <w:pPr>
        <w:rPr>
          <w:rFonts w:ascii="Times New Roman" w:hAnsi="Times New Roman" w:eastAsia="微软雅黑" w:cs="Times New Roman"/>
          <w:sz w:val="18"/>
          <w:szCs w:val="18"/>
          <w:shd w:val="clear" w:color="auto" w:fill="FFFFFF"/>
          <w:lang w:eastAsia="zh-CN"/>
        </w:rPr>
      </w:pPr>
      <w:bookmarkStart w:id="42" w:name="_Toc23903"/>
      <w:bookmarkStart w:id="43" w:name="_Toc32443_WPSOffice_Level1"/>
      <w:bookmarkStart w:id="44" w:name="_Toc180"/>
      <w:bookmarkStart w:id="45" w:name="_Toc23846_WPSOffice_Level1"/>
      <w:bookmarkStart w:id="46" w:name="_Toc107825555"/>
      <w:bookmarkStart w:id="47" w:name="_Toc25727"/>
      <w:bookmarkStart w:id="48" w:name="_Toc4331_WPSOffice_Level1"/>
      <w:bookmarkStart w:id="49" w:name="_Toc29372"/>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DCCFD76">
      <w:pPr>
        <w:pStyle w:val="3"/>
        <w:numPr>
          <w:ilvl w:val="255"/>
          <w:numId w:val="0"/>
        </w:numPr>
        <w:jc w:val="left"/>
        <w:rPr>
          <w:color w:val="auto"/>
          <w:sz w:val="30"/>
          <w:lang w:eastAsia="zh-CN"/>
        </w:rPr>
      </w:pPr>
      <w:bookmarkStart w:id="50" w:name="_Toc20034"/>
      <w:bookmarkStart w:id="51" w:name="_Toc8587"/>
      <w:bookmarkStart w:id="52" w:name="_Toc10223"/>
      <w:bookmarkStart w:id="53" w:name="_Toc106719764"/>
      <w:r>
        <w:rPr>
          <w:rFonts w:hint="eastAsia"/>
          <w:color w:val="auto"/>
          <w:sz w:val="30"/>
          <w:lang w:eastAsia="zh-CN"/>
        </w:rPr>
        <w:t>PD-L1检测结果</w:t>
      </w:r>
      <w:bookmarkEnd w:id="50"/>
      <w:bookmarkEnd w:id="51"/>
      <w:bookmarkEnd w:id="52"/>
      <w:bookmarkEnd w:id="53"/>
    </w:p>
    <w:p w14:paraId="1A3EF85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B7A0D7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E90705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2005CA7">
            <w:pPr>
              <w:pStyle w:val="38"/>
            </w:pPr>
            <w:r>
              <w:rPr>
                <w:rFonts w:hint="eastAsia"/>
              </w:rPr>
              <w:t>{{</w:t>
            </w:r>
            <w:r>
              <w:t xml:space="preserve"> PDInfo</w:t>
            </w:r>
            <w:r>
              <w:rPr>
                <w:rFonts w:hint="eastAsia"/>
              </w:rPr>
              <w:t>.</w:t>
            </w:r>
            <w:r>
              <w:t>Tumor_cell_count</w:t>
            </w:r>
            <w:r>
              <w:rPr>
                <w:rFonts w:hint="eastAsia"/>
              </w:rPr>
              <w:t xml:space="preserve"> }}</w:t>
            </w:r>
          </w:p>
        </w:tc>
      </w:tr>
      <w:tr w14:paraId="4E40962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A2B086C">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268C51D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11B4AE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BDDB83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AD2A99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7E01C9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810FA4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CA31E0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E0CE82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73345A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B3D2AC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1C573F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DDF9C1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CBE73E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A0E4761">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298EC0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E73E199">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F482C9B">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A7AEF4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BCB1FEC">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1744E15">
      <w:pPr>
        <w:spacing w:line="276" w:lineRule="auto"/>
        <w:ind w:right="449" w:rightChars="204"/>
        <w:rPr>
          <w:rFonts w:ascii="微软雅黑" w:hAnsi="微软雅黑" w:eastAsia="微软雅黑" w:cs="微软雅黑"/>
          <w:b/>
          <w:color w:val="000000"/>
          <w:sz w:val="18"/>
          <w:szCs w:val="18"/>
        </w:rPr>
      </w:pPr>
    </w:p>
    <w:p w14:paraId="77B37AD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33F5D9A">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7F39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546D88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41A10E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587FCE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401C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1672CC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FB772A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E4CD97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6E5BC3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E9A9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3021D6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98081B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7BFAFB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9223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9CCC45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242DE1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606F95F">
            <w:pPr>
              <w:spacing w:line="276" w:lineRule="auto"/>
              <w:jc w:val="left"/>
              <w:rPr>
                <w:rFonts w:ascii="Times New Roman" w:hAnsi="Times New Roman" w:eastAsia="微软雅黑" w:cs="Times New Roman"/>
                <w:sz w:val="18"/>
                <w:szCs w:val="18"/>
                <w:shd w:val="clear" w:color="auto" w:fill="FFFFFF"/>
                <w:lang w:eastAsia="zh-CN"/>
              </w:rPr>
            </w:pPr>
          </w:p>
        </w:tc>
      </w:tr>
      <w:tr w14:paraId="4D666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4434A9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30DABB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EFBA62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940D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FAB4F7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A0D864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F77679D">
            <w:pPr>
              <w:spacing w:line="276" w:lineRule="auto"/>
              <w:jc w:val="left"/>
              <w:rPr>
                <w:rFonts w:ascii="Times New Roman" w:hAnsi="Times New Roman" w:eastAsia="微软雅黑" w:cs="Times New Roman"/>
                <w:sz w:val="18"/>
                <w:szCs w:val="18"/>
                <w:shd w:val="clear" w:color="auto" w:fill="FFFFFF"/>
                <w:lang w:eastAsia="zh-CN"/>
              </w:rPr>
            </w:pPr>
          </w:p>
        </w:tc>
      </w:tr>
    </w:tbl>
    <w:p w14:paraId="5573BD4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B81FFC9">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CDE6E2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9C336E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446D84A">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211372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17D4AA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ACCC4E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714D80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B1E745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955188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B76A88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BCF495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1D3967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394090D">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C36D6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1C7D83D">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BFF18F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2CDE6A4">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CCADB60">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64A1A81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4" w:name="_Toc4769"/>
      <w:r>
        <w:rPr>
          <w:color w:val="62B541"/>
          <w:sz w:val="32"/>
          <w14:shadow w14:blurRad="50800" w14:dist="38100" w14:dir="10800000" w14:sx="100000" w14:sy="100000" w14:kx="0" w14:ky="0" w14:algn="r">
            <w14:srgbClr w14:val="62B541">
              <w14:alpha w14:val="60000"/>
            </w14:srgbClr>
          </w14:shadow>
        </w:rPr>
        <w:t>基因检测结果解析</w:t>
      </w:r>
      <w:bookmarkEnd w:id="42"/>
      <w:bookmarkEnd w:id="43"/>
      <w:bookmarkEnd w:id="44"/>
      <w:bookmarkEnd w:id="45"/>
      <w:bookmarkEnd w:id="46"/>
      <w:bookmarkEnd w:id="47"/>
      <w:bookmarkEnd w:id="48"/>
      <w:bookmarkEnd w:id="49"/>
      <w:bookmarkEnd w:id="54"/>
    </w:p>
    <w:p w14:paraId="65AA8765">
      <w:pPr>
        <w:pStyle w:val="3"/>
        <w:numPr>
          <w:ilvl w:val="255"/>
          <w:numId w:val="0"/>
        </w:numPr>
        <w:jc w:val="left"/>
        <w:rPr>
          <w:color w:val="auto"/>
          <w:sz w:val="30"/>
          <w:lang w:eastAsia="zh-CN"/>
        </w:rPr>
      </w:pPr>
      <w:bookmarkStart w:id="55" w:name="_Toc21881"/>
      <w:bookmarkStart w:id="56" w:name="_Toc23723"/>
      <w:bookmarkStart w:id="57" w:name="_Toc107825556"/>
      <w:bookmarkStart w:id="58" w:name="_Toc10233"/>
      <w:bookmarkStart w:id="59" w:name="_Toc107330125"/>
      <w:r>
        <w:rPr>
          <w:rFonts w:hint="eastAsia"/>
          <w:color w:val="auto"/>
          <w:sz w:val="30"/>
          <w:lang w:eastAsia="zh-CN"/>
        </w:rPr>
        <w:t>同源重组缺陷状态解析</w:t>
      </w:r>
      <w:bookmarkEnd w:id="55"/>
      <w:bookmarkEnd w:id="56"/>
      <w:bookmarkEnd w:id="57"/>
      <w:bookmarkEnd w:id="58"/>
      <w:bookmarkEnd w:id="59"/>
    </w:p>
    <w:p w14:paraId="15FDBE7D">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hint="eastAsia" w:ascii="Times New Roman" w:hAnsi="Times New Roman" w:eastAsia="微软雅黑" w:cs="Times New Roman"/>
          <w:bCs/>
          <w:sz w:val="24"/>
          <w:szCs w:val="24"/>
          <w:lang w:eastAsia="zh-CN"/>
        </w:rPr>
        <w:t>同源重组缺陷状态为“阴性”：检测到该肿瘤患者基因组不稳定性评分（HRD score）小于43分。</w:t>
      </w: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53671B2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76B11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91F61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7D6F7C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33DA72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662DCD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97B96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8C94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FA80F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546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CA98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3D3A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96AD9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C4AC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91F3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15F7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FC442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33EC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9B48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BE911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B82EE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9824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933D4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3241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B3CC7D">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A2C6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D56E7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F02B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B3E3E4F">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F617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9B377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D1D3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18ADA04">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E863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E2F58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E894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C2C71B1">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F10E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BA84E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5C290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67C8A26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A2C900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38072B9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3E7EB1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46CB021C">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627D2D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7B7586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6C8702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98558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23D8CE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0C2A64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74DED7CB">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734387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26EC419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053729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EAEA1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30CDC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6E4DCBF">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650B388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655FD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320EDDE7">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319B95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1E6A6A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2D508D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E4FC8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90C71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77292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98B89F5">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7B3F05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224489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5248238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4F5A4A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FD2A5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E545AB9">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6390A5D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12C6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0DEDE689">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4CF737EF">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54B673DC">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2FF2C333">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06CC3F9">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0E7E2218">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398E58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5431EFEA">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295759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20D0EE00">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4A02DA42">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7F23BEA3">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2F834AFD">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47AA3E2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73FFEA2A">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06CA1935">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581055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1C9BAAE">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67B1709B">
      <w:pPr>
        <w:rPr>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p>
    <w:p w14:paraId="1D65EF1F">
      <w:pPr>
        <w:pStyle w:val="25"/>
        <w:outlineLvl w:val="0"/>
        <w:rPr>
          <w:rStyle w:val="37"/>
          <w:rFonts w:ascii="微软雅黑" w:hAnsi="微软雅黑" w:cs="微软雅黑"/>
          <w:b/>
          <w:color w:val="62B541"/>
          <w:sz w:val="32"/>
          <w:szCs w:val="32"/>
          <w14:shadow w14:blurRad="50800" w14:dist="38100" w14:dir="10800000" w14:sx="100000" w14:sy="100000" w14:kx="0" w14:ky="0" w14:algn="r">
            <w14:srgbClr w14:val="62B541">
              <w14:alpha w14:val="60000"/>
            </w14:srgbClr>
          </w14:shadow>
        </w:rPr>
      </w:pPr>
      <w:bookmarkStart w:id="60" w:name="_Toc13196_WPSOffice_Level1"/>
      <w:bookmarkStart w:id="61" w:name="_Toc28240"/>
      <w:bookmarkStart w:id="62" w:name="_Toc25501"/>
      <w:bookmarkStart w:id="63" w:name="_Toc1707_WPSOffice_Level1"/>
      <w:bookmarkStart w:id="64" w:name="_Toc13698"/>
      <w:bookmarkStart w:id="65" w:name="_Toc11294"/>
      <w:bookmarkStart w:id="66" w:name="_Toc27302"/>
      <w:bookmarkStart w:id="67" w:name="_Toc21764_WPSOffice_Level1"/>
      <w:bookmarkStart w:id="68" w:name="_Toc107825561"/>
      <w:r>
        <w:rPr>
          <w:rStyle w:val="37"/>
          <w:rFonts w:hint="eastAsia" w:ascii="微软雅黑" w:hAnsi="微软雅黑" w:cs="微软雅黑"/>
          <w:b/>
          <w:color w:val="62B541"/>
          <w:sz w:val="32"/>
          <w:szCs w:val="32"/>
          <w14:shadow w14:blurRad="50800" w14:dist="38100" w14:dir="10800000" w14:sx="100000" w14:sy="100000" w14:kx="0" w14:ky="0" w14:algn="r">
            <w14:srgbClr w14:val="62B541">
              <w14:alpha w14:val="60000"/>
            </w14:srgbClr>
          </w14:shadow>
        </w:rPr>
        <w:t>附录</w:t>
      </w:r>
      <w:bookmarkEnd w:id="60"/>
      <w:bookmarkEnd w:id="61"/>
      <w:bookmarkEnd w:id="62"/>
      <w:bookmarkEnd w:id="63"/>
      <w:bookmarkEnd w:id="64"/>
      <w:bookmarkEnd w:id="65"/>
      <w:bookmarkEnd w:id="66"/>
      <w:bookmarkEnd w:id="67"/>
      <w:bookmarkEnd w:id="68"/>
    </w:p>
    <w:p w14:paraId="7DC7F279">
      <w:pPr>
        <w:pStyle w:val="3"/>
        <w:numPr>
          <w:ilvl w:val="255"/>
          <w:numId w:val="0"/>
        </w:numPr>
        <w:jc w:val="left"/>
        <w:rPr>
          <w:color w:val="auto"/>
          <w:sz w:val="30"/>
          <w:lang w:eastAsia="zh-CN"/>
        </w:rPr>
      </w:pPr>
      <w:bookmarkStart w:id="69" w:name="_Toc32150"/>
      <w:bookmarkStart w:id="70" w:name="_Toc15840_WPSOffice_Level1"/>
      <w:bookmarkStart w:id="71" w:name="_Toc24085_WPSOffice_Level1"/>
      <w:bookmarkStart w:id="72" w:name="_Toc28605"/>
      <w:bookmarkStart w:id="73" w:name="_Toc10437"/>
      <w:bookmarkStart w:id="74" w:name="_Toc9066"/>
      <w:bookmarkStart w:id="75" w:name="_Toc3674"/>
      <w:bookmarkStart w:id="76" w:name="_Toc14255_WPSOffice_Level1"/>
      <w:bookmarkStart w:id="77" w:name="_Toc11896_WPSOffice_Level1"/>
      <w:bookmarkStart w:id="78" w:name="_Toc23688"/>
      <w:bookmarkStart w:id="79" w:name="_Toc11193_WPSOffice_Level1"/>
      <w:bookmarkStart w:id="80" w:name="_Toc28810_WPSOffice_Level1"/>
      <w:r>
        <w:rPr>
          <w:rFonts w:hint="eastAsia"/>
          <w:color w:val="auto"/>
          <w:sz w:val="30"/>
          <w:lang w:eastAsia="zh-CN"/>
        </w:rPr>
        <w:t>样本质控情况</w:t>
      </w:r>
      <w:bookmarkEnd w:id="69"/>
      <w:bookmarkEnd w:id="70"/>
      <w:bookmarkEnd w:id="71"/>
      <w:bookmarkEnd w:id="72"/>
      <w:bookmarkEnd w:id="73"/>
      <w:bookmarkEnd w:id="74"/>
      <w:bookmarkEnd w:id="75"/>
      <w:bookmarkEnd w:id="76"/>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74678C1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3FD9BE8F">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06F0DB06">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361BF294">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10BB8FB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278714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7890DAEF">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642CBD36">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3D9A3F4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}}{%endif%}</w:t>
            </w:r>
          </w:p>
        </w:tc>
        <w:tc>
          <w:tcPr>
            <w:tcW w:w="2721" w:type="dxa"/>
            <w:tcBorders>
              <w:top w:val="nil"/>
              <w:right w:val="nil"/>
            </w:tcBorders>
            <w:vAlign w:val="center"/>
          </w:tcPr>
          <w:p w14:paraId="399A15C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hint="eastAsia" w:ascii="Times New Roman" w:hAnsi="Times New Roman" w:eastAsia="微软雅黑" w:cs="Times New Roman"/>
                <w:bCs/>
                <w:sz w:val="21"/>
                <w:lang w:val="en-US" w:eastAsia="zh-CN"/>
              </w:rPr>
              <w:t>2</w:t>
            </w:r>
            <w:bookmarkStart w:id="119" w:name="_GoBack"/>
            <w:bookmarkEnd w:id="119"/>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1733C07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EF153D2">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62817401">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5D7D1DD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28FA43D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14:paraId="1E0DDF8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7048027">
            <w:pPr>
              <w:ind w:left="119"/>
              <w:jc w:val="center"/>
              <w:rPr>
                <w:rFonts w:ascii="Times New Roman" w:hAnsi="Times New Roman" w:eastAsia="微软雅黑" w:cs="Times New Roman"/>
                <w:b/>
                <w:sz w:val="21"/>
              </w:rPr>
            </w:pPr>
          </w:p>
        </w:tc>
        <w:tc>
          <w:tcPr>
            <w:tcW w:w="2721" w:type="dxa"/>
            <w:vAlign w:val="center"/>
          </w:tcPr>
          <w:p w14:paraId="4E1ED021">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7285054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2FCC020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6061A7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EABF855">
            <w:pPr>
              <w:ind w:left="119"/>
              <w:jc w:val="center"/>
              <w:rPr>
                <w:rFonts w:ascii="Times New Roman" w:hAnsi="Times New Roman" w:eastAsia="微软雅黑" w:cs="Times New Roman"/>
                <w:b/>
                <w:sz w:val="21"/>
              </w:rPr>
            </w:pPr>
          </w:p>
        </w:tc>
        <w:tc>
          <w:tcPr>
            <w:tcW w:w="2721" w:type="dxa"/>
            <w:vAlign w:val="center"/>
          </w:tcPr>
          <w:p w14:paraId="7C03486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2D248B9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13051C5F">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≥500</w:t>
            </w:r>
          </w:p>
        </w:tc>
      </w:tr>
      <w:tr w14:paraId="500F819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D251AF8">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5A1D481A">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32A51ADC">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46A53D5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5F3366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863" w:hRule="atLeast"/>
          <w:jc w:val="center"/>
        </w:trPr>
        <w:tc>
          <w:tcPr>
            <w:tcW w:w="1987" w:type="dxa"/>
            <w:vMerge w:val="continue"/>
            <w:tcBorders>
              <w:left w:val="nil"/>
            </w:tcBorders>
            <w:vAlign w:val="center"/>
          </w:tcPr>
          <w:p w14:paraId="5BD32F29">
            <w:pPr>
              <w:ind w:left="119"/>
              <w:jc w:val="center"/>
              <w:rPr>
                <w:rFonts w:ascii="Times New Roman" w:hAnsi="Times New Roman" w:eastAsia="微软雅黑" w:cs="Times New Roman"/>
                <w:b/>
                <w:sz w:val="21"/>
              </w:rPr>
            </w:pPr>
          </w:p>
        </w:tc>
        <w:tc>
          <w:tcPr>
            <w:tcW w:w="2721" w:type="dxa"/>
            <w:vAlign w:val="center"/>
          </w:tcPr>
          <w:p w14:paraId="5B4DEB8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7E941EF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5C8A5B1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47187E3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DFDCF35">
            <w:pPr>
              <w:ind w:left="119"/>
              <w:jc w:val="center"/>
              <w:rPr>
                <w:rFonts w:ascii="Times New Roman" w:hAnsi="Times New Roman" w:eastAsia="微软雅黑" w:cs="Times New Roman"/>
                <w:b/>
                <w:sz w:val="21"/>
              </w:rPr>
            </w:pPr>
          </w:p>
        </w:tc>
        <w:tc>
          <w:tcPr>
            <w:tcW w:w="2721" w:type="dxa"/>
            <w:vAlign w:val="center"/>
          </w:tcPr>
          <w:p w14:paraId="6711919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62DC402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14:paraId="5277F9B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68E1DFD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0CC70D5">
            <w:pPr>
              <w:ind w:left="119"/>
              <w:jc w:val="center"/>
              <w:rPr>
                <w:rFonts w:ascii="Times New Roman" w:hAnsi="Times New Roman" w:eastAsia="微软雅黑" w:cs="Times New Roman"/>
                <w:b/>
                <w:sz w:val="21"/>
              </w:rPr>
            </w:pPr>
          </w:p>
        </w:tc>
        <w:tc>
          <w:tcPr>
            <w:tcW w:w="2721" w:type="dxa"/>
            <w:vAlign w:val="center"/>
          </w:tcPr>
          <w:p w14:paraId="60080A31">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1C9E6D4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14:paraId="57D6245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1C9A079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0623FAE4">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3698A88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eastAsia="zh-CN"/>
              </w:rPr>
              <w:t>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 oqa(20</w:t>
            </w:r>
            <w:r>
              <w:rPr>
                <w:rFonts w:ascii="Times New Roman" w:hAnsi="Times New Roman" w:eastAsia="微软雅黑" w:cs="Times New Roman"/>
                <w:sz w:val="21"/>
                <w:lang w:eastAsia="zh-CN"/>
              </w:rPr>
              <w:t>0</w:t>
            </w:r>
            <w:r>
              <w:rPr>
                <w:rFonts w:hint="eastAsia" w:ascii="Times New Roman" w:hAnsi="Times New Roman" w:eastAsia="微软雅黑" w:cs="Times New Roman"/>
                <w:sz w:val="21"/>
                <w:lang w:eastAsia="zh-CN"/>
              </w:rPr>
              <w:t>,150) }}{%endif%}</w:t>
            </w:r>
          </w:p>
        </w:tc>
      </w:tr>
    </w:tbl>
    <w:p w14:paraId="671F82B3">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8CDEA0E">
      <w:pPr>
        <w:pStyle w:val="34"/>
        <w:numPr>
          <w:ilvl w:val="0"/>
          <w:numId w:val="7"/>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肿瘤细胞含量：送检样本经HE染色评估的肿瘤细胞含量。如送检样本不满足病理评估所需条件，则不进行此项评估。</w:t>
      </w:r>
    </w:p>
    <w:p w14:paraId="3E7B9699">
      <w:pPr>
        <w:pStyle w:val="34"/>
        <w:numPr>
          <w:ilvl w:val="0"/>
          <w:numId w:val="7"/>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DNA总量：送检样本的DNA提取总量。</w:t>
      </w:r>
    </w:p>
    <w:p w14:paraId="241C3BB1">
      <w:pPr>
        <w:pStyle w:val="34"/>
        <w:numPr>
          <w:ilvl w:val="0"/>
          <w:numId w:val="7"/>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DNA降解程度：</w:t>
      </w:r>
    </w:p>
    <w:p w14:paraId="24D50877">
      <w:pPr>
        <w:pStyle w:val="6"/>
        <w:numPr>
          <w:ilvl w:val="0"/>
          <w:numId w:val="8"/>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1169D15B">
      <w:pPr>
        <w:pStyle w:val="6"/>
        <w:numPr>
          <w:ilvl w:val="0"/>
          <w:numId w:val="8"/>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0844046D">
      <w:pPr>
        <w:pStyle w:val="6"/>
        <w:numPr>
          <w:ilvl w:val="0"/>
          <w:numId w:val="8"/>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6D9B506F">
      <w:pPr>
        <w:pStyle w:val="6"/>
        <w:numPr>
          <w:ilvl w:val="0"/>
          <w:numId w:val="8"/>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2FA0B42F">
      <w:pPr>
        <w:pStyle w:val="34"/>
        <w:numPr>
          <w:ilvl w:val="0"/>
          <w:numId w:val="7"/>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预文库总量：核酸片段经过接头连接和扩增纯化后中间产物的总量。</w:t>
      </w:r>
    </w:p>
    <w:p w14:paraId="54E1E638">
      <w:pPr>
        <w:pStyle w:val="34"/>
        <w:numPr>
          <w:ilvl w:val="0"/>
          <w:numId w:val="7"/>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平均测序深度：目标区域每个碱基被测到的平均次数。</w:t>
      </w:r>
    </w:p>
    <w:p w14:paraId="2EA9007F">
      <w:pPr>
        <w:pStyle w:val="34"/>
        <w:numPr>
          <w:ilvl w:val="0"/>
          <w:numId w:val="7"/>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覆盖均一性：测序深度达到平均测序深度20%的碱基占比。</w:t>
      </w:r>
    </w:p>
    <w:p w14:paraId="0927B96A">
      <w:pPr>
        <w:pStyle w:val="34"/>
        <w:numPr>
          <w:ilvl w:val="0"/>
          <w:numId w:val="7"/>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基因组比对率：比对到参考基因组上的reads数目占比。</w:t>
      </w:r>
    </w:p>
    <w:p w14:paraId="2D6ACE6D">
      <w:pPr>
        <w:pStyle w:val="34"/>
        <w:numPr>
          <w:ilvl w:val="0"/>
          <w:numId w:val="7"/>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碱基质量Q30占比：测序数据中碱基质量在Q30以上（即碱基识别错误率在千分之一以下）的占比。</w:t>
      </w:r>
    </w:p>
    <w:p w14:paraId="428936F4">
      <w:pPr>
        <w:pStyle w:val="34"/>
        <w:numPr>
          <w:ilvl w:val="0"/>
          <w:numId w:val="7"/>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总体质量评估：总体质量评估：根据DNA平均测序深度进行评估，分为“合格”、“警戒“、”不合格”三个等级。总体质量评估为“警戒“或者“不合格”时，均会影响检测的准确性和敏感性。</w:t>
      </w:r>
    </w:p>
    <w:p w14:paraId="36FD4F0F">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53DFB3DE">
      <w:pPr>
        <w:pStyle w:val="3"/>
        <w:numPr>
          <w:ilvl w:val="255"/>
          <w:numId w:val="0"/>
        </w:numPr>
        <w:jc w:val="left"/>
        <w:rPr>
          <w:color w:val="auto"/>
          <w:sz w:val="30"/>
          <w:lang w:eastAsia="zh-CN"/>
        </w:rPr>
      </w:pPr>
      <w:bookmarkStart w:id="81" w:name="_Toc19415"/>
      <w:bookmarkStart w:id="82" w:name="_Toc107825565"/>
      <w:bookmarkStart w:id="83" w:name="_Toc28611"/>
      <w:r>
        <w:rPr>
          <w:rFonts w:hint="eastAsia"/>
          <w:color w:val="auto"/>
          <w:sz w:val="30"/>
          <w:lang w:eastAsia="zh-CN"/>
        </w:rPr>
        <w:t>基因组不稳定性介绍</w:t>
      </w:r>
      <w:bookmarkEnd w:id="81"/>
      <w:bookmarkEnd w:id="82"/>
      <w:bookmarkEnd w:id="83"/>
    </w:p>
    <w:p w14:paraId="639F4077">
      <w:pPr>
        <w:rPr>
          <w:rFonts w:ascii="Times New Roman" w:hAnsi="Times New Roman" w:eastAsia="微软雅黑" w:cs="Times New Roman"/>
          <w:lang w:eastAsia="zh-CN"/>
        </w:rPr>
      </w:pPr>
    </w:p>
    <w:p w14:paraId="2B018349">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599F16D6">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568004EB">
      <w:pPr>
        <w:spacing w:line="440" w:lineRule="exact"/>
        <w:ind w:firstLine="440" w:firstLineChars="200"/>
        <w:rPr>
          <w:rFonts w:ascii="Times New Roman" w:hAnsi="Times New Roman" w:eastAsia="微软雅黑" w:cs="Times New Roman"/>
          <w:lang w:eastAsia="zh-CN"/>
        </w:rPr>
      </w:pPr>
    </w:p>
    <w:p w14:paraId="745B9E8E">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6D04001E">
      <w:pPr>
        <w:pStyle w:val="3"/>
        <w:numPr>
          <w:ilvl w:val="255"/>
          <w:numId w:val="0"/>
        </w:numPr>
        <w:jc w:val="left"/>
        <w:rPr>
          <w:color w:val="auto"/>
          <w:sz w:val="30"/>
          <w:lang w:eastAsia="zh-CN"/>
        </w:rPr>
      </w:pPr>
      <w:bookmarkStart w:id="84" w:name="_Toc22197"/>
      <w:bookmarkStart w:id="85" w:name="_Toc107825566"/>
      <w:bookmarkStart w:id="86" w:name="_Toc10776"/>
      <w:r>
        <w:rPr>
          <w:rFonts w:hint="eastAsia"/>
          <w:color w:val="auto"/>
          <w:sz w:val="30"/>
          <w:lang w:eastAsia="zh-CN"/>
        </w:rPr>
        <w:t>同源重组缺陷（HRD）</w:t>
      </w:r>
      <w:bookmarkEnd w:id="84"/>
      <w:bookmarkEnd w:id="85"/>
      <w:r>
        <w:rPr>
          <w:rFonts w:hint="eastAsia"/>
          <w:color w:val="auto"/>
          <w:sz w:val="30"/>
          <w:lang w:eastAsia="zh-CN"/>
        </w:rPr>
        <w:t>介绍</w:t>
      </w:r>
      <w:bookmarkEnd w:id="86"/>
    </w:p>
    <w:p w14:paraId="2B411D87">
      <w:pPr>
        <w:rPr>
          <w:rFonts w:ascii="Times New Roman" w:hAnsi="Times New Roman" w:eastAsia="微软雅黑" w:cs="Times New Roman"/>
          <w:lang w:eastAsia="zh-CN"/>
        </w:rPr>
      </w:pPr>
    </w:p>
    <w:p w14:paraId="7D88DD16">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0866F563">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23D269B4">
      <w:pPr>
        <w:spacing w:line="360" w:lineRule="auto"/>
        <w:ind w:firstLine="440" w:firstLineChars="200"/>
        <w:jc w:val="center"/>
        <w:rPr>
          <w:rFonts w:ascii="Times New Roman" w:hAnsi="Times New Roman" w:eastAsia="微软雅黑" w:cs="Times New Roman"/>
          <w:lang w:eastAsia="zh-CN"/>
        </w:rPr>
      </w:pPr>
    </w:p>
    <w:p w14:paraId="3C2C7023">
      <w:pPr>
        <w:rPr>
          <w:rFonts w:ascii="Times New Roman" w:hAnsi="Times New Roman" w:eastAsia="微软雅黑" w:cs="Times New Roman"/>
          <w:lang w:eastAsia="zh-CN"/>
        </w:rPr>
      </w:pPr>
    </w:p>
    <w:p w14:paraId="27BCC841">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624195" cy="1007110"/>
                    </a:xfrm>
                    <a:prstGeom prst="rect">
                      <a:avLst/>
                    </a:prstGeom>
                  </pic:spPr>
                </pic:pic>
              </a:graphicData>
            </a:graphic>
          </wp:inline>
        </w:drawing>
      </w:r>
    </w:p>
    <w:p w14:paraId="626328C4">
      <w:pPr>
        <w:jc w:val="center"/>
      </w:pPr>
    </w:p>
    <w:p w14:paraId="337451F8">
      <w:pPr>
        <w:jc w:val="center"/>
      </w:pPr>
    </w:p>
    <w:p w14:paraId="1F3BB0DD">
      <w:pPr>
        <w:jc w:val="both"/>
        <w:rPr>
          <w:lang w:eastAsia="zh-CN"/>
        </w:rPr>
      </w:pPr>
    </w:p>
    <w:p w14:paraId="177B1E5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3D2AF7C1">
      <w:pPr>
        <w:pStyle w:val="3"/>
        <w:numPr>
          <w:ilvl w:val="255"/>
          <w:numId w:val="0"/>
        </w:numPr>
        <w:jc w:val="left"/>
        <w:rPr>
          <w:color w:val="auto"/>
          <w:sz w:val="30"/>
          <w:lang w:eastAsia="zh-CN"/>
        </w:rPr>
      </w:pPr>
      <w:bookmarkStart w:id="87" w:name="_Toc5398"/>
      <w:bookmarkStart w:id="88" w:name="_Toc107825567"/>
      <w:bookmarkStart w:id="89" w:name="_Toc31498"/>
      <w:r>
        <w:rPr>
          <w:rFonts w:hint="eastAsia"/>
          <w:color w:val="auto"/>
          <w:sz w:val="30"/>
          <w:lang w:eastAsia="zh-CN"/>
        </w:rPr>
        <w:t>易感人群特征</w:t>
      </w:r>
      <w:bookmarkEnd w:id="77"/>
      <w:bookmarkEnd w:id="78"/>
      <w:bookmarkEnd w:id="87"/>
      <w:bookmarkEnd w:id="88"/>
      <w:bookmarkEnd w:id="89"/>
    </w:p>
    <w:bookmarkEnd w:id="79"/>
    <w:bookmarkEnd w:id="80"/>
    <w:p w14:paraId="69849B78">
      <w:pPr>
        <w:rPr>
          <w:rFonts w:ascii="Times New Roman" w:hAnsi="Times New Roman" w:eastAsia="微软雅黑" w:cs="Times New Roman"/>
          <w:sz w:val="20"/>
          <w:szCs w:val="20"/>
          <w:lang w:eastAsia="zh-CN"/>
        </w:rPr>
      </w:pPr>
    </w:p>
    <w:p w14:paraId="5B0BEAB3">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14:paraId="12FC6D0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6952F0F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791941BD">
      <w:pPr>
        <w:widowControl/>
        <w:numPr>
          <w:ilvl w:val="0"/>
          <w:numId w:val="9"/>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2B818D01">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7B2C820C">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5902FB56">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2C3CE40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0172A6B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5B4031C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0C78E40A">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0794F3CF">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4805D671">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78A3EF1C">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74F08BA1">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2B154FDD">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6C88C5B4">
      <w:pPr>
        <w:spacing w:before="26"/>
        <w:ind w:firstLine="660" w:firstLineChars="300"/>
        <w:rPr>
          <w:rFonts w:ascii="Times New Roman" w:hAnsi="Times New Roman" w:eastAsia="微软雅黑" w:cs="Times New Roman"/>
          <w:lang w:eastAsia="zh-CN"/>
        </w:rPr>
      </w:pPr>
    </w:p>
    <w:p w14:paraId="5B1F1586">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6343640">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7874D8C2">
      <w:pPr>
        <w:spacing w:before="26"/>
        <w:rPr>
          <w:rFonts w:ascii="Times New Roman" w:hAnsi="Times New Roman" w:eastAsia="微软雅黑" w:cs="Times New Roman"/>
          <w:b/>
          <w:sz w:val="4"/>
          <w:szCs w:val="21"/>
          <w:lang w:eastAsia="zh-CN"/>
        </w:rPr>
      </w:pPr>
      <w:bookmarkStart w:id="90" w:name="_Toc16486"/>
      <w:bookmarkStart w:id="91" w:name="_Toc18576"/>
      <w:r>
        <w:rPr>
          <w:rFonts w:hint="eastAsia" w:ascii="Times New Roman" w:hAnsi="Times New Roman" w:eastAsia="微软雅黑" w:cs="Times New Roman"/>
          <w:b/>
          <w:bCs/>
          <w:sz w:val="24"/>
          <w:szCs w:val="24"/>
          <w:lang w:eastAsia="zh-CN"/>
        </w:rPr>
        <w:t>前列腺癌易感人群特征</w:t>
      </w:r>
      <w:bookmarkEnd w:id="90"/>
      <w:bookmarkEnd w:id="91"/>
    </w:p>
    <w:p w14:paraId="01FDA5C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252294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4772287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1ABCDD3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39EB01A8">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13D5578C">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71EF82CB">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1FBB75C5">
      <w:pPr>
        <w:spacing w:before="26"/>
        <w:ind w:left="218" w:leftChars="99" w:firstLine="2"/>
        <w:rPr>
          <w:rFonts w:ascii="Times New Roman" w:hAnsi="Times New Roman" w:eastAsia="微软雅黑" w:cs="Times New Roman"/>
          <w:lang w:eastAsia="zh-CN"/>
        </w:rPr>
      </w:pPr>
    </w:p>
    <w:p w14:paraId="5303AE0B">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0250332B">
      <w:pPr>
        <w:spacing w:before="26"/>
        <w:rPr>
          <w:rFonts w:ascii="Times New Roman" w:hAnsi="Times New Roman" w:eastAsia="微软雅黑" w:cs="Times New Roman"/>
          <w:b/>
          <w:bCs/>
          <w:sz w:val="24"/>
          <w:szCs w:val="24"/>
          <w:lang w:eastAsia="zh-CN"/>
        </w:rPr>
      </w:pPr>
    </w:p>
    <w:p w14:paraId="1CA94899">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14:paraId="1425FA34">
      <w:pPr>
        <w:spacing w:before="26"/>
        <w:rPr>
          <w:rFonts w:ascii="Times New Roman" w:hAnsi="Times New Roman" w:eastAsia="微软雅黑" w:cs="Times New Roman"/>
          <w:lang w:eastAsia="zh-CN"/>
        </w:rPr>
      </w:pPr>
      <w:bookmarkStart w:id="92" w:name="_Toc3846"/>
      <w:bookmarkStart w:id="93" w:name="_Toc5400"/>
      <w:bookmarkStart w:id="94" w:name="_Toc331"/>
      <w:bookmarkStart w:id="95" w:name="_Toc32060"/>
      <w:r>
        <w:rPr>
          <w:rFonts w:ascii="Times New Roman" w:hAnsi="Times New Roman" w:eastAsia="微软雅黑" w:cs="Times New Roman"/>
          <w:lang w:eastAsia="zh-CN"/>
        </w:rPr>
        <w:t>1 40岁以上，同时伴有≥1项下述者</w:t>
      </w:r>
      <w:bookmarkEnd w:id="92"/>
      <w:bookmarkEnd w:id="93"/>
      <w:bookmarkEnd w:id="94"/>
      <w:bookmarkEnd w:id="95"/>
    </w:p>
    <w:p w14:paraId="2641A391">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1909DD3E">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32E4C0BA">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0AB6E2AD">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274B3576">
      <w:pPr>
        <w:spacing w:before="26"/>
        <w:rPr>
          <w:rFonts w:ascii="Times New Roman" w:hAnsi="Times New Roman" w:eastAsia="微软雅黑" w:cs="Times New Roman"/>
          <w:lang w:eastAsia="zh-CN"/>
        </w:rPr>
      </w:pPr>
      <w:bookmarkStart w:id="96" w:name="_Toc126"/>
      <w:bookmarkStart w:id="97" w:name="_Toc5423"/>
      <w:bookmarkStart w:id="98" w:name="_Toc22196"/>
      <w:bookmarkStart w:id="99" w:name="_Toc10299"/>
      <w:r>
        <w:rPr>
          <w:rFonts w:ascii="Times New Roman" w:hAnsi="Times New Roman" w:eastAsia="微软雅黑" w:cs="Times New Roman"/>
          <w:lang w:eastAsia="zh-CN"/>
        </w:rPr>
        <w:t>2 有胰腺癌家族史、糖尿病史</w:t>
      </w:r>
      <w:bookmarkEnd w:id="96"/>
      <w:bookmarkEnd w:id="97"/>
      <w:bookmarkEnd w:id="98"/>
      <w:bookmarkEnd w:id="99"/>
    </w:p>
    <w:p w14:paraId="1AFDDC4C">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08193478">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02B0C65A">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31801F1A">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5F79D6FB">
      <w:pPr>
        <w:spacing w:before="26"/>
        <w:rPr>
          <w:rFonts w:ascii="Times New Roman" w:hAnsi="Times New Roman" w:eastAsia="微软雅黑" w:cs="Times New Roman"/>
          <w:sz w:val="18"/>
          <w:szCs w:val="18"/>
          <w:lang w:eastAsia="zh-CN"/>
        </w:rPr>
      </w:pPr>
    </w:p>
    <w:p w14:paraId="7E095B91">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r>
        <w:rPr>
          <w:rFonts w:ascii="Times New Roman" w:hAnsi="Times New Roman" w:eastAsia="微软雅黑" w:cs="Times New Roman"/>
          <w:sz w:val="24"/>
          <w:szCs w:val="24"/>
          <w:lang w:eastAsia="zh-CN"/>
        </w:rPr>
        <w:br w:type="page"/>
      </w:r>
    </w:p>
    <w:bookmarkEnd w:id="19"/>
    <w:p w14:paraId="7BCA8D3D">
      <w:pPr>
        <w:pStyle w:val="3"/>
        <w:numPr>
          <w:ilvl w:val="255"/>
          <w:numId w:val="0"/>
        </w:numPr>
        <w:jc w:val="left"/>
        <w:rPr>
          <w:color w:val="auto"/>
          <w:sz w:val="30"/>
          <w:lang w:eastAsia="zh-CN"/>
        </w:rPr>
      </w:pPr>
      <w:bookmarkStart w:id="100" w:name="_Toc28248"/>
      <w:bookmarkStart w:id="101" w:name="_Toc3409"/>
      <w:bookmarkStart w:id="102" w:name="_Toc15114"/>
      <w:bookmarkStart w:id="103" w:name="_Toc5476"/>
      <w:bookmarkStart w:id="104" w:name="_Toc26985_WPSOffice_Level1"/>
      <w:bookmarkStart w:id="105" w:name="_Toc28454_WPSOffice_Level1"/>
      <w:bookmarkStart w:id="106" w:name="_Toc107825570"/>
      <w:bookmarkStart w:id="107" w:name="_Toc20170_WPSOffice_Level1"/>
      <w:bookmarkStart w:id="108" w:name="_Toc27034"/>
      <w:r>
        <w:rPr>
          <w:rFonts w:hint="eastAsia"/>
          <w:color w:val="auto"/>
          <w:sz w:val="30"/>
          <w:lang w:eastAsia="zh-CN"/>
        </w:rPr>
        <w:t>检测方法与局限性</w:t>
      </w:r>
      <w:bookmarkEnd w:id="100"/>
      <w:bookmarkEnd w:id="101"/>
      <w:bookmarkEnd w:id="102"/>
    </w:p>
    <w:bookmarkEnd w:id="103"/>
    <w:bookmarkEnd w:id="104"/>
    <w:bookmarkEnd w:id="105"/>
    <w:bookmarkEnd w:id="106"/>
    <w:bookmarkEnd w:id="107"/>
    <w:bookmarkEnd w:id="108"/>
    <w:p w14:paraId="27FB838F">
      <w:pPr>
        <w:rPr>
          <w:highlight w:val="yellow"/>
          <w:lang w:eastAsia="zh-CN"/>
        </w:rPr>
      </w:pPr>
      <w:bookmarkStart w:id="109" w:name="_Toc21361"/>
      <w:bookmarkStart w:id="110" w:name="_Toc9662"/>
      <w:bookmarkStart w:id="111" w:name="_Toc107825571"/>
      <w:bookmarkStart w:id="112" w:name="_Toc22623"/>
      <w:bookmarkStart w:id="113" w:name="_Toc14611_WPSOffice_Level1"/>
      <w:bookmarkStart w:id="114" w:name="_Toc13275"/>
      <w:bookmarkStart w:id="115" w:name="_Toc22162_WPSOffice_Level1"/>
      <w:bookmarkStart w:id="116" w:name="_Toc19584_WPSOffice_Level1"/>
      <w:bookmarkStart w:id="117" w:name="_Toc17792_WPSOffice_Level2"/>
    </w:p>
    <w:p w14:paraId="0877910E">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93A5695">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本次检测采用目标区域探针捕获技术，</w:t>
      </w:r>
      <w:r>
        <w:rPr>
          <w:rFonts w:hint="eastAsia" w:ascii="Times New Roman" w:hAnsi="Times New Roman" w:eastAsia="微软雅黑" w:cs="Times New Roman"/>
          <w:bCs/>
          <w:sz w:val="21"/>
          <w:szCs w:val="21"/>
          <w:highlight w:val="none"/>
          <w:lang w:val="en-US" w:eastAsia="zh-CN"/>
        </w:rPr>
        <w:t>通过</w:t>
      </w:r>
      <w:r>
        <w:rPr>
          <w:rFonts w:hint="eastAsia" w:ascii="Times New Roman" w:hAnsi="Times New Roman" w:eastAsia="微软雅黑" w:cs="Times New Roman"/>
          <w:bCs/>
          <w:sz w:val="21"/>
          <w:szCs w:val="21"/>
          <w:lang w:eastAsia="zh-CN"/>
        </w:rPr>
        <w:t>脱氧核糖核酸测序</w:t>
      </w:r>
      <w:r>
        <w:rPr>
          <w:rFonts w:hint="eastAsia" w:ascii="Times New Roman" w:hAnsi="Times New Roman" w:eastAsia="微软雅黑" w:cs="Times New Roman"/>
          <w:bCs/>
          <w:sz w:val="21"/>
          <w:szCs w:val="21"/>
          <w:highlight w:val="none"/>
          <w:lang w:val="en-US" w:eastAsia="zh-CN"/>
        </w:rPr>
        <w:t>检测。</w:t>
      </w:r>
    </w:p>
    <w:p w14:paraId="67C53AF0">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本次检测对胚系及肿瘤组织来源的测序数据运用生物信息学软件进行分析，以识别杂合位点频率以及相关的拷贝数。借助生物信息分析所得数据，综合检测基因组杂合性缺失（LOH）、端粒等位基因不平衡（TAI）、大片段迁移（LST）。基于LOH、TAI、LST获得基因不稳定状态评分（HRD score），提供全面可信的检测结果。</w:t>
      </w:r>
    </w:p>
    <w:p w14:paraId="70F3F6C7">
      <w:pPr>
        <w:rPr>
          <w:rFonts w:hint="eastAsia" w:ascii="Times New Roman" w:hAnsi="Times New Roman" w:eastAsia="微软雅黑" w:cs="Times New Roman"/>
          <w:bCs/>
          <w:sz w:val="21"/>
          <w:szCs w:val="21"/>
          <w:lang w:eastAsia="zh-CN"/>
        </w:rPr>
      </w:pPr>
    </w:p>
    <w:p w14:paraId="5A620C9E">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8483BBB">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1.本检测仅为临床诊断及治疗决策提供参考和辅助。临床诊断及治疗决策应由临床医生结合受检者的全面临床信息进行综合判断。</w:t>
      </w:r>
    </w:p>
    <w:p w14:paraId="5528ADC7">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2.本检测的分析和解读基于已发表的文献和公开的数据库，随着科学研究的发展和数据库的更新，变异解读可能发生一定的变更。</w:t>
      </w:r>
    </w:p>
    <w:p w14:paraId="69ED0761">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3.本检测适用于发现指定基因DNA水平的变异，不涉及DNA甲基化、RNA水平或蛋白质水平的检测。</w:t>
      </w:r>
    </w:p>
    <w:p w14:paraId="10A1008A">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4.如未检出指定基因的变异(即阴性结果)不能排除存在低于检测下限的变异的可能性。</w:t>
      </w:r>
    </w:p>
    <w:p w14:paraId="2890DE3A">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5.肿瘤是一种复杂的系统性疾病，评定是否为恶性肿瘤需要由临床医生综合多种检查结果进行判定。本检测不能用于确认或排除恶性肿瘤的存在。</w:t>
      </w:r>
    </w:p>
    <w:p w14:paraId="47346917">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6.部分患者不存在明确的靶向药物对应的基因突变，所以并非所有受检者都可以找到对应靶向药物或明确耐药机制。</w:t>
      </w:r>
    </w:p>
    <w:p w14:paraId="67CB8C78">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7.检测范围外的基因变异和/或药物间相互作用等非基因变异因素均可能影响药物效果等临床表型。</w:t>
      </w:r>
    </w:p>
    <w:p w14:paraId="628F25B2">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8.变异检出的敏感性受到送检样本中恶性肿瘤细胞比例的影响。</w:t>
      </w:r>
    </w:p>
    <w:p w14:paraId="1CC0819A">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9.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59AD3622">
      <w:pPr>
        <w:rPr>
          <w:rFonts w:hint="eastAsia"/>
          <w:color w:val="auto"/>
          <w:sz w:val="30"/>
          <w:lang w:eastAsia="zh-CN"/>
        </w:rPr>
      </w:pPr>
      <w:r>
        <w:rPr>
          <w:rFonts w:hint="eastAsia"/>
          <w:color w:val="auto"/>
          <w:sz w:val="30"/>
          <w:lang w:eastAsia="zh-CN"/>
        </w:rPr>
        <w:br w:type="page"/>
      </w:r>
    </w:p>
    <w:p w14:paraId="0E8E4149">
      <w:pPr>
        <w:pStyle w:val="3"/>
        <w:numPr>
          <w:ilvl w:val="255"/>
          <w:numId w:val="0"/>
        </w:numPr>
        <w:jc w:val="left"/>
        <w:rPr>
          <w:color w:val="auto"/>
          <w:sz w:val="30"/>
          <w:lang w:eastAsia="zh-CN"/>
        </w:rPr>
      </w:pPr>
      <w:bookmarkStart w:id="118" w:name="_Toc6993"/>
      <w:r>
        <w:rPr>
          <w:rFonts w:hint="eastAsia"/>
          <w:color w:val="auto"/>
          <w:sz w:val="30"/>
          <w:lang w:eastAsia="zh-CN"/>
        </w:rPr>
        <w:t>参考文献</w:t>
      </w:r>
      <w:bookmarkEnd w:id="109"/>
      <w:bookmarkEnd w:id="110"/>
      <w:bookmarkEnd w:id="111"/>
      <w:bookmarkEnd w:id="118"/>
    </w:p>
    <w:bookmarkEnd w:id="112"/>
    <w:bookmarkEnd w:id="113"/>
    <w:bookmarkEnd w:id="114"/>
    <w:bookmarkEnd w:id="115"/>
    <w:bookmarkEnd w:id="116"/>
    <w:bookmarkEnd w:id="117"/>
    <w:p w14:paraId="4EA80E54">
      <w:pPr>
        <w:pStyle w:val="32"/>
        <w:keepNext w:val="0"/>
        <w:keepLines w:val="0"/>
        <w:pageBreakBefore w:val="0"/>
        <w:widowControl/>
        <w:kinsoku/>
        <w:wordWrap/>
        <w:overflowPunct/>
        <w:topLinePunct w:val="0"/>
        <w:autoSpaceDE/>
        <w:autoSpaceDN/>
        <w:bidi w:val="0"/>
        <w:adjustRightInd w:val="0"/>
        <w:snapToGrid w:val="0"/>
        <w:spacing w:after="95" w:afterLines="30" w:line="216" w:lineRule="auto"/>
        <w:ind w:firstLine="0" w:firstLineChars="0"/>
        <w:jc w:val="both"/>
        <w:textAlignment w:val="auto"/>
        <w:rPr>
          <w:rFonts w:hint="default" w:ascii="Times New Roman" w:hAnsi="Times New Roman" w:eastAsia="微软雅黑"/>
          <w:sz w:val="15"/>
          <w:szCs w:val="15"/>
        </w:rPr>
      </w:pPr>
    </w:p>
    <w:p w14:paraId="39DAE956">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1EAD7685">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18D8889C">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34D32BA9">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613DD425">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4D71BA3C">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73514652">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21DB2103">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18322F43">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14:paraId="56364C8B">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14:paraId="679D22DB">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14:paraId="2252F1FD">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14:paraId="15749DC3">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14:paraId="1D3312A7">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14:paraId="232F281D">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14:paraId="3B67E9BC">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14:paraId="78EF7283">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14:paraId="0DA3D5AB">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14:paraId="5A690EF9">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14:paraId="4B5FFD84">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14:paraId="74E3F1A9">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14:paraId="2CF376A4">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14:paraId="06DFB49A">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14:paraId="78CC8A31">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14:paraId="323E9FF6">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14:paraId="4BEA3D2D">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14:paraId="4690AE64">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14:paraId="628B4DA0">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14:paraId="5240FF96">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3.2020, NCCN Clinical Practice Guidelines in Oncology. J Natl Compr Canc Netw, 2020. 18(4): 452-478. [PMID: 32259783]</w:t>
      </w:r>
    </w:p>
    <w:p w14:paraId="37AF5FA4">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14:paraId="0352F0E0">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p w14:paraId="18128C82">
      <w:pPr>
        <w:keepNext w:val="0"/>
        <w:keepLines w:val="0"/>
        <w:pageBreakBefore w:val="0"/>
        <w:widowControl/>
        <w:kinsoku/>
        <w:wordWrap/>
        <w:overflowPunct/>
        <w:topLinePunct w:val="0"/>
        <w:autoSpaceDE/>
        <w:autoSpaceDN/>
        <w:bidi w:val="0"/>
        <w:snapToGrid w:val="0"/>
        <w:spacing w:after="95" w:afterLines="30" w:line="216" w:lineRule="auto"/>
        <w:jc w:val="both"/>
        <w:textAlignment w:val="auto"/>
        <w:rPr>
          <w:rFonts w:ascii="Times New Roman" w:hAnsi="Times New Roman" w:cs="Times New Roman"/>
          <w:sz w:val="15"/>
          <w:szCs w:val="15"/>
          <w:lang w:eastAsia="zh-CN"/>
        </w:rPr>
      </w:pPr>
    </w:p>
    <w:p w14:paraId="0F478D78">
      <w:pPr>
        <w:ind w:left="621" w:leftChars="155" w:hanging="280" w:hangingChars="100"/>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-34290</wp:posOffset>
            </wp:positionH>
            <wp:positionV relativeFrom="paragraph">
              <wp:posOffset>66040</wp:posOffset>
            </wp:positionV>
            <wp:extent cx="196215" cy="197485"/>
            <wp:effectExtent l="0" t="0" r="1905" b="635"/>
            <wp:wrapNone/>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1FB4DDB">
      <w:pPr>
        <w:widowControl/>
        <w:numPr>
          <w:ilvl w:val="0"/>
          <w:numId w:val="10"/>
        </w:numPr>
        <w:spacing w:after="160" w:line="259" w:lineRule="auto"/>
        <w:ind w:left="425"/>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2DC2AEB6">
      <w:pPr>
        <w:widowControl/>
        <w:numPr>
          <w:ilvl w:val="0"/>
          <w:numId w:val="10"/>
        </w:numPr>
        <w:spacing w:after="160" w:line="259" w:lineRule="auto"/>
        <w:ind w:left="425"/>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4D717ED3">
      <w:pPr>
        <w:widowControl/>
        <w:numPr>
          <w:ilvl w:val="0"/>
          <w:numId w:val="10"/>
        </w:numPr>
        <w:spacing w:after="160" w:line="259" w:lineRule="auto"/>
        <w:ind w:left="425"/>
        <w:rPr>
          <w:rFonts w:eastAsia="微软雅黑"/>
          <w:b/>
          <w:bCs/>
          <w:lang w:eastAsia="zh-CN"/>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bl>
      <w:tblPr>
        <w:tblStyle w:val="14"/>
        <w:tblW w:w="10296" w:type="dxa"/>
        <w:tblInd w:w="108" w:type="dxa"/>
        <w:tblBorders>
          <w:top w:val="single" w:color="auto"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6327"/>
      </w:tblGrid>
      <w:tr w14:paraId="620C6FE5">
        <w:tblPrEx>
          <w:tblBorders>
            <w:top w:val="single" w:color="auto"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18E9D5DD">
            <w:pPr>
              <w:snapToGrid w:val="0"/>
              <w:spacing w:before="120" w:beforeLines="50"/>
              <w:rPr>
                <w:b/>
                <w:szCs w:val="21"/>
              </w:rPr>
            </w:pPr>
            <w:r>
              <w:rPr>
                <w:rFonts w:hint="eastAsia"/>
                <w:b/>
              </w:rPr>
              <w:t>样本处理与分析：</w:t>
            </w:r>
          </w:p>
        </w:tc>
        <w:tc>
          <w:tcPr>
            <w:tcW w:w="6327" w:type="dxa"/>
            <w:tcBorders>
              <w:top w:val="single" w:color="auto" w:sz="12" w:space="0"/>
            </w:tcBorders>
          </w:tcPr>
          <w:p w14:paraId="66F0E879">
            <w:pPr>
              <w:snapToGrid w:val="0"/>
              <w:spacing w:before="120" w:beforeLines="50"/>
              <w:rPr>
                <w:b/>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6568F99F">
      <w:pPr>
        <w:adjustRightInd w:val="0"/>
        <w:snapToGrid w:val="0"/>
        <w:spacing w:after="120" w:afterLines="50"/>
        <w:jc w:val="both"/>
        <w:rPr>
          <w:rFonts w:ascii="Times New Roman" w:hAnsi="Times New Roman" w:eastAsia="微软雅黑" w:cs="Times New Roman"/>
          <w:sz w:val="15"/>
          <w:szCs w:val="15"/>
          <w:lang w:eastAsia="zh-CN"/>
        </w:rPr>
      </w:pPr>
    </w:p>
    <w:sectPr>
      <w:headerReference r:id="rId5" w:type="default"/>
      <w:footerReference r:id="rId6" w:type="default"/>
      <w:pgSz w:w="11911" w:h="16838"/>
      <w:pgMar w:top="1037" w:right="1020" w:bottom="981" w:left="1020" w:header="567" w:footer="567" w:gutter="0"/>
      <w:pgNumType w:fmt="decimal"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B930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CC1CC">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1343025</wp:posOffset>
              </wp:positionH>
              <wp:positionV relativeFrom="paragraph">
                <wp:posOffset>0</wp:posOffset>
              </wp:positionV>
              <wp:extent cx="3549015" cy="414020"/>
              <wp:effectExtent l="0" t="0" r="0" b="0"/>
              <wp:wrapNone/>
              <wp:docPr id="6" name="文本框 6"/>
              <wp:cNvGraphicFramePr/>
              <a:graphic xmlns:a="http://schemas.openxmlformats.org/drawingml/2006/main">
                <a:graphicData uri="http://schemas.microsoft.com/office/word/2010/wordprocessingShape">
                  <wps:wsp>
                    <wps:cNvSpPr txBox="1"/>
                    <wps:spPr>
                      <a:xfrm>
                        <a:off x="0" y="0"/>
                        <a:ext cx="3549015" cy="414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8726CA">
                          <w:pPr>
                            <w:pStyle w:val="9"/>
                            <w:jc w:val="center"/>
                            <w:rPr>
                              <w:rFonts w:hint="default" w:ascii="Times New Roman" w:hAnsi="Times New Roman" w:cs="Times New Roman"/>
                              <w:b/>
                              <w:bCs/>
                              <w:sz w:val="20"/>
                              <w:szCs w:val="20"/>
                            </w:rPr>
                          </w:pPr>
                          <w:r>
                            <w:rPr>
                              <w:rFonts w:hint="default" w:ascii="Times New Roman" w:hAnsi="Times New Roman" w:cs="Times New Roman"/>
                              <w:b/>
                              <w:bCs/>
                              <w:sz w:val="20"/>
                              <w:szCs w:val="20"/>
                            </w:rPr>
                            <w:fldChar w:fldCharType="begin"/>
                          </w:r>
                          <w:r>
                            <w:rPr>
                              <w:rFonts w:hint="default" w:ascii="Times New Roman" w:hAnsi="Times New Roman" w:cs="Times New Roman"/>
                              <w:b/>
                              <w:bCs/>
                              <w:sz w:val="20"/>
                              <w:szCs w:val="20"/>
                            </w:rPr>
                            <w:instrText xml:space="preserve"> PAGE  \* MERGEFORMAT </w:instrText>
                          </w:r>
                          <w:r>
                            <w:rPr>
                              <w:rFonts w:hint="default" w:ascii="Times New Roman" w:hAnsi="Times New Roman" w:cs="Times New Roman"/>
                              <w:b/>
                              <w:bCs/>
                              <w:sz w:val="20"/>
                              <w:szCs w:val="20"/>
                            </w:rPr>
                            <w:fldChar w:fldCharType="separate"/>
                          </w:r>
                          <w:r>
                            <w:rPr>
                              <w:rFonts w:hint="default" w:ascii="Times New Roman" w:hAnsi="Times New Roman" w:cs="Times New Roman"/>
                              <w:b/>
                              <w:bCs/>
                              <w:sz w:val="20"/>
                              <w:szCs w:val="20"/>
                            </w:rPr>
                            <w:t>1</w:t>
                          </w:r>
                          <w:r>
                            <w:rPr>
                              <w:rFonts w:hint="default" w:ascii="Times New Roman" w:hAnsi="Times New Roman" w:cs="Times New Roman"/>
                              <w:b/>
                              <w:bCs/>
                              <w:sz w:val="20"/>
                              <w:szCs w:val="20"/>
                            </w:rPr>
                            <w:fldChar w:fldCharType="end"/>
                          </w:r>
                          <w:r>
                            <w:rPr>
                              <w:rFonts w:hint="default"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05.75pt;margin-top:0pt;height:32.6pt;width:279.45pt;mso-position-horizontal-relative:margin;z-index:251659264;mso-width-relative:page;mso-height-relative:page;" filled="f" stroked="f" coordsize="21600,21600" o:gfxdata="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NvYEx1gAAAAcBAAAPAAAAAAAAAAEAIAAAACIAAABkcnMvZG93bnJl&#10;di54bWxQSwECFAAUAAAACACHTuJAQFSCnzgCAABiBAAADgAAAAAAAAABACAAAAAlAQAAZHJzL2Uy&#10;b0RvYy54bWxQSwUGAAAAAAYABgBZAQAAzwUAAAAA&#10;">
              <v:fill on="f" focussize="0,0"/>
              <v:stroke on="f" weight="0.5pt"/>
              <v:imagedata o:title=""/>
              <o:lock v:ext="edit" aspectratio="f"/>
              <v:textbox inset="0mm,0mm,0mm,0mm">
                <w:txbxContent>
                  <w:p w14:paraId="238726CA">
                    <w:pPr>
                      <w:pStyle w:val="9"/>
                      <w:jc w:val="center"/>
                      <w:rPr>
                        <w:rFonts w:hint="default" w:ascii="Times New Roman" w:hAnsi="Times New Roman" w:cs="Times New Roman"/>
                        <w:b/>
                        <w:bCs/>
                        <w:sz w:val="20"/>
                        <w:szCs w:val="20"/>
                      </w:rPr>
                    </w:pPr>
                    <w:r>
                      <w:rPr>
                        <w:rFonts w:hint="default" w:ascii="Times New Roman" w:hAnsi="Times New Roman" w:cs="Times New Roman"/>
                        <w:b/>
                        <w:bCs/>
                        <w:sz w:val="20"/>
                        <w:szCs w:val="20"/>
                      </w:rPr>
                      <w:fldChar w:fldCharType="begin"/>
                    </w:r>
                    <w:r>
                      <w:rPr>
                        <w:rFonts w:hint="default" w:ascii="Times New Roman" w:hAnsi="Times New Roman" w:cs="Times New Roman"/>
                        <w:b/>
                        <w:bCs/>
                        <w:sz w:val="20"/>
                        <w:szCs w:val="20"/>
                      </w:rPr>
                      <w:instrText xml:space="preserve"> PAGE  \* MERGEFORMAT </w:instrText>
                    </w:r>
                    <w:r>
                      <w:rPr>
                        <w:rFonts w:hint="default" w:ascii="Times New Roman" w:hAnsi="Times New Roman" w:cs="Times New Roman"/>
                        <w:b/>
                        <w:bCs/>
                        <w:sz w:val="20"/>
                        <w:szCs w:val="20"/>
                      </w:rPr>
                      <w:fldChar w:fldCharType="separate"/>
                    </w:r>
                    <w:r>
                      <w:rPr>
                        <w:rFonts w:hint="default" w:ascii="Times New Roman" w:hAnsi="Times New Roman" w:cs="Times New Roman"/>
                        <w:b/>
                        <w:bCs/>
                        <w:sz w:val="20"/>
                        <w:szCs w:val="20"/>
                      </w:rPr>
                      <w:t>1</w:t>
                    </w:r>
                    <w:r>
                      <w:rPr>
                        <w:rFonts w:hint="default" w:ascii="Times New Roman" w:hAnsi="Times New Roman" w:cs="Times New Roman"/>
                        <w:b/>
                        <w:bCs/>
                        <w:sz w:val="20"/>
                        <w:szCs w:val="20"/>
                      </w:rPr>
                      <w:fldChar w:fldCharType="end"/>
                    </w:r>
                    <w:r>
                      <w:rPr>
                        <w:rFonts w:hint="default"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687C0">
    <w:pPr>
      <w:pStyle w:val="10"/>
      <w:jc w:val="right"/>
      <w:rPr>
        <w:lang w:eastAsia="zh-CN"/>
      </w:rPr>
    </w:pPr>
    <w:r>
      <w:rPr>
        <w:rFonts w:hint="eastAsia" w:ascii="Times New Roman" w:hAnsi="Times New Roman" w:eastAsia="微软雅黑" w:cs="Times New Roman"/>
        <w:bCs/>
        <w:color w:val="62B541"/>
        <w:sz w:val="21"/>
        <w:szCs w:val="21"/>
        <w:lang w:eastAsia="zh-CN"/>
      </w:rPr>
      <w:t>{{ client }}</w:t>
    </w:r>
    <w:r>
      <w:rPr>
        <w:rFonts w:hint="eastAsia" w:ascii="Times New Roman" w:hAnsi="Times New Roman" w:eastAsia="微软雅黑" w:cs="Times New Roman"/>
        <w:bCs/>
        <w:color w:val="62B541"/>
        <w:sz w:val="21"/>
        <w:szCs w:val="21"/>
        <w:lang w:val="en-US" w:eastAsia="zh-CN"/>
      </w:rPr>
      <w:t xml:space="preserve"> {% if PDInfo == undefined %}肿瘤同源重组修复缺陷评分检测{% else %}肿瘤同源重组修复缺陷评分+PD-L1检测{%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BBB65">
    <w:pPr>
      <w:pStyle w:val="10"/>
      <w:jc w:val="right"/>
      <w:rPr>
        <w:lang w:eastAsia="zh-CN"/>
      </w:rPr>
    </w:pPr>
    <w:r>
      <w:rPr>
        <w:rFonts w:hint="eastAsia" w:ascii="Times New Roman" w:hAnsi="Times New Roman" w:eastAsia="微软雅黑" w:cs="Times New Roman"/>
        <w:bCs/>
        <w:color w:val="62B541"/>
        <w:sz w:val="21"/>
        <w:szCs w:val="21"/>
        <w:lang w:eastAsia="zh-CN"/>
      </w:rPr>
      <w:t>{{ client }}</w:t>
    </w:r>
    <w:r>
      <w:rPr>
        <w:rFonts w:hint="eastAsia" w:ascii="Times New Roman" w:hAnsi="Times New Roman" w:eastAsia="微软雅黑" w:cs="Times New Roman"/>
        <w:bCs/>
        <w:color w:val="62B541"/>
        <w:sz w:val="21"/>
        <w:szCs w:val="21"/>
        <w:lang w:val="en-US" w:eastAsia="zh-CN"/>
      </w:rPr>
      <w:t xml:space="preserve"> {% if PDInfo == undefined %}肿瘤同源重组修复缺陷评分检测{% else %}肿瘤同源重组修复缺陷评分+PD-L1检测{%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8">
    <w:nsid w:val="6BAC6FD5"/>
    <w:multiLevelType w:val="singleLevel"/>
    <w:tmpl w:val="6BAC6FD5"/>
    <w:lvl w:ilvl="0" w:tentative="0">
      <w:start w:val="1"/>
      <w:numFmt w:val="decimal"/>
      <w:suff w:val="space"/>
      <w:lvlText w:val="(%1)"/>
      <w:lvlJc w:val="left"/>
    </w:lvl>
  </w:abstractNum>
  <w:abstractNum w:abstractNumId="9">
    <w:nsid w:val="7ED03DCE"/>
    <w:multiLevelType w:val="multilevel"/>
    <w:tmpl w:val="7ED03DCE"/>
    <w:lvl w:ilvl="0" w:tentative="0">
      <w:start w:val="1"/>
      <w:numFmt w:val="bullet"/>
      <w:lvlText w:val="?"/>
      <w:lvlJc w:val="left"/>
      <w:pPr>
        <w:tabs>
          <w:tab w:val="left" w:pos="0"/>
        </w:tabs>
        <w:ind w:left="840" w:hanging="420"/>
      </w:pPr>
      <w:rPr>
        <w:rFonts w:hint="default" w:ascii="Wingdings" w:hAnsi="Wingdings"/>
        <w:color w:val="00B050"/>
      </w:rPr>
    </w:lvl>
    <w:lvl w:ilvl="1" w:tentative="0">
      <w:start w:val="1"/>
      <w:numFmt w:val="bullet"/>
      <w:lvlText w:val="?"/>
      <w:lvlJc w:val="left"/>
      <w:pPr>
        <w:tabs>
          <w:tab w:val="left" w:pos="0"/>
        </w:tabs>
        <w:ind w:left="1260" w:hanging="420"/>
      </w:pPr>
      <w:rPr>
        <w:rFonts w:hint="default" w:ascii="Bookshelf Symbol 7" w:hAnsi="Bookshelf Symbol 7"/>
      </w:rPr>
    </w:lvl>
    <w:lvl w:ilvl="2" w:tentative="0">
      <w:start w:val="1"/>
      <w:numFmt w:val="bullet"/>
      <w:lvlText w:val="?"/>
      <w:lvlJc w:val="left"/>
      <w:pPr>
        <w:tabs>
          <w:tab w:val="left" w:pos="0"/>
        </w:tabs>
        <w:ind w:left="1680" w:hanging="420"/>
      </w:pPr>
      <w:rPr>
        <w:rFonts w:hint="default" w:ascii="Bookshelf Symbol 7" w:hAnsi="Bookshelf Symbol 7"/>
      </w:rPr>
    </w:lvl>
    <w:lvl w:ilvl="3" w:tentative="0">
      <w:start w:val="1"/>
      <w:numFmt w:val="bullet"/>
      <w:lvlText w:val="?"/>
      <w:lvlJc w:val="left"/>
      <w:pPr>
        <w:tabs>
          <w:tab w:val="left" w:pos="0"/>
        </w:tabs>
        <w:ind w:left="2100" w:hanging="420"/>
      </w:pPr>
      <w:rPr>
        <w:rFonts w:hint="default" w:ascii="Bookshelf Symbol 7" w:hAnsi="Bookshelf Symbol 7"/>
      </w:rPr>
    </w:lvl>
    <w:lvl w:ilvl="4" w:tentative="0">
      <w:start w:val="1"/>
      <w:numFmt w:val="bullet"/>
      <w:lvlText w:val="?"/>
      <w:lvlJc w:val="left"/>
      <w:pPr>
        <w:tabs>
          <w:tab w:val="left" w:pos="0"/>
        </w:tabs>
        <w:ind w:left="2520" w:hanging="420"/>
      </w:pPr>
      <w:rPr>
        <w:rFonts w:hint="default" w:ascii="Bookshelf Symbol 7" w:hAnsi="Bookshelf Symbol 7"/>
      </w:rPr>
    </w:lvl>
    <w:lvl w:ilvl="5" w:tentative="0">
      <w:start w:val="1"/>
      <w:numFmt w:val="bullet"/>
      <w:lvlText w:val="?"/>
      <w:lvlJc w:val="left"/>
      <w:pPr>
        <w:tabs>
          <w:tab w:val="left" w:pos="0"/>
        </w:tabs>
        <w:ind w:left="2940" w:hanging="420"/>
      </w:pPr>
      <w:rPr>
        <w:rFonts w:hint="default" w:ascii="Bookshelf Symbol 7" w:hAnsi="Bookshelf Symbol 7"/>
      </w:rPr>
    </w:lvl>
    <w:lvl w:ilvl="6" w:tentative="0">
      <w:start w:val="1"/>
      <w:numFmt w:val="bullet"/>
      <w:lvlText w:val="?"/>
      <w:lvlJc w:val="left"/>
      <w:pPr>
        <w:tabs>
          <w:tab w:val="left" w:pos="0"/>
        </w:tabs>
        <w:ind w:left="3360" w:hanging="420"/>
      </w:pPr>
      <w:rPr>
        <w:rFonts w:hint="default" w:ascii="Bookshelf Symbol 7" w:hAnsi="Bookshelf Symbol 7"/>
      </w:rPr>
    </w:lvl>
    <w:lvl w:ilvl="7" w:tentative="0">
      <w:start w:val="1"/>
      <w:numFmt w:val="bullet"/>
      <w:lvlText w:val="?"/>
      <w:lvlJc w:val="left"/>
      <w:pPr>
        <w:tabs>
          <w:tab w:val="left" w:pos="0"/>
        </w:tabs>
        <w:ind w:left="3780" w:hanging="420"/>
      </w:pPr>
      <w:rPr>
        <w:rFonts w:hint="default" w:ascii="Bookshelf Symbol 7" w:hAnsi="Bookshelf Symbol 7"/>
      </w:rPr>
    </w:lvl>
    <w:lvl w:ilvl="8" w:tentative="0">
      <w:start w:val="1"/>
      <w:numFmt w:val="bullet"/>
      <w:lvlText w:val="?"/>
      <w:lvlJc w:val="left"/>
      <w:pPr>
        <w:tabs>
          <w:tab w:val="left" w:pos="0"/>
        </w:tabs>
        <w:ind w:left="4200" w:hanging="420"/>
      </w:pPr>
      <w:rPr>
        <w:rFonts w:hint="default" w:ascii="Bookshelf Symbol 7" w:hAnsi="Bookshelf Symbol 7"/>
      </w:rPr>
    </w:lvl>
  </w:abstractNum>
  <w:num w:numId="1">
    <w:abstractNumId w:val="4"/>
  </w:num>
  <w:num w:numId="2">
    <w:abstractNumId w:val="7"/>
  </w:num>
  <w:num w:numId="3">
    <w:abstractNumId w:val="6"/>
  </w:num>
  <w:num w:numId="4">
    <w:abstractNumId w:val="2"/>
  </w:num>
  <w:num w:numId="5">
    <w:abstractNumId w:val="3"/>
  </w:num>
  <w:num w:numId="6">
    <w:abstractNumId w:val="1"/>
  </w:num>
  <w:num w:numId="7">
    <w:abstractNumId w:val="0"/>
  </w:num>
  <w:num w:numId="8">
    <w:abstractNumId w:val="5"/>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2F7077"/>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B024B"/>
    <w:rsid w:val="006D0EFE"/>
    <w:rsid w:val="006F49BB"/>
    <w:rsid w:val="007139FD"/>
    <w:rsid w:val="00723F9A"/>
    <w:rsid w:val="00737E1E"/>
    <w:rsid w:val="007442EF"/>
    <w:rsid w:val="007600EB"/>
    <w:rsid w:val="00760FDE"/>
    <w:rsid w:val="007658F0"/>
    <w:rsid w:val="00772573"/>
    <w:rsid w:val="007834F9"/>
    <w:rsid w:val="00797E76"/>
    <w:rsid w:val="007E782E"/>
    <w:rsid w:val="007F0C3F"/>
    <w:rsid w:val="007F160A"/>
    <w:rsid w:val="008010E0"/>
    <w:rsid w:val="00812090"/>
    <w:rsid w:val="008357FF"/>
    <w:rsid w:val="00853A18"/>
    <w:rsid w:val="008550D1"/>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433C7"/>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E76506"/>
    <w:rsid w:val="00F16E7E"/>
    <w:rsid w:val="00F23A93"/>
    <w:rsid w:val="00F25C1E"/>
    <w:rsid w:val="00F3295E"/>
    <w:rsid w:val="00F8668E"/>
    <w:rsid w:val="00FA4DD8"/>
    <w:rsid w:val="00FA7354"/>
    <w:rsid w:val="00FD0E69"/>
    <w:rsid w:val="00FF7146"/>
    <w:rsid w:val="00FF7BB1"/>
    <w:rsid w:val="011A030A"/>
    <w:rsid w:val="011A0D8B"/>
    <w:rsid w:val="0171268E"/>
    <w:rsid w:val="017D31AE"/>
    <w:rsid w:val="01A0337A"/>
    <w:rsid w:val="01EA636A"/>
    <w:rsid w:val="02660BEC"/>
    <w:rsid w:val="02B44A06"/>
    <w:rsid w:val="02CA5230"/>
    <w:rsid w:val="031B6FF1"/>
    <w:rsid w:val="0345216A"/>
    <w:rsid w:val="03725928"/>
    <w:rsid w:val="038726D8"/>
    <w:rsid w:val="03E8568B"/>
    <w:rsid w:val="03E921F1"/>
    <w:rsid w:val="03F27AF6"/>
    <w:rsid w:val="04791D69"/>
    <w:rsid w:val="04871837"/>
    <w:rsid w:val="04A167FA"/>
    <w:rsid w:val="04C17114"/>
    <w:rsid w:val="051F43D2"/>
    <w:rsid w:val="05815BFE"/>
    <w:rsid w:val="05887898"/>
    <w:rsid w:val="05980479"/>
    <w:rsid w:val="05D63B33"/>
    <w:rsid w:val="066833E1"/>
    <w:rsid w:val="06A61E8D"/>
    <w:rsid w:val="06E36A2C"/>
    <w:rsid w:val="06EB7F4D"/>
    <w:rsid w:val="074043CC"/>
    <w:rsid w:val="0797275A"/>
    <w:rsid w:val="07AB34E7"/>
    <w:rsid w:val="07D36A00"/>
    <w:rsid w:val="07DB59EB"/>
    <w:rsid w:val="081C64CF"/>
    <w:rsid w:val="083F50A2"/>
    <w:rsid w:val="08521695"/>
    <w:rsid w:val="088D7FF0"/>
    <w:rsid w:val="08C413EB"/>
    <w:rsid w:val="09271C52"/>
    <w:rsid w:val="0966277A"/>
    <w:rsid w:val="09705B33"/>
    <w:rsid w:val="097846E4"/>
    <w:rsid w:val="09A9662A"/>
    <w:rsid w:val="09AC1BC1"/>
    <w:rsid w:val="09AD2157"/>
    <w:rsid w:val="09BC6232"/>
    <w:rsid w:val="09BE4364"/>
    <w:rsid w:val="0A043ABA"/>
    <w:rsid w:val="0A4F2135"/>
    <w:rsid w:val="0A501F6C"/>
    <w:rsid w:val="0A757891"/>
    <w:rsid w:val="0ABE656E"/>
    <w:rsid w:val="0AC51722"/>
    <w:rsid w:val="0ADA7F11"/>
    <w:rsid w:val="0AEC09F3"/>
    <w:rsid w:val="0AF224C0"/>
    <w:rsid w:val="0B1353D3"/>
    <w:rsid w:val="0B3C2E84"/>
    <w:rsid w:val="0B9E14CB"/>
    <w:rsid w:val="0B9E4213"/>
    <w:rsid w:val="0C1768CC"/>
    <w:rsid w:val="0C2310C3"/>
    <w:rsid w:val="0C3A0C95"/>
    <w:rsid w:val="0C3E5385"/>
    <w:rsid w:val="0C96240B"/>
    <w:rsid w:val="0CC26BD0"/>
    <w:rsid w:val="0CFC3F9F"/>
    <w:rsid w:val="0D055CE8"/>
    <w:rsid w:val="0D9819F1"/>
    <w:rsid w:val="0DE0692F"/>
    <w:rsid w:val="0E11445D"/>
    <w:rsid w:val="0E1B7FD7"/>
    <w:rsid w:val="0E542351"/>
    <w:rsid w:val="0E6179B4"/>
    <w:rsid w:val="0E632099"/>
    <w:rsid w:val="0EBF2A43"/>
    <w:rsid w:val="0EC91129"/>
    <w:rsid w:val="0ED843CC"/>
    <w:rsid w:val="0EDA08E0"/>
    <w:rsid w:val="0F6B4C4E"/>
    <w:rsid w:val="0F890797"/>
    <w:rsid w:val="0F9067A2"/>
    <w:rsid w:val="0FB9297A"/>
    <w:rsid w:val="0FCC6C3F"/>
    <w:rsid w:val="0FD33020"/>
    <w:rsid w:val="0FE820CC"/>
    <w:rsid w:val="0FEF6595"/>
    <w:rsid w:val="10196798"/>
    <w:rsid w:val="103534AE"/>
    <w:rsid w:val="10393EFC"/>
    <w:rsid w:val="10A519AE"/>
    <w:rsid w:val="110D3F98"/>
    <w:rsid w:val="117B0EEB"/>
    <w:rsid w:val="11F27D13"/>
    <w:rsid w:val="121F3E0E"/>
    <w:rsid w:val="126971EB"/>
    <w:rsid w:val="127647B5"/>
    <w:rsid w:val="12850E64"/>
    <w:rsid w:val="12963DA1"/>
    <w:rsid w:val="12984F1A"/>
    <w:rsid w:val="12AC6FD4"/>
    <w:rsid w:val="12F372F0"/>
    <w:rsid w:val="12F804DE"/>
    <w:rsid w:val="132612E4"/>
    <w:rsid w:val="132C3BAD"/>
    <w:rsid w:val="135250D0"/>
    <w:rsid w:val="13897526"/>
    <w:rsid w:val="13AB527B"/>
    <w:rsid w:val="13C22D04"/>
    <w:rsid w:val="13EC27A3"/>
    <w:rsid w:val="14872247"/>
    <w:rsid w:val="148972D9"/>
    <w:rsid w:val="149B7751"/>
    <w:rsid w:val="14A4287F"/>
    <w:rsid w:val="14BD4790"/>
    <w:rsid w:val="14C82A00"/>
    <w:rsid w:val="14E50274"/>
    <w:rsid w:val="150E31A1"/>
    <w:rsid w:val="15196B67"/>
    <w:rsid w:val="15237799"/>
    <w:rsid w:val="1524470F"/>
    <w:rsid w:val="152E3223"/>
    <w:rsid w:val="153F7D0D"/>
    <w:rsid w:val="155B77B8"/>
    <w:rsid w:val="15D078F9"/>
    <w:rsid w:val="15D73C77"/>
    <w:rsid w:val="16077093"/>
    <w:rsid w:val="16133C89"/>
    <w:rsid w:val="165063E4"/>
    <w:rsid w:val="165C118C"/>
    <w:rsid w:val="16A76961"/>
    <w:rsid w:val="16BD5BE8"/>
    <w:rsid w:val="16D03ECB"/>
    <w:rsid w:val="16E67B0D"/>
    <w:rsid w:val="170D692B"/>
    <w:rsid w:val="173E7B55"/>
    <w:rsid w:val="17547636"/>
    <w:rsid w:val="179E5A16"/>
    <w:rsid w:val="17EE2E2F"/>
    <w:rsid w:val="17EF172D"/>
    <w:rsid w:val="184F5A03"/>
    <w:rsid w:val="18553367"/>
    <w:rsid w:val="188B1EE6"/>
    <w:rsid w:val="188E10A8"/>
    <w:rsid w:val="18DA45EA"/>
    <w:rsid w:val="19002AD9"/>
    <w:rsid w:val="190E72BC"/>
    <w:rsid w:val="19437087"/>
    <w:rsid w:val="198E1BE8"/>
    <w:rsid w:val="199369D8"/>
    <w:rsid w:val="19A13578"/>
    <w:rsid w:val="1A03103B"/>
    <w:rsid w:val="1A0D11C5"/>
    <w:rsid w:val="1A2024D1"/>
    <w:rsid w:val="1A240213"/>
    <w:rsid w:val="1A6C3717"/>
    <w:rsid w:val="1AC27555"/>
    <w:rsid w:val="1ADD6614"/>
    <w:rsid w:val="1AFB664C"/>
    <w:rsid w:val="1B1C0795"/>
    <w:rsid w:val="1B28649B"/>
    <w:rsid w:val="1BA36B7F"/>
    <w:rsid w:val="1BAD3908"/>
    <w:rsid w:val="1BAD3E87"/>
    <w:rsid w:val="1BD02996"/>
    <w:rsid w:val="1C7A05D0"/>
    <w:rsid w:val="1C896BF7"/>
    <w:rsid w:val="1C98707F"/>
    <w:rsid w:val="1CCD19AC"/>
    <w:rsid w:val="1CFB3D7D"/>
    <w:rsid w:val="1D0B7646"/>
    <w:rsid w:val="1D103BE7"/>
    <w:rsid w:val="1DFB572F"/>
    <w:rsid w:val="1E4E1501"/>
    <w:rsid w:val="1EAB0C6A"/>
    <w:rsid w:val="1EAE27A1"/>
    <w:rsid w:val="1EAF2912"/>
    <w:rsid w:val="1EEB2832"/>
    <w:rsid w:val="1F2B7CAE"/>
    <w:rsid w:val="1F4B1792"/>
    <w:rsid w:val="1FEC44A1"/>
    <w:rsid w:val="20160A2B"/>
    <w:rsid w:val="20205A20"/>
    <w:rsid w:val="20635A0A"/>
    <w:rsid w:val="20740297"/>
    <w:rsid w:val="20855B55"/>
    <w:rsid w:val="209432E5"/>
    <w:rsid w:val="20C205EB"/>
    <w:rsid w:val="20D06A98"/>
    <w:rsid w:val="20E701EC"/>
    <w:rsid w:val="21237EB6"/>
    <w:rsid w:val="213D29A6"/>
    <w:rsid w:val="21570ECE"/>
    <w:rsid w:val="216F18A9"/>
    <w:rsid w:val="217D7D01"/>
    <w:rsid w:val="21D55A39"/>
    <w:rsid w:val="22180203"/>
    <w:rsid w:val="221F162F"/>
    <w:rsid w:val="228F28EA"/>
    <w:rsid w:val="22DC4D30"/>
    <w:rsid w:val="22F90B63"/>
    <w:rsid w:val="2322058C"/>
    <w:rsid w:val="235C2C2A"/>
    <w:rsid w:val="236B6C21"/>
    <w:rsid w:val="23DC4798"/>
    <w:rsid w:val="23FF1819"/>
    <w:rsid w:val="240A1E65"/>
    <w:rsid w:val="24B422CE"/>
    <w:rsid w:val="24D35DD8"/>
    <w:rsid w:val="25037400"/>
    <w:rsid w:val="253036C5"/>
    <w:rsid w:val="256C4478"/>
    <w:rsid w:val="25726076"/>
    <w:rsid w:val="25740C31"/>
    <w:rsid w:val="25861D82"/>
    <w:rsid w:val="258869DA"/>
    <w:rsid w:val="25964A94"/>
    <w:rsid w:val="260C7C1F"/>
    <w:rsid w:val="26137398"/>
    <w:rsid w:val="268C673B"/>
    <w:rsid w:val="26914E82"/>
    <w:rsid w:val="26976104"/>
    <w:rsid w:val="271A3FF4"/>
    <w:rsid w:val="271C165B"/>
    <w:rsid w:val="27870460"/>
    <w:rsid w:val="27C75E30"/>
    <w:rsid w:val="27E3036D"/>
    <w:rsid w:val="28135739"/>
    <w:rsid w:val="281C757A"/>
    <w:rsid w:val="284978CD"/>
    <w:rsid w:val="28B74238"/>
    <w:rsid w:val="28B83CA7"/>
    <w:rsid w:val="28CF73DA"/>
    <w:rsid w:val="28E502F9"/>
    <w:rsid w:val="29363F06"/>
    <w:rsid w:val="296F5B95"/>
    <w:rsid w:val="29DE0525"/>
    <w:rsid w:val="29E07489"/>
    <w:rsid w:val="29EF70C8"/>
    <w:rsid w:val="2A221D03"/>
    <w:rsid w:val="2A3716AB"/>
    <w:rsid w:val="2A5C419A"/>
    <w:rsid w:val="2A8D72E7"/>
    <w:rsid w:val="2ADE2A02"/>
    <w:rsid w:val="2B243DEB"/>
    <w:rsid w:val="2B302D87"/>
    <w:rsid w:val="2B485DBB"/>
    <w:rsid w:val="2B692B05"/>
    <w:rsid w:val="2B8C0A94"/>
    <w:rsid w:val="2B8C3E6A"/>
    <w:rsid w:val="2B996587"/>
    <w:rsid w:val="2BDC0E00"/>
    <w:rsid w:val="2BDE1876"/>
    <w:rsid w:val="2BF64087"/>
    <w:rsid w:val="2C165FD1"/>
    <w:rsid w:val="2C427C83"/>
    <w:rsid w:val="2C8A67AE"/>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7554CE"/>
    <w:rsid w:val="304862D7"/>
    <w:rsid w:val="30C51137"/>
    <w:rsid w:val="30CB109B"/>
    <w:rsid w:val="30DA24F1"/>
    <w:rsid w:val="310959FE"/>
    <w:rsid w:val="3109732A"/>
    <w:rsid w:val="312E53DA"/>
    <w:rsid w:val="314C232E"/>
    <w:rsid w:val="315E5833"/>
    <w:rsid w:val="316513E5"/>
    <w:rsid w:val="316C3277"/>
    <w:rsid w:val="31796C3F"/>
    <w:rsid w:val="319764DC"/>
    <w:rsid w:val="32080EDC"/>
    <w:rsid w:val="32731470"/>
    <w:rsid w:val="32AB7EAB"/>
    <w:rsid w:val="32B71D27"/>
    <w:rsid w:val="32DE07F1"/>
    <w:rsid w:val="32F7059A"/>
    <w:rsid w:val="331534C4"/>
    <w:rsid w:val="33187C85"/>
    <w:rsid w:val="331D36BE"/>
    <w:rsid w:val="33323300"/>
    <w:rsid w:val="338527AA"/>
    <w:rsid w:val="33AE0711"/>
    <w:rsid w:val="343B507D"/>
    <w:rsid w:val="343F3919"/>
    <w:rsid w:val="34476E90"/>
    <w:rsid w:val="34777EA9"/>
    <w:rsid w:val="348573AD"/>
    <w:rsid w:val="34AC4555"/>
    <w:rsid w:val="34F36D08"/>
    <w:rsid w:val="357E5409"/>
    <w:rsid w:val="35945D5F"/>
    <w:rsid w:val="35B3556B"/>
    <w:rsid w:val="35F5325E"/>
    <w:rsid w:val="360630CA"/>
    <w:rsid w:val="360A76FC"/>
    <w:rsid w:val="361231BE"/>
    <w:rsid w:val="366A08A1"/>
    <w:rsid w:val="369736C3"/>
    <w:rsid w:val="36EF163D"/>
    <w:rsid w:val="371E73E3"/>
    <w:rsid w:val="37334B21"/>
    <w:rsid w:val="374970B3"/>
    <w:rsid w:val="37E81DE8"/>
    <w:rsid w:val="3848012E"/>
    <w:rsid w:val="38A11AEB"/>
    <w:rsid w:val="38F86950"/>
    <w:rsid w:val="390163DD"/>
    <w:rsid w:val="39117F66"/>
    <w:rsid w:val="39525C52"/>
    <w:rsid w:val="3956425B"/>
    <w:rsid w:val="396D50DB"/>
    <w:rsid w:val="398453EA"/>
    <w:rsid w:val="39A64D30"/>
    <w:rsid w:val="39BB523D"/>
    <w:rsid w:val="39C6291A"/>
    <w:rsid w:val="3A0C3554"/>
    <w:rsid w:val="3A202424"/>
    <w:rsid w:val="3A804354"/>
    <w:rsid w:val="3ACE068F"/>
    <w:rsid w:val="3ADA55AC"/>
    <w:rsid w:val="3AF12A22"/>
    <w:rsid w:val="3AF460F5"/>
    <w:rsid w:val="3B721C7C"/>
    <w:rsid w:val="3BEA5380"/>
    <w:rsid w:val="3C3B33C8"/>
    <w:rsid w:val="3C3F24CA"/>
    <w:rsid w:val="3C5D7D9D"/>
    <w:rsid w:val="3C844E9B"/>
    <w:rsid w:val="3CA93488"/>
    <w:rsid w:val="3CF11D7F"/>
    <w:rsid w:val="3D1C54C3"/>
    <w:rsid w:val="3D23046C"/>
    <w:rsid w:val="3D6C60E9"/>
    <w:rsid w:val="3D855C98"/>
    <w:rsid w:val="3DC72F9A"/>
    <w:rsid w:val="3E332BBB"/>
    <w:rsid w:val="3EA86ADD"/>
    <w:rsid w:val="3EC949BD"/>
    <w:rsid w:val="3EEC20B5"/>
    <w:rsid w:val="3F1D1FAD"/>
    <w:rsid w:val="3F453F96"/>
    <w:rsid w:val="3F547FD3"/>
    <w:rsid w:val="3F586445"/>
    <w:rsid w:val="3F7F04C5"/>
    <w:rsid w:val="3FC96FE3"/>
    <w:rsid w:val="3FCB42E0"/>
    <w:rsid w:val="3FCD0245"/>
    <w:rsid w:val="3FEB618B"/>
    <w:rsid w:val="3FF2193A"/>
    <w:rsid w:val="405979F4"/>
    <w:rsid w:val="405E0973"/>
    <w:rsid w:val="40667949"/>
    <w:rsid w:val="407A48B6"/>
    <w:rsid w:val="408706D4"/>
    <w:rsid w:val="40895D14"/>
    <w:rsid w:val="40BA2B58"/>
    <w:rsid w:val="40F91152"/>
    <w:rsid w:val="412169AB"/>
    <w:rsid w:val="4123696B"/>
    <w:rsid w:val="414D51AD"/>
    <w:rsid w:val="41544514"/>
    <w:rsid w:val="41670862"/>
    <w:rsid w:val="41946F8B"/>
    <w:rsid w:val="41C73588"/>
    <w:rsid w:val="41EC43CC"/>
    <w:rsid w:val="41FA16D6"/>
    <w:rsid w:val="41FB3136"/>
    <w:rsid w:val="41FF695D"/>
    <w:rsid w:val="42350DEA"/>
    <w:rsid w:val="42486C3B"/>
    <w:rsid w:val="42657ECE"/>
    <w:rsid w:val="42772D26"/>
    <w:rsid w:val="42967F6B"/>
    <w:rsid w:val="42D665BD"/>
    <w:rsid w:val="43316E66"/>
    <w:rsid w:val="43821027"/>
    <w:rsid w:val="439B2A45"/>
    <w:rsid w:val="43A57C1B"/>
    <w:rsid w:val="43C260FF"/>
    <w:rsid w:val="43D917BF"/>
    <w:rsid w:val="43F80311"/>
    <w:rsid w:val="44165A49"/>
    <w:rsid w:val="44190360"/>
    <w:rsid w:val="4489635E"/>
    <w:rsid w:val="44A973E3"/>
    <w:rsid w:val="44E01002"/>
    <w:rsid w:val="452112A4"/>
    <w:rsid w:val="454A2BAB"/>
    <w:rsid w:val="459308E1"/>
    <w:rsid w:val="45A93012"/>
    <w:rsid w:val="45D4644E"/>
    <w:rsid w:val="45DB483E"/>
    <w:rsid w:val="46647CCF"/>
    <w:rsid w:val="469F40CF"/>
    <w:rsid w:val="46B72EB2"/>
    <w:rsid w:val="46F92781"/>
    <w:rsid w:val="47523EC7"/>
    <w:rsid w:val="481C2D4F"/>
    <w:rsid w:val="48F33103"/>
    <w:rsid w:val="49373210"/>
    <w:rsid w:val="499E6F1D"/>
    <w:rsid w:val="49C56F37"/>
    <w:rsid w:val="49E2373B"/>
    <w:rsid w:val="4A1A1AFC"/>
    <w:rsid w:val="4A1A6A4D"/>
    <w:rsid w:val="4A1C7F69"/>
    <w:rsid w:val="4A3D2296"/>
    <w:rsid w:val="4A48274E"/>
    <w:rsid w:val="4A4A7BE5"/>
    <w:rsid w:val="4A693618"/>
    <w:rsid w:val="4A83553B"/>
    <w:rsid w:val="4AFF7D5D"/>
    <w:rsid w:val="4B040BB3"/>
    <w:rsid w:val="4B315A79"/>
    <w:rsid w:val="4BC14EAA"/>
    <w:rsid w:val="4C050246"/>
    <w:rsid w:val="4C0664BF"/>
    <w:rsid w:val="4C0F2222"/>
    <w:rsid w:val="4C0F23A4"/>
    <w:rsid w:val="4C120763"/>
    <w:rsid w:val="4C150E22"/>
    <w:rsid w:val="4C4C20D1"/>
    <w:rsid w:val="4C6263AC"/>
    <w:rsid w:val="4CC53F3F"/>
    <w:rsid w:val="4D265BFE"/>
    <w:rsid w:val="4D540EB8"/>
    <w:rsid w:val="4D6A309D"/>
    <w:rsid w:val="4D9E31C3"/>
    <w:rsid w:val="4DB6655A"/>
    <w:rsid w:val="4DC108F4"/>
    <w:rsid w:val="4E0176F5"/>
    <w:rsid w:val="4E0C0474"/>
    <w:rsid w:val="4E3B72FE"/>
    <w:rsid w:val="4E41374F"/>
    <w:rsid w:val="4E414BB2"/>
    <w:rsid w:val="4E482BE2"/>
    <w:rsid w:val="4E7E4296"/>
    <w:rsid w:val="4EBE1CDD"/>
    <w:rsid w:val="4ED24E8A"/>
    <w:rsid w:val="4ED75229"/>
    <w:rsid w:val="4F0D5F85"/>
    <w:rsid w:val="4F206F52"/>
    <w:rsid w:val="4F2C4F1E"/>
    <w:rsid w:val="4F3351A1"/>
    <w:rsid w:val="4F4B4EC8"/>
    <w:rsid w:val="4F4C02F9"/>
    <w:rsid w:val="4F546E7B"/>
    <w:rsid w:val="4F5624CB"/>
    <w:rsid w:val="4FB467F9"/>
    <w:rsid w:val="4FD02F65"/>
    <w:rsid w:val="50153EC5"/>
    <w:rsid w:val="505521CD"/>
    <w:rsid w:val="51057F0B"/>
    <w:rsid w:val="510D07DF"/>
    <w:rsid w:val="510E4B7D"/>
    <w:rsid w:val="519B28E7"/>
    <w:rsid w:val="51A84DBE"/>
    <w:rsid w:val="51EA52E6"/>
    <w:rsid w:val="52832C8D"/>
    <w:rsid w:val="52DB3A4A"/>
    <w:rsid w:val="52E57CC3"/>
    <w:rsid w:val="5312550A"/>
    <w:rsid w:val="53407165"/>
    <w:rsid w:val="5394125E"/>
    <w:rsid w:val="53DE69BF"/>
    <w:rsid w:val="53F7012F"/>
    <w:rsid w:val="53FD1C59"/>
    <w:rsid w:val="541E45C6"/>
    <w:rsid w:val="542859A4"/>
    <w:rsid w:val="54814F3D"/>
    <w:rsid w:val="54D723E8"/>
    <w:rsid w:val="550721D5"/>
    <w:rsid w:val="554B10D3"/>
    <w:rsid w:val="55644F29"/>
    <w:rsid w:val="557347D9"/>
    <w:rsid w:val="558D4CD1"/>
    <w:rsid w:val="55A31786"/>
    <w:rsid w:val="55A47060"/>
    <w:rsid w:val="55AC636A"/>
    <w:rsid w:val="55C15CC7"/>
    <w:rsid w:val="56084A61"/>
    <w:rsid w:val="563648E8"/>
    <w:rsid w:val="56A650A5"/>
    <w:rsid w:val="56B967C0"/>
    <w:rsid w:val="56BE67A9"/>
    <w:rsid w:val="56C365FF"/>
    <w:rsid w:val="56EE7782"/>
    <w:rsid w:val="57550496"/>
    <w:rsid w:val="576B0D91"/>
    <w:rsid w:val="577A66B0"/>
    <w:rsid w:val="57830686"/>
    <w:rsid w:val="57C96345"/>
    <w:rsid w:val="57D17697"/>
    <w:rsid w:val="57D92384"/>
    <w:rsid w:val="57E04F41"/>
    <w:rsid w:val="58020827"/>
    <w:rsid w:val="581808D2"/>
    <w:rsid w:val="588E3A11"/>
    <w:rsid w:val="58941028"/>
    <w:rsid w:val="589D6F3F"/>
    <w:rsid w:val="58A44110"/>
    <w:rsid w:val="58DE21CC"/>
    <w:rsid w:val="5927169E"/>
    <w:rsid w:val="5A782B46"/>
    <w:rsid w:val="5AFE1294"/>
    <w:rsid w:val="5B0C6F99"/>
    <w:rsid w:val="5B2616E5"/>
    <w:rsid w:val="5B3A4C3E"/>
    <w:rsid w:val="5B884B96"/>
    <w:rsid w:val="5BE36FFD"/>
    <w:rsid w:val="5BF93517"/>
    <w:rsid w:val="5C5F52A8"/>
    <w:rsid w:val="5C7E485A"/>
    <w:rsid w:val="5CB364D3"/>
    <w:rsid w:val="5D090FC9"/>
    <w:rsid w:val="5D7217AC"/>
    <w:rsid w:val="5D9E6F62"/>
    <w:rsid w:val="5DAD34DD"/>
    <w:rsid w:val="5E0B0A29"/>
    <w:rsid w:val="5E31427A"/>
    <w:rsid w:val="5E6957C1"/>
    <w:rsid w:val="5F5D6E5A"/>
    <w:rsid w:val="5FA2526B"/>
    <w:rsid w:val="5FA40847"/>
    <w:rsid w:val="5FAA3C47"/>
    <w:rsid w:val="5FCB432F"/>
    <w:rsid w:val="5FF61953"/>
    <w:rsid w:val="600E54F4"/>
    <w:rsid w:val="604157B4"/>
    <w:rsid w:val="607B75C7"/>
    <w:rsid w:val="607F4B32"/>
    <w:rsid w:val="608E3AB9"/>
    <w:rsid w:val="60A827A3"/>
    <w:rsid w:val="60B34211"/>
    <w:rsid w:val="60D51A59"/>
    <w:rsid w:val="60E82224"/>
    <w:rsid w:val="60F575C1"/>
    <w:rsid w:val="61147D5F"/>
    <w:rsid w:val="61461C93"/>
    <w:rsid w:val="618E2CCB"/>
    <w:rsid w:val="61B17DFE"/>
    <w:rsid w:val="62497AFB"/>
    <w:rsid w:val="6260477F"/>
    <w:rsid w:val="62847EA7"/>
    <w:rsid w:val="62DB637F"/>
    <w:rsid w:val="62F66CD9"/>
    <w:rsid w:val="62FA10BA"/>
    <w:rsid w:val="62FD5017"/>
    <w:rsid w:val="63000916"/>
    <w:rsid w:val="63296CF6"/>
    <w:rsid w:val="63532130"/>
    <w:rsid w:val="637971E7"/>
    <w:rsid w:val="63972103"/>
    <w:rsid w:val="63D615FE"/>
    <w:rsid w:val="640B7333"/>
    <w:rsid w:val="6469117D"/>
    <w:rsid w:val="64871562"/>
    <w:rsid w:val="64D52890"/>
    <w:rsid w:val="64DB4F3F"/>
    <w:rsid w:val="64EA7FB1"/>
    <w:rsid w:val="64EC6C5A"/>
    <w:rsid w:val="653D7AF3"/>
    <w:rsid w:val="6570487D"/>
    <w:rsid w:val="65B119A5"/>
    <w:rsid w:val="65E83D85"/>
    <w:rsid w:val="65F916BF"/>
    <w:rsid w:val="661C2A65"/>
    <w:rsid w:val="6622535F"/>
    <w:rsid w:val="66346CA6"/>
    <w:rsid w:val="66565CBE"/>
    <w:rsid w:val="66602909"/>
    <w:rsid w:val="670E76D1"/>
    <w:rsid w:val="673D5A3D"/>
    <w:rsid w:val="67574E33"/>
    <w:rsid w:val="67D0065F"/>
    <w:rsid w:val="67D77C44"/>
    <w:rsid w:val="68156FD0"/>
    <w:rsid w:val="686052D7"/>
    <w:rsid w:val="68645048"/>
    <w:rsid w:val="68832C72"/>
    <w:rsid w:val="690459DC"/>
    <w:rsid w:val="690B7AFD"/>
    <w:rsid w:val="69543567"/>
    <w:rsid w:val="698F0E71"/>
    <w:rsid w:val="699A6C05"/>
    <w:rsid w:val="69A7745F"/>
    <w:rsid w:val="69CD3782"/>
    <w:rsid w:val="6A6D318E"/>
    <w:rsid w:val="6A90444F"/>
    <w:rsid w:val="6A9260A0"/>
    <w:rsid w:val="6A930078"/>
    <w:rsid w:val="6AA61A1F"/>
    <w:rsid w:val="6AB30BF9"/>
    <w:rsid w:val="6AEE31E1"/>
    <w:rsid w:val="6AFC4C50"/>
    <w:rsid w:val="6AFF6DD9"/>
    <w:rsid w:val="6B2031BA"/>
    <w:rsid w:val="6B3034CF"/>
    <w:rsid w:val="6B321631"/>
    <w:rsid w:val="6B337BB9"/>
    <w:rsid w:val="6B6721F6"/>
    <w:rsid w:val="6B713444"/>
    <w:rsid w:val="6B7A60D6"/>
    <w:rsid w:val="6B956E9A"/>
    <w:rsid w:val="6B9F6D44"/>
    <w:rsid w:val="6BAF67DE"/>
    <w:rsid w:val="6BB448DB"/>
    <w:rsid w:val="6C203A9A"/>
    <w:rsid w:val="6C385BB0"/>
    <w:rsid w:val="6CA6506C"/>
    <w:rsid w:val="6CB75CCD"/>
    <w:rsid w:val="6CCF6290"/>
    <w:rsid w:val="6CDB7CA3"/>
    <w:rsid w:val="6CF450EA"/>
    <w:rsid w:val="6D2D26D4"/>
    <w:rsid w:val="6D2F4A11"/>
    <w:rsid w:val="6D3F691A"/>
    <w:rsid w:val="6D6F7597"/>
    <w:rsid w:val="6D7D5FAF"/>
    <w:rsid w:val="6DC02322"/>
    <w:rsid w:val="6DE5023A"/>
    <w:rsid w:val="6E600263"/>
    <w:rsid w:val="6E8F1B0B"/>
    <w:rsid w:val="6E9303C1"/>
    <w:rsid w:val="6ECF03D4"/>
    <w:rsid w:val="6ED547AD"/>
    <w:rsid w:val="6EEA4B30"/>
    <w:rsid w:val="6EEB1850"/>
    <w:rsid w:val="6F1D62F1"/>
    <w:rsid w:val="6F617B7A"/>
    <w:rsid w:val="6F7A3C37"/>
    <w:rsid w:val="6FC02C16"/>
    <w:rsid w:val="6FF6475E"/>
    <w:rsid w:val="70184EA3"/>
    <w:rsid w:val="707053C2"/>
    <w:rsid w:val="7084049C"/>
    <w:rsid w:val="70C01024"/>
    <w:rsid w:val="70CB53E1"/>
    <w:rsid w:val="70E45041"/>
    <w:rsid w:val="710D46D2"/>
    <w:rsid w:val="714E12CF"/>
    <w:rsid w:val="714E7A95"/>
    <w:rsid w:val="71707E34"/>
    <w:rsid w:val="71791D68"/>
    <w:rsid w:val="71CE5989"/>
    <w:rsid w:val="71E33685"/>
    <w:rsid w:val="7209016D"/>
    <w:rsid w:val="72462B16"/>
    <w:rsid w:val="724D78E7"/>
    <w:rsid w:val="7259341C"/>
    <w:rsid w:val="728B00C1"/>
    <w:rsid w:val="72B40135"/>
    <w:rsid w:val="72E74435"/>
    <w:rsid w:val="734446DC"/>
    <w:rsid w:val="734521A8"/>
    <w:rsid w:val="73707E67"/>
    <w:rsid w:val="7375135A"/>
    <w:rsid w:val="73AA3A2F"/>
    <w:rsid w:val="73BA58EC"/>
    <w:rsid w:val="73CA7D44"/>
    <w:rsid w:val="73D3655F"/>
    <w:rsid w:val="741F0C23"/>
    <w:rsid w:val="743439CA"/>
    <w:rsid w:val="745D771F"/>
    <w:rsid w:val="748F3308"/>
    <w:rsid w:val="74B1496C"/>
    <w:rsid w:val="74BC7F66"/>
    <w:rsid w:val="74D26C43"/>
    <w:rsid w:val="74DD127A"/>
    <w:rsid w:val="74DF17E6"/>
    <w:rsid w:val="75352DB0"/>
    <w:rsid w:val="75686B98"/>
    <w:rsid w:val="759368E1"/>
    <w:rsid w:val="765E04EA"/>
    <w:rsid w:val="765F3D46"/>
    <w:rsid w:val="7677072C"/>
    <w:rsid w:val="76A00464"/>
    <w:rsid w:val="76A021B3"/>
    <w:rsid w:val="76B64FDF"/>
    <w:rsid w:val="76B664D7"/>
    <w:rsid w:val="76E33575"/>
    <w:rsid w:val="76EB2B73"/>
    <w:rsid w:val="770B0914"/>
    <w:rsid w:val="776D5ECB"/>
    <w:rsid w:val="77A33591"/>
    <w:rsid w:val="77D16924"/>
    <w:rsid w:val="78047EB1"/>
    <w:rsid w:val="782C2784"/>
    <w:rsid w:val="78326601"/>
    <w:rsid w:val="783976E2"/>
    <w:rsid w:val="78FB211C"/>
    <w:rsid w:val="790147C9"/>
    <w:rsid w:val="792A6F66"/>
    <w:rsid w:val="795269EF"/>
    <w:rsid w:val="796D7AA9"/>
    <w:rsid w:val="797F7147"/>
    <w:rsid w:val="79A96F62"/>
    <w:rsid w:val="79BE2A91"/>
    <w:rsid w:val="79FF69C4"/>
    <w:rsid w:val="7A382FF7"/>
    <w:rsid w:val="7A992CC0"/>
    <w:rsid w:val="7B041FA2"/>
    <w:rsid w:val="7B3A50B0"/>
    <w:rsid w:val="7B832F3C"/>
    <w:rsid w:val="7B867A45"/>
    <w:rsid w:val="7B8B2C1D"/>
    <w:rsid w:val="7BB10350"/>
    <w:rsid w:val="7BCA3B47"/>
    <w:rsid w:val="7BD020E4"/>
    <w:rsid w:val="7C01614C"/>
    <w:rsid w:val="7C3403C9"/>
    <w:rsid w:val="7C423C8F"/>
    <w:rsid w:val="7C9C719C"/>
    <w:rsid w:val="7CAA00B7"/>
    <w:rsid w:val="7CD15700"/>
    <w:rsid w:val="7D4E0A33"/>
    <w:rsid w:val="7D4E0C16"/>
    <w:rsid w:val="7D793C28"/>
    <w:rsid w:val="7D8C0F6F"/>
    <w:rsid w:val="7DA32B71"/>
    <w:rsid w:val="7DBC1642"/>
    <w:rsid w:val="7DD16A88"/>
    <w:rsid w:val="7DEC38C1"/>
    <w:rsid w:val="7DFA739F"/>
    <w:rsid w:val="7E775595"/>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0A7792-0DC3-4D00-8C3E-D79273CD5DC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6185</Words>
  <Characters>12281</Characters>
  <Lines>154</Lines>
  <Paragraphs>43</Paragraphs>
  <TotalTime>0</TotalTime>
  <ScaleCrop>false</ScaleCrop>
  <LinksUpToDate>false</LinksUpToDate>
  <CharactersWithSpaces>13122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2024-10-28T06:20:16Z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C5676F4824AE4ECE99FCF41ADA11F2C2</vt:lpwstr>
  </property>
</Properties>
</file>