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135255</wp:posOffset>
                </wp:positionH>
                <wp:positionV relativeFrom="paragraph">
                  <wp:posOffset>4352925</wp:posOffset>
                </wp:positionV>
                <wp:extent cx="639826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826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1"/>
                                <w:szCs w:val="21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KIT 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0.65pt;margin-top:342.75pt;height:103.4pt;width:503.8pt;z-index:251661312;mso-width-relative:page;mso-height-relative:page;" filled="f" stroked="f" coordsize="21600,21600" o:gfxdata="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9ficfcAAAACwEAAA8AAAAAAAAAAQAgAAAAIgAA&#10;AGRycy9kb3ducmV2LnhtbFBLAQIUABQAAAAIAIdO4kBz+D65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1"/>
                          <w:szCs w:val="21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KIT 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>
      <w:pPr>
        <w:numPr>
          <w:ilvl w:val="0"/>
          <w:numId w:val="2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6"/>
        <w:tblW w:w="4850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2"/>
        <w:gridCol w:w="3489"/>
        <w:gridCol w:w="3481"/>
      </w:tblGrid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  <w:bookmarkStart w:id="25" w:name="_GoBack"/>
            <w:bookmarkEnd w:id="25"/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>
      <w:pPr>
        <w:numPr>
          <w:ilvl w:val="0"/>
          <w:numId w:val="3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5262"/>
        <w:gridCol w:w="831"/>
        <w:gridCol w:w="1727"/>
        <w:gridCol w:w="838"/>
        <w:gridCol w:w="1756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>
      <w:pPr>
        <w:numPr>
          <w:ilvl w:val="0"/>
          <w:numId w:val="4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6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44"/>
        <w:gridCol w:w="1444"/>
        <w:gridCol w:w="1444"/>
        <w:gridCol w:w="1802"/>
        <w:gridCol w:w="1469"/>
        <w:gridCol w:w="2549"/>
      </w:tblGrid>
      <w:tr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  <w:t>检测人：</w:t>
            </w:r>
          </w:p>
        </w:tc>
        <w:tc>
          <w:tcPr>
            <w:tcW w:w="711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Times New Roman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>
            <w:pPr>
              <w:pStyle w:val="11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0"/>
        <w:gridCol w:w="1291"/>
        <w:gridCol w:w="2400"/>
        <w:gridCol w:w="2744"/>
        <w:gridCol w:w="2477"/>
      </w:tblGrid>
      <w:tr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>
      <w:pPr>
        <w:rPr>
          <w:rFonts w:ascii="Times New Roman" w:hAnsi="Times New Roman" w:eastAsia="微软雅黑" w:cs="Times New Roman"/>
          <w:sz w:val="24"/>
        </w:rPr>
      </w:pPr>
      <w:r>
        <w:rPr>
          <w:rFonts w:ascii="Times New Roman" w:hAnsi="Times New Roman" w:eastAsia="微软雅黑" w:cs="Times New Roman"/>
          <w:sz w:val="24"/>
        </w:rPr>
        <w:br w:type="page"/>
      </w:r>
    </w:p>
    <w:p>
      <w:pPr>
        <w:pStyle w:val="2"/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</w:pPr>
      <w:bookmarkStart w:id="0" w:name="_Toc2409"/>
      <w:bookmarkStart w:id="1" w:name="_Toc13196_WPSOffice_Level1"/>
      <w:bookmarkStart w:id="2" w:name="_Toc22658"/>
      <w:bookmarkStart w:id="3" w:name="_Toc16594"/>
      <w:bookmarkStart w:id="4" w:name="_Toc1707_WPSOffice_Level1"/>
      <w:bookmarkStart w:id="5" w:name="_Toc12505"/>
      <w:bookmarkStart w:id="6" w:name="_Toc21764_WPSOffice_Level1"/>
      <w:bookmarkStart w:id="7" w:name="_Toc28240"/>
      <w:bookmarkStart w:id="8" w:name="_Toc27302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>
      <w:pPr>
        <w:widowControl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9" w:name="_Toc11511_WPSOffice_Level1"/>
      <w:bookmarkStart w:id="10" w:name="_Toc23457_WPSOffice_Level1"/>
      <w:bookmarkStart w:id="11" w:name="_Toc6343_WPSOffice_Level1"/>
      <w:bookmarkStart w:id="12" w:name="_Toc6069_WPSOffice_Level1"/>
      <w:bookmarkStart w:id="13" w:name="_Toc9066_WPSOffice_Level1"/>
      <w:bookmarkStart w:id="14" w:name="_Toc23854_WPSOffice_Level1"/>
      <w:bookmarkStart w:id="15" w:name="_Toc1557_WPSOffice_Level1"/>
      <w:bookmarkStart w:id="16" w:name="_Toc6871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KIT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（也称为CD117），是一种受体酪氨酸激酶（RTK）,在多种细胞类型中的表达。KIT的配体是干细胞因子（SCF）。SCF与KIT胞外结构域的结合诱导其二聚体化，从而活化下游信号传导途径，包括PI3K-AKT-mTOR通路、RAS-RAF-MEK-ERK途径和STAT3（转录3的信号转导子和活化剂）途径，所有这些途径均调节细胞内促增长和促生存信号。</w:t>
      </w:r>
    </w:p>
    <w:p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KIT突变出现在多种癌症的发病机制中，包括黑色素瘤，急性白血病和胃肠道间质瘤（GIST）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14645423; PMID: 9438854]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。KIT突变的发现彻底改变了间质瘤的治疗。使用一种口服KIT抑制剂甲磺酸伊马替尼（格列卫，诺华制药），可获得迅速、明显和持久的肿瘤反应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12181401]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。当然，不是所有的KIT突变都对伊马替尼敏感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18955458]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，有些突变仅对第二代KIT抑制剂敏感。</w:t>
      </w:r>
    </w:p>
    <w:p>
      <w:pPr>
        <w:spacing w:line="276" w:lineRule="auto"/>
        <w:ind w:firstLine="44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3324225" cy="2162175"/>
            <wp:effectExtent l="0" t="0" r="13335" b="1905"/>
            <wp:docPr id="17161" name="Picture 171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1" name="Picture 1716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图示：KIT抑制剂的作用机理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20944735]</w:t>
      </w:r>
    </w:p>
    <w:p>
      <w:pPr>
        <w:spacing w:line="276" w:lineRule="auto"/>
        <w:ind w:firstLine="360" w:firstLineChars="200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</w:p>
    <w:p>
      <w:pPr>
        <w:widowControl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bookmarkStart w:id="17" w:name="_Toc17014_WPSOffice_Level1"/>
      <w:bookmarkStart w:id="18" w:name="_Toc29818_WPSOffice_Level1"/>
      <w:bookmarkStart w:id="19" w:name="_Toc4238_WPSOffice_Level1"/>
      <w:bookmarkStart w:id="20" w:name="_Toc16333_WPSOffice_Level1"/>
      <w:bookmarkStart w:id="21" w:name="_Toc4993_WPSOffice_Level1"/>
      <w:bookmarkStart w:id="22" w:name="_Toc22522_WPSOffice_Level1"/>
      <w:bookmarkStart w:id="23" w:name="_Toc9131_WPSOffice_Level1"/>
      <w:bookmarkStart w:id="24" w:name="_Toc29741_WPSOffice_Level1"/>
      <w:r>
        <w:rPr>
          <w:rFonts w:ascii="Times New Roman" w:hAnsi="Times New Roman" w:eastAsia="微软雅黑" w:cs="Times New Roman"/>
          <w:b/>
          <w:bCs/>
          <w:color w:val="2F6791"/>
          <w:sz w:val="24"/>
          <w:szCs w:val="24"/>
          <w:lang w:eastAsia="zh-CN"/>
        </w:rPr>
        <w:t>PDGFRA</w:t>
      </w:r>
      <w:bookmarkEnd w:id="17"/>
      <w:bookmarkEnd w:id="18"/>
      <w:bookmarkEnd w:id="19"/>
      <w:bookmarkEnd w:id="20"/>
      <w:bookmarkEnd w:id="21"/>
      <w:bookmarkEnd w:id="22"/>
      <w:bookmarkEnd w:id="23"/>
      <w:bookmarkEnd w:id="24"/>
    </w:p>
    <w:p>
      <w:pPr>
        <w:spacing w:line="276" w:lineRule="auto"/>
        <w:ind w:firstLine="360" w:firstLineChars="200"/>
        <w:jc w:val="both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血小板衍生生长因子受体α（PDGFRA）属于受体酪氨酸激酶（RTK）家族，包括PDGFRA和PDGFRB。与配体如血小板衍生生长因子（PDGF）的结合，诱导构象变化从而形成同源或异源二聚体，这样活化PDGFRA酪氨酸激酶活性（图示）。活化的PDGFRA然后磷酸化其底物，导致细胞中多个下游途径的激活，包括与细胞存活有关的PI3K-AKT-mTOR途径，和涉及细胞增殖的RAS-RAF-MEKERK通路。突变体PDGFRA被报道参与了一些癌症的发病。如突变可见于胃肠道间质瘤（GIST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15928335; PMID: 12522257]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，基因融合见于嗜酸性粒细胞增多综合征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12660384]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和隆突皮肤纤维肉瘤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8988177]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5%的GIST患者能检测到PDGFRA基因突变，大部分是胃性GIST。PDGFRA基因突变主要在其18外显子（也就是酪氨酸激酶2功能域，约5%）、12外显子上（近膜功能域，约1%）、14外显子（也就是酪氨酸激酶1功能域，少于1%）。除D842V外，18号外显子其它的突变均对伊马替尼（Imatinib）敏感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[PMID: 15928335]</w:t>
      </w: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。</w:t>
      </w: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ind w:firstLine="440" w:firstLineChars="200"/>
        <w:jc w:val="center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drawing>
          <wp:inline distT="0" distB="0" distL="0" distR="0">
            <wp:extent cx="2487930" cy="3383915"/>
            <wp:effectExtent l="0" t="0" r="11430" b="14605"/>
            <wp:docPr id="18082" name="Picture 18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2" name="Picture 1808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87930" cy="338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276" w:lineRule="auto"/>
        <w:jc w:val="center"/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shd w:val="clear" w:color="auto" w:fill="FFFFFF"/>
          <w:lang w:eastAsia="zh-CN"/>
        </w:rPr>
        <w:t>图示：PDGFRA信号传递途径</w:t>
      </w: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spacing w:line="276" w:lineRule="auto"/>
        <w:ind w:firstLine="440" w:firstLineChars="200"/>
        <w:jc w:val="both"/>
        <w:rPr>
          <w:rFonts w:ascii="Times New Roman" w:hAnsi="Times New Roman" w:eastAsia="微软雅黑" w:cs="Times New Roman"/>
          <w:lang w:eastAsia="zh-CN"/>
        </w:rPr>
      </w:pP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Hans"/>
        </w:rPr>
      </w:pPr>
      <w:r>
        <w:rPr>
          <w:rFonts w:hint="eastAsia" w:ascii="Times New Roman" w:hAnsi="Times New Roman" w:eastAsia="微软雅黑" w:cs="Times New Roman"/>
          <w:b/>
          <w:bCs/>
          <w:color w:val="2F6791"/>
          <w:sz w:val="24"/>
          <w:szCs w:val="24"/>
          <w:lang w:val="en-US" w:eastAsia="zh-Hans"/>
        </w:rPr>
        <w:t>潜在用药信息提示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 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26687836]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、培唑帕尼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27068858]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、普纳替尼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[J Clin Oncol. 2015; 33(suppl 15): abstr 10535]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、瑞戈非尼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27371698; PMID:22614970]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、尼洛替尼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25882987]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和达沙替尼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、舒尼替尼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26772734]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、瑞派替尼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[PMID:32511981]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敏感，与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11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号外显子突变相比，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9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号外显子突变对伊马替尼的敏感性中等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14645423]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；在皮肤黑色素瘤中，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KIT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激活突变对伊马替尼敏感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23775962; PMID: 21642685]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p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00" w:lineRule="exact"/>
        <w:ind w:firstLine="356" w:firstLineChars="200"/>
        <w:textAlignment w:val="auto"/>
        <w:rPr>
          <w:rFonts w:ascii="Times New Roman" w:hAnsi="Times New Roman" w:eastAsia="微软雅黑" w:cs="Times New Roman"/>
          <w:sz w:val="24"/>
        </w:rPr>
      </w:pP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胃肠道间质瘤中，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突变（除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）对伊马替尼敏感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12181401]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对达沙替尼敏感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29315500; PMID: 18794084]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突变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18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号外显子对阿伐替尼敏感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33465704]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，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PDGFRA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D842V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对伊马替尼产生耐药</w:t>
      </w:r>
      <w:r>
        <w:rPr>
          <w:rFonts w:hint="default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[PMID: 22718859]</w:t>
      </w:r>
      <w:r>
        <w:rPr>
          <w:rFonts w:hint="eastAsia" w:ascii="Times New Roman" w:hAnsi="Times New Roman" w:eastAsia="微软雅黑" w:cs="Times New Roman"/>
          <w:spacing w:val="-1"/>
          <w:sz w:val="18"/>
          <w:szCs w:val="18"/>
          <w:lang w:val="en-US" w:eastAsia="zh-CN" w:bidi="ar"/>
        </w:rPr>
        <w:t>。</w:t>
      </w: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6A0900"/>
    <w:rsid w:val="000E07BA"/>
    <w:rsid w:val="000F15D1"/>
    <w:rsid w:val="00121F61"/>
    <w:rsid w:val="001B7259"/>
    <w:rsid w:val="001E34C0"/>
    <w:rsid w:val="0021120E"/>
    <w:rsid w:val="002548E7"/>
    <w:rsid w:val="003E0FFD"/>
    <w:rsid w:val="005910F5"/>
    <w:rsid w:val="005D26F8"/>
    <w:rsid w:val="006735BF"/>
    <w:rsid w:val="00697038"/>
    <w:rsid w:val="006A0900"/>
    <w:rsid w:val="006B302B"/>
    <w:rsid w:val="006D792A"/>
    <w:rsid w:val="007931CD"/>
    <w:rsid w:val="007D3F98"/>
    <w:rsid w:val="00890029"/>
    <w:rsid w:val="008C7871"/>
    <w:rsid w:val="008F3D57"/>
    <w:rsid w:val="00933732"/>
    <w:rsid w:val="00961575"/>
    <w:rsid w:val="00963B59"/>
    <w:rsid w:val="00981DF4"/>
    <w:rsid w:val="00A63159"/>
    <w:rsid w:val="00AA7B4D"/>
    <w:rsid w:val="00C12EE8"/>
    <w:rsid w:val="00C23AEC"/>
    <w:rsid w:val="00D11A6A"/>
    <w:rsid w:val="00D34BF4"/>
    <w:rsid w:val="00D478F9"/>
    <w:rsid w:val="00DC58A1"/>
    <w:rsid w:val="00EA173D"/>
    <w:rsid w:val="00F413CE"/>
    <w:rsid w:val="00F73E15"/>
    <w:rsid w:val="00F77D08"/>
    <w:rsid w:val="00FB52A6"/>
    <w:rsid w:val="01E3453D"/>
    <w:rsid w:val="097A0A0D"/>
    <w:rsid w:val="10DB3DCF"/>
    <w:rsid w:val="126B28D4"/>
    <w:rsid w:val="152C7BDC"/>
    <w:rsid w:val="169645C3"/>
    <w:rsid w:val="1CCB2491"/>
    <w:rsid w:val="204A1E0F"/>
    <w:rsid w:val="2CA434C2"/>
    <w:rsid w:val="2CBA6E83"/>
    <w:rsid w:val="2D111678"/>
    <w:rsid w:val="36F640BD"/>
    <w:rsid w:val="3A492CAA"/>
    <w:rsid w:val="3AC2740B"/>
    <w:rsid w:val="3B135A0E"/>
    <w:rsid w:val="48EF09A8"/>
    <w:rsid w:val="49A80879"/>
    <w:rsid w:val="4D571467"/>
    <w:rsid w:val="507B51AA"/>
    <w:rsid w:val="51E50A2A"/>
    <w:rsid w:val="5F100333"/>
    <w:rsid w:val="616A0F43"/>
    <w:rsid w:val="68D610DA"/>
    <w:rsid w:val="780F40C8"/>
    <w:rsid w:val="7AE43FAA"/>
    <w:rsid w:val="7E2512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7">
    <w:name w:val="Table Grid"/>
    <w:basedOn w:val="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眉 Char"/>
    <w:basedOn w:val="8"/>
    <w:link w:val="4"/>
    <w:qFormat/>
    <w:uiPriority w:val="99"/>
    <w:rPr>
      <w:sz w:val="18"/>
      <w:szCs w:val="18"/>
    </w:rPr>
  </w:style>
  <w:style w:type="character" w:customStyle="1" w:styleId="10">
    <w:name w:val="页脚 Char"/>
    <w:basedOn w:val="8"/>
    <w:link w:val="3"/>
    <w:qFormat/>
    <w:uiPriority w:val="99"/>
    <w:rPr>
      <w:sz w:val="18"/>
      <w:szCs w:val="18"/>
    </w:rPr>
  </w:style>
  <w:style w:type="paragraph" w:customStyle="1" w:styleId="11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4</Pages>
  <Words>1111</Words>
  <Characters>2008</Characters>
  <Lines>4</Lines>
  <Paragraphs>1</Paragraphs>
  <TotalTime>0</TotalTime>
  <ScaleCrop>false</ScaleCrop>
  <LinksUpToDate>false</LinksUpToDate>
  <CharactersWithSpaces>2105</CharactersWithSpaces>
  <Application>WPS Office_12.1.0.15712_F1E327BC-269C-435d-A152-05C5408002CA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2023-11-08T03:24:14Z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2052-12.1.0.15712</vt:lpwstr>
  </property>
  <property fmtid="{D5CDD505-2E9C-101B-9397-08002B2CF9AE}" pid="3" name="ICV">
    <vt:lpwstr>7BC86363A4F141CA95D74975BC6233F6</vt:lpwstr>
  </property>
</Properties>
</file>