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2"/>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7E44178E">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851" w:footer="1134"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2"/>
        <w:tblW w:w="102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814"/>
        <w:gridCol w:w="1417"/>
        <w:gridCol w:w="1814"/>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000000" w:themeColor="text1" w:sz="12" w:space="0"/>
              <w:left w:val="single" w:color="BFBFBF" w:sz="4" w:space="0"/>
              <w:bottom w:val="single" w:color="BFBFBF" w:sz="4" w:space="0"/>
              <w:right w:val="single" w:color="BFBFBF"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2" w:space="0"/>
              <w:left w:val="single" w:color="BFBFBF" w:sz="4" w:space="0"/>
              <w:bottom w:val="single" w:color="BFBFBF" w:sz="4" w:space="0"/>
              <w:right w:val="single" w:color="BFBFBF"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2" w:space="0"/>
              <w:left w:val="single" w:color="BFBFBF" w:sz="4" w:space="0"/>
              <w:bottom w:val="single" w:color="BFBFBF" w:sz="4" w:space="0"/>
              <w:right w:val="single" w:color="BFBFBF"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2" w:space="0"/>
              <w:left w:val="single" w:color="BFBFBF" w:sz="4" w:space="0"/>
              <w:bottom w:val="single" w:color="BFBFBF" w:sz="4" w:space="0"/>
              <w:right w:val="single" w:color="BFBFBF"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BFBFBF" w:sz="4" w:space="0"/>
              <w:left w:val="single" w:color="BFBFBF" w:sz="4" w:space="0"/>
              <w:bottom w:val="single" w:color="BFBFBF" w:sz="4" w:space="0"/>
              <w:right w:val="single" w:color="BFBFBF"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tcBorders>
              <w:top w:val="single" w:color="BFBFBF" w:sz="4" w:space="0"/>
              <w:left w:val="single" w:color="BFBFBF" w:sz="4" w:space="0"/>
              <w:bottom w:val="single" w:color="BFBFBF" w:sz="4" w:space="0"/>
              <w:right w:val="single" w:color="BFBFBF"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BFBFBF" w:sz="4" w:space="0"/>
              <w:left w:val="single" w:color="BFBFBF" w:sz="4" w:space="0"/>
              <w:bottom w:val="single" w:color="BFBFBF" w:sz="4" w:space="0"/>
              <w:right w:val="single" w:color="BFBFBF"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BFBFBF" w:sz="4" w:space="0"/>
              <w:left w:val="single" w:color="BFBFBF" w:sz="4" w:space="0"/>
              <w:bottom w:val="single" w:color="BFBFBF" w:sz="4" w:space="0"/>
              <w:right w:val="single" w:color="BFBFBF"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BFBFBF" w:sz="4" w:space="0"/>
              <w:left w:val="single" w:color="BFBFBF" w:sz="4" w:space="0"/>
              <w:bottom w:val="single" w:color="BFBFBF" w:sz="4" w:space="0"/>
              <w:right w:val="single" w:color="BFBFBF"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814" w:type="dxa"/>
            <w:tcBorders>
              <w:top w:val="single" w:color="BFBFBF" w:sz="4" w:space="0"/>
              <w:left w:val="single" w:color="BFBFBF" w:sz="4" w:space="0"/>
              <w:bottom w:val="single" w:color="BFBFBF" w:sz="4" w:space="0"/>
              <w:right w:val="single" w:color="BFBFBF"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c>
          <w:tcPr>
            <w:tcW w:w="1560" w:type="dxa"/>
            <w:tcBorders>
              <w:top w:val="single" w:color="BFBFBF" w:sz="4" w:space="0"/>
              <w:left w:val="single" w:color="BFBFBF" w:sz="4" w:space="0"/>
              <w:bottom w:val="single" w:color="BFBFBF" w:sz="4" w:space="0"/>
              <w:right w:val="single" w:color="BFBFBF"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763645629"/>
                <w14:textFill>
                  <w14:solidFill>
                    <w14:schemeClr w14:val="tx1"/>
                  </w14:solidFill>
                </w14:textFill>
              </w:rPr>
              <w:t>临床诊断</w:t>
            </w:r>
          </w:p>
        </w:tc>
        <w:tc>
          <w:tcPr>
            <w:tcW w:w="1928" w:type="dxa"/>
            <w:tcBorders>
              <w:top w:val="single" w:color="BFBFBF" w:sz="4" w:space="0"/>
              <w:left w:val="single" w:color="BFBFBF" w:sz="4" w:space="0"/>
              <w:bottom w:val="single" w:color="BFBFBF" w:sz="4" w:space="0"/>
              <w:right w:val="single" w:color="BFBFBF"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417" w:type="dxa"/>
            <w:tcBorders>
              <w:top w:val="single" w:color="BFBFBF" w:sz="4" w:space="0"/>
              <w:left w:val="single" w:color="BFBFBF" w:sz="4" w:space="0"/>
              <w:bottom w:val="single" w:color="BFBFBF" w:sz="4" w:space="0"/>
              <w:right w:val="single" w:color="BFBFBF"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BFBFBF" w:sz="4" w:space="0"/>
              <w:left w:val="single" w:color="BFBFBF" w:sz="4" w:space="0"/>
              <w:bottom w:val="single" w:color="BFBFBF" w:sz="4" w:space="0"/>
              <w:right w:val="single" w:color="BFBFBF"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BFBFBF" w:sz="4" w:space="0"/>
              <w:left w:val="single" w:color="BFBFBF" w:sz="4" w:space="0"/>
              <w:bottom w:val="single" w:color="BFBFBF" w:sz="4" w:space="0"/>
              <w:right w:val="single" w:color="BFBFBF"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c>
          <w:tcPr>
            <w:tcW w:w="1417" w:type="dxa"/>
            <w:tcBorders>
              <w:top w:val="single" w:color="BFBFBF" w:sz="4" w:space="0"/>
              <w:left w:val="single" w:color="BFBFBF" w:sz="4" w:space="0"/>
              <w:bottom w:val="single" w:color="BFBFBF" w:sz="4" w:space="0"/>
              <w:right w:val="single" w:color="BFBFBF"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560" w:type="dxa"/>
            <w:tcBorders>
              <w:top w:val="single" w:color="BFBFBF" w:sz="4" w:space="0"/>
              <w:left w:val="single" w:color="BFBFBF" w:sz="4" w:space="0"/>
              <w:bottom w:val="single" w:color="BFBFBF" w:sz="4" w:space="0"/>
              <w:right w:val="single" w:color="BFBFBF" w:sz="4" w:space="0"/>
            </w:tcBorders>
            <w:vAlign w:val="center"/>
          </w:tcPr>
          <w:p w14:paraId="109574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w:t>
            </w:r>
            <w:r>
              <w:rPr>
                <w:rFonts w:hint="default" w:ascii="Times New Roman" w:hAnsi="Times New Roman" w:eastAsia="宋体" w:cs="Times New Roman"/>
                <w:b/>
                <w:color w:val="000000" w:themeColor="text1"/>
                <w:kern w:val="0"/>
                <w:sz w:val="24"/>
                <w:szCs w:val="24"/>
                <w14:textFill>
                  <w14:solidFill>
                    <w14:schemeClr w14:val="tx1"/>
                  </w14:solidFill>
                </w14:textFill>
              </w:rPr>
              <w:t>送检</w:t>
            </w:r>
          </w:p>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928" w:type="dxa"/>
            <w:tcBorders>
              <w:top w:val="single" w:color="BFBFBF" w:sz="4" w:space="0"/>
              <w:left w:val="single" w:color="BFBFBF" w:sz="4" w:space="0"/>
              <w:bottom w:val="single" w:color="BFBFBF" w:sz="4" w:space="0"/>
              <w:right w:val="single" w:color="BFBFBF"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commission_date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default" w:ascii="Times New Roman" w:hAnsi="Times New Roman" w:eastAsia="宋体" w:cs="Times New Roman"/>
                <w:kern w:val="0"/>
                <w:sz w:val="24"/>
                <w:szCs w:val="24"/>
                <w:lang w:eastAsia="zh-Hans"/>
              </w:rPr>
              <w:t>86基因双样本</w:t>
            </w:r>
            <w:r>
              <w:rPr>
                <w:rFonts w:hint="default" w:ascii="Times New Roman" w:hAnsi="Times New Roman" w:eastAsia="宋体" w:cs="Times New Roman"/>
                <w:kern w:val="0"/>
                <w:sz w:val="24"/>
                <w:szCs w:val="24"/>
                <w:lang w:val="en-US" w:eastAsia="zh-CN"/>
              </w:rPr>
              <w:t>检测</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CN"/>
              </w:rPr>
              <w:t>本产品对与肿瘤密切相关的86个基因进行高通量测序。检测突变形式为点突变（SNV）、小片段插入缺失（INDEL）、拷贝数变异（CNV）以及融合（FUSION）。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auto" w:sz="12" w:space="0"/>
              <w:right w:val="single" w:color="BFBFBF"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5"/>
            <w:tcBorders>
              <w:top w:val="single" w:color="BFBFBF" w:sz="4" w:space="0"/>
              <w:left w:val="single" w:color="BFBFBF" w:sz="4" w:space="0"/>
              <w:bottom w:val="single" w:color="auto" w:sz="12" w:space="0"/>
              <w:right w:val="single" w:color="BFBFBF"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single" w:color="BFBFBF" w:sz="4" w:space="0"/>
              <w:bottom w:val="single" w:color="BFBFBF" w:sz="4" w:space="0"/>
              <w:right w:val="single" w:color="BFBFBF"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AC0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1A7845E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14:textFill>
                  <w14:solidFill>
                    <w14:schemeClr w14:val="tx1"/>
                  </w14:solidFill>
                </w14:textFill>
              </w:rPr>
              <w:t>靶向用药指导</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425DE00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summaryOfRresults.thisGeneticmarkerVwListSize }}个体细胞突变，其中{{ summaryOfRresults.somaticCellMedicationNum}}个与靶向药物相关{{bodyDrugStr}}；</w:t>
            </w:r>
          </w:p>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 summaryOfRresults.crCheckLineStrYF1280Size }}个胚系突变，其中{{summaryOfRresults.crDrugList}}个与靶向药物相关{{embryonalDrugStr}}</w:t>
            </w:r>
          </w:p>
        </w:tc>
      </w:tr>
      <w:tr w14:paraId="0663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33F6EC7F">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eastAsia="zh-CN"/>
                <w14:textFill>
                  <w14:solidFill>
                    <w14:schemeClr w14:val="tx1"/>
                  </w14:solidFill>
                </w14:textFill>
              </w:rPr>
            </w:pPr>
            <w:r>
              <w:rPr>
                <w:rFonts w:hint="default" w:ascii="Times New Roman" w:hAnsi="Times New Roman" w:eastAsia="宋体" w:cs="Times New Roman"/>
                <w:b/>
                <w:bCs/>
                <w:sz w:val="24"/>
                <w:szCs w:val="24"/>
              </w:rPr>
              <w:t>肿瘤遗传风险检测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14CCF506">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summaryOfRresults.crCheckLineStrYF1280Size }}个胚系突变，其中{{summaryOfRresults.hasPathogenicityCount}}个为致病/可能致病性突变{{crCheckDrugStr}}{{summaryOfRresults.cr_tumors_desc}}</w:t>
            </w:r>
          </w:p>
        </w:tc>
      </w:tr>
      <w:tr w14:paraId="70D3E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restart"/>
            <w:tcBorders>
              <w:top w:val="single" w:color="BFBFBF" w:sz="4" w:space="0"/>
              <w:left w:val="single" w:color="BFBFBF" w:sz="4" w:space="0"/>
              <w:bottom w:val="single" w:color="BFBFBF" w:sz="4" w:space="0"/>
              <w:right w:val="single" w:color="BFBFBF" w:sz="4" w:space="0"/>
            </w:tcBorders>
            <w:vAlign w:val="center"/>
          </w:tcPr>
          <w:p w14:paraId="1B840FF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免疫治疗相关标志物检测</w:t>
            </w:r>
          </w:p>
        </w:tc>
        <w:tc>
          <w:tcPr>
            <w:tcW w:w="1814" w:type="dxa"/>
            <w:tcBorders>
              <w:top w:val="single" w:color="BFBFBF" w:sz="4" w:space="0"/>
              <w:left w:val="single" w:color="BFBFBF" w:sz="4" w:space="0"/>
              <w:bottom w:val="single" w:color="BFBFBF" w:sz="4" w:space="0"/>
              <w:right w:val="single" w:color="BFBFBF" w:sz="4" w:space="0"/>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微卫星不稳定性（MSI）</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2C1DACE0">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{{summaryOfRresults.msi_status_state}}</w:t>
            </w:r>
          </w:p>
        </w:tc>
      </w:tr>
      <w:tr w14:paraId="3BDE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continue"/>
            <w:tcBorders>
              <w:top w:val="single" w:color="BFBFBF" w:sz="4" w:space="0"/>
              <w:left w:val="single" w:color="BFBFBF" w:sz="4" w:space="0"/>
              <w:bottom w:val="single" w:color="BFBFBF" w:sz="4" w:space="0"/>
              <w:right w:val="single" w:color="BFBFBF" w:sz="4" w:space="0"/>
            </w:tcBorders>
            <w:vAlign w:val="center"/>
          </w:tcPr>
          <w:p w14:paraId="00FDDB0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p>
        </w:tc>
        <w:tc>
          <w:tcPr>
            <w:tcW w:w="1814" w:type="dxa"/>
            <w:tcBorders>
              <w:top w:val="single" w:color="BFBFBF" w:sz="4" w:space="0"/>
              <w:left w:val="single" w:color="BFBFBF" w:sz="4" w:space="0"/>
              <w:bottom w:val="single" w:color="BFBFBF" w:sz="4" w:space="0"/>
              <w:right w:val="single" w:color="BFBFBF" w:sz="4" w:space="0"/>
            </w:tcBorders>
            <w:vAlign w:val="center"/>
          </w:tcPr>
          <w:p w14:paraId="06F3C18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错配修复（MMR）基因</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5B1716C6">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共检出{{summaryOfRresults.dMMRinfoSize}}个MMR基因失活突变</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599D33C7">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if gastrointestinalStromalTumor == True %}</w:t>
            </w:r>
          </w:p>
        </w:tc>
      </w:tr>
      <w:tr w14:paraId="7A94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2D9E104A">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化疗药物检测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6423B483">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详见</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化疗药物检测解析</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4BF137CE">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endif %}</w:t>
            </w:r>
          </w:p>
        </w:tc>
      </w:tr>
      <w:tr w14:paraId="7E681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auto" w:sz="12" w:space="0"/>
              <w:right w:val="single" w:color="BFBFBF" w:sz="4" w:space="0"/>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rPr>
              <w:t>样品总体质量评估</w:t>
            </w:r>
          </w:p>
        </w:tc>
        <w:tc>
          <w:tcPr>
            <w:tcW w:w="6719" w:type="dxa"/>
            <w:gridSpan w:val="4"/>
            <w:tcBorders>
              <w:top w:val="single" w:color="BFBFBF" w:sz="4" w:space="0"/>
              <w:left w:val="single" w:color="BFBFBF" w:sz="4" w:space="0"/>
              <w:bottom w:val="single" w:color="auto" w:sz="12" w:space="0"/>
              <w:right w:val="single" w:color="BFBFBF" w:sz="4"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nil"/>
              <w:bottom w:val="nil"/>
              <w:right w:val="nil"/>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0" w:type="auto"/>
            <w:gridSpan w:val="6"/>
            <w:tcBorders>
              <w:top w:val="nil"/>
              <w:left w:val="nil"/>
              <w:bottom w:val="nil"/>
              <w:right w:val="nil"/>
            </w:tcBorders>
            <w:shd w:val="clear" w:color="auto" w:fill="auto"/>
            <w:vAlign w:val="center"/>
          </w:tcPr>
          <w:p w14:paraId="03398E00">
            <w:pPr>
              <w:pStyle w:val="18"/>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ascii="Times New Roman" w:hAnsi="Times New Roman" w:eastAsia="宋体" w:cs="Times New Roman"/>
          <w:color w:val="00D392"/>
          <w:sz w:val="40"/>
          <w:szCs w:val="40"/>
        </w:rPr>
        <w:t>检测结果与</w:t>
      </w:r>
      <w:r>
        <w:rPr>
          <w:rFonts w:hint="eastAsia" w:ascii="Times New Roman" w:hAnsi="Times New Roman" w:eastAsia="宋体" w:cs="Times New Roman"/>
          <w:color w:val="00D392"/>
          <w:sz w:val="40"/>
          <w:szCs w:val="40"/>
          <w:lang w:val="en-US" w:eastAsia="zh-CN"/>
        </w:rPr>
        <w:t>用药提示</w:t>
      </w:r>
    </w:p>
    <w:p w14:paraId="7E018E5C">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0" w:name="_Toc149837258"/>
      <w:bookmarkStart w:id="1" w:name="_Toc961"/>
      <w:r>
        <w:rPr>
          <w:rFonts w:hint="eastAsia"/>
          <w:color w:val="00D392"/>
          <w:sz w:val="30"/>
          <w:lang w:eastAsia="zh-CN"/>
        </w:rPr>
        <w:t>体细胞变异分级提示</w:t>
      </w:r>
      <w:bookmarkEnd w:id="0"/>
      <w:bookmarkEnd w:id="1"/>
    </w:p>
    <w:p w14:paraId="745D44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 w:name="_Toc149837259"/>
      <w:bookmarkStart w:id="3" w:name="_Toc30305"/>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7"/>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D392"/>
            <w:vAlign w:val="center"/>
          </w:tcPr>
          <w:p w14:paraId="23C3F79D">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D392"/>
            <w:vAlign w:val="center"/>
          </w:tcPr>
          <w:p w14:paraId="2CE10D9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D392"/>
            <w:vAlign w:val="center"/>
          </w:tcPr>
          <w:p w14:paraId="3CCED36F">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D392"/>
            <w:vAlign w:val="center"/>
          </w:tcPr>
          <w:p w14:paraId="18775A1A">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D392"/>
            <w:vAlign w:val="center"/>
          </w:tcPr>
          <w:p w14:paraId="06CBDD70">
            <w:pPr>
              <w:pStyle w:val="26"/>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D392"/>
            <w:vAlign w:val="center"/>
          </w:tcPr>
          <w:p w14:paraId="2A93BA3F">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D392"/>
            <w:vAlign w:val="center"/>
          </w:tcPr>
          <w:p w14:paraId="2092CC8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3A7D9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2EBBB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A3DA40">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C118A7">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F461505">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3E563FD">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A70C99A">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0207A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10AA5E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94D96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341FC1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6042CC4">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9E3FADF">
      <w:pPr>
        <w:pStyle w:val="6"/>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5D0E50F">
      <w:pPr>
        <w:pStyle w:val="6"/>
        <w:numPr>
          <w:ilvl w:val="0"/>
          <w:numId w:val="2"/>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DB599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A6E726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eastAsia="zh-CN"/>
        </w:rPr>
        <w:t>胚系变异结果提示</w:t>
      </w:r>
      <w:bookmarkEnd w:id="2"/>
      <w:bookmarkEnd w:id="3"/>
    </w:p>
    <w:p w14:paraId="7FDB217F">
      <w:pPr>
        <w:spacing w:before="240" w:beforeLines="100" w:after="24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肿瘤遗传风险检测</w:t>
      </w:r>
    </w:p>
    <w:p w14:paraId="0A0382A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解析”。{% endif %}如果您有家族遗传史，可联系我们做进一步的检测。</w:t>
      </w:r>
    </w:p>
    <w:tbl>
      <w:tblPr>
        <w:tblStyle w:val="27"/>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D392"/>
            <w:vAlign w:val="center"/>
          </w:tcPr>
          <w:p w14:paraId="755848B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D392"/>
            <w:vAlign w:val="center"/>
          </w:tcPr>
          <w:p w14:paraId="6ECC374C">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D392"/>
            <w:vAlign w:val="center"/>
          </w:tcPr>
          <w:p w14:paraId="61B35E1E">
            <w:pPr>
              <w:pStyle w:val="26"/>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D392"/>
            <w:vAlign w:val="center"/>
          </w:tcPr>
          <w:p w14:paraId="273C1105">
            <w:pPr>
              <w:pStyle w:val="26"/>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D392"/>
            <w:vAlign w:val="center"/>
          </w:tcPr>
          <w:p w14:paraId="743ABDD3">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D392"/>
            <w:vAlign w:val="center"/>
          </w:tcPr>
          <w:p w14:paraId="6D81592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D392"/>
            <w:vAlign w:val="center"/>
          </w:tcPr>
          <w:p w14:paraId="5A8A4753">
            <w:pPr>
              <w:pStyle w:val="26"/>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D392"/>
            <w:vAlign w:val="center"/>
          </w:tcPr>
          <w:p w14:paraId="76A4D4D9">
            <w:pPr>
              <w:pStyle w:val="26"/>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2D07AF5">
      <w:pPr>
        <w:rPr>
          <w:rFonts w:ascii="Times New Roman" w:hAnsi="Times New Roman" w:eastAsia="微软雅黑" w:cs="Times New Roman"/>
          <w:sz w:val="24"/>
          <w:szCs w:val="24"/>
          <w:lang w:eastAsia="zh-CN"/>
        </w:rPr>
      </w:pP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7"/>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0"/>
        <w:gridCol w:w="1076"/>
        <w:gridCol w:w="2252"/>
        <w:gridCol w:w="2254"/>
      </w:tblGrid>
      <w:tr w14:paraId="7A469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D392"/>
            <w:vAlign w:val="center"/>
          </w:tcPr>
          <w:p w14:paraId="39B0BC5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D392"/>
            <w:vAlign w:val="center"/>
          </w:tcPr>
          <w:p w14:paraId="467DB15A">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D392"/>
            <w:vAlign w:val="center"/>
          </w:tcPr>
          <w:p w14:paraId="2C92F812">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D392"/>
            <w:vAlign w:val="center"/>
          </w:tcPr>
          <w:p w14:paraId="3366D739">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D392"/>
            <w:vAlign w:val="center"/>
          </w:tcPr>
          <w:p w14:paraId="1F0E0170">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D392"/>
            <w:vAlign w:val="center"/>
          </w:tcPr>
          <w:p w14:paraId="61ABEA13">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19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3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62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50CFA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BFB8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28B27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FB4E4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12BDC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3DF459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266F0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4A9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EDD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25C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117F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06707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FF98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8AE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E86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3D40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F8BA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575A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AD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337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546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6273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8DBF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8EBA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723DB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AF81547">
      <w:pPr>
        <w:pStyle w:val="28"/>
        <w:numPr>
          <w:ilvl w:val="0"/>
          <w:numId w:val="4"/>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1D602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5315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DF25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28BD5C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6A91F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0F3E7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46774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E812062">
      <w:pPr>
        <w:rPr>
          <w:rFonts w:hint="eastAsia" w:ascii="Times New Roman" w:hAnsi="Times New Roman" w:eastAsia="微软雅黑" w:cs="黑体"/>
          <w:b/>
          <w:bCs/>
          <w:sz w:val="30"/>
          <w:szCs w:val="30"/>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087690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4" w:name="_Toc32105"/>
      <w:bookmarkStart w:id="5" w:name="_Toc149837260"/>
      <w:r>
        <w:rPr>
          <w:rFonts w:hint="eastAsia"/>
          <w:color w:val="00D392"/>
          <w:sz w:val="30"/>
          <w:lang w:eastAsia="zh-CN"/>
        </w:rPr>
        <w:t>本癌种FDA/NMPA获批的其他可选靶向药物</w:t>
      </w:r>
      <w:bookmarkEnd w:id="4"/>
      <w:bookmarkEnd w:id="5"/>
    </w:p>
    <w:tbl>
      <w:tblPr>
        <w:tblStyle w:val="12"/>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76A91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D392"/>
            <w:vAlign w:val="center"/>
          </w:tcPr>
          <w:p w14:paraId="672CA8C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D392"/>
            <w:vAlign w:val="center"/>
          </w:tcPr>
          <w:p w14:paraId="33583CA8">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D392"/>
            <w:vAlign w:val="center"/>
          </w:tcPr>
          <w:p w14:paraId="35E18F55">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D392"/>
            <w:vAlign w:val="center"/>
          </w:tcPr>
          <w:p w14:paraId="30070E5C">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7B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A4CF4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04C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294E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7F69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DAC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661AC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ADE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6A1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1883B3">
      <w:pPr>
        <w:rPr>
          <w:rFonts w:hint="eastAsia"/>
          <w:sz w:val="30"/>
          <w:lang w:eastAsia="zh-CN"/>
        </w:rPr>
      </w:pPr>
      <w:r>
        <w:rPr>
          <w:rFonts w:hint="eastAsia"/>
          <w:sz w:val="30"/>
          <w:lang w:eastAsia="zh-CN"/>
        </w:rPr>
        <w:br w:type="page"/>
      </w:r>
    </w:p>
    <w:p w14:paraId="43D2CE45">
      <w:pPr>
        <w:rPr>
          <w:rFonts w:hint="eastAsia"/>
          <w:sz w:val="30"/>
          <w:lang w:eastAsia="zh-CN"/>
        </w:rPr>
      </w:pPr>
      <w:r>
        <w:rPr>
          <w:rFonts w:hint="eastAsia" w:ascii="Times New Roman" w:hAnsi="Times New Roman" w:eastAsia="微软雅黑" w:cs="Times New Roman"/>
          <w:sz w:val="24"/>
          <w:szCs w:val="24"/>
          <w:highlight w:val="none"/>
          <w:lang w:eastAsia="zh-CN"/>
        </w:rPr>
        <w:t>{% endif %}</w:t>
      </w:r>
    </w:p>
    <w:p w14:paraId="61441F41">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6" w:name="_Toc23558"/>
      <w:bookmarkStart w:id="7" w:name="_Toc626"/>
      <w:bookmarkStart w:id="8" w:name="_Toc7551_WPSOffice_Level2"/>
      <w:bookmarkStart w:id="9" w:name="_Toc25737"/>
      <w:bookmarkStart w:id="10" w:name="_Toc4339"/>
      <w:bookmarkStart w:id="11" w:name="_Toc17410"/>
      <w:bookmarkStart w:id="12" w:name="_Toc6221_WPSOffice_Level2"/>
      <w:bookmarkStart w:id="13" w:name="_Toc1549"/>
      <w:r>
        <w:rPr>
          <w:rFonts w:hint="eastAsia"/>
          <w:color w:val="00D392"/>
          <w:sz w:val="30"/>
          <w:lang w:eastAsia="zh-CN"/>
        </w:rPr>
        <w:t>免疫药物用药提示</w:t>
      </w:r>
      <w:bookmarkEnd w:id="6"/>
      <w:bookmarkEnd w:id="7"/>
      <w:bookmarkEnd w:id="8"/>
      <w:bookmarkEnd w:id="9"/>
      <w:bookmarkEnd w:id="10"/>
      <w:bookmarkEnd w:id="11"/>
      <w:bookmarkEnd w:id="12"/>
      <w:bookmarkEnd w:id="13"/>
    </w:p>
    <w:p w14:paraId="58EEF197">
      <w:pPr>
        <w:spacing w:before="120" w:beforeLines="50" w:after="192" w:afterLines="8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免疫用药</w:t>
      </w:r>
      <w:r>
        <w:rPr>
          <w:rFonts w:ascii="Times New Roman" w:hAnsi="Times New Roman" w:eastAsia="微软雅黑" w:cs="Times New Roman"/>
          <w:b/>
          <w:color w:val="00D392"/>
          <w:sz w:val="24"/>
          <w:szCs w:val="24"/>
          <w:lang w:eastAsia="zh-CN"/>
        </w:rPr>
        <w:t>检测结果</w:t>
      </w:r>
    </w:p>
    <w:tbl>
      <w:tblPr>
        <w:tblStyle w:val="11"/>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D392"/>
            <w:vAlign w:val="center"/>
          </w:tcPr>
          <w:p w14:paraId="4D997E8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D392"/>
            <w:vAlign w:val="center"/>
          </w:tcPr>
          <w:p w14:paraId="068F65C0">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D392"/>
            <w:vAlign w:val="center"/>
          </w:tcPr>
          <w:p w14:paraId="439AC9CE">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7D6DA115">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微卫星不稳定（</w:t>
            </w:r>
            <w:r>
              <w:rPr>
                <w:rStyle w:val="31"/>
                <w:rFonts w:eastAsia="微软雅黑"/>
                <w:lang w:eastAsia="zh-CN" w:bidi="ar"/>
              </w:rPr>
              <w:t>MSI</w:t>
            </w:r>
            <w:r>
              <w:rPr>
                <w:rStyle w:val="30"/>
                <w:rFonts w:hint="default" w:ascii="Times New Roman" w:hAnsi="Times New Roman" w:cs="Times New Roman"/>
                <w:lang w:eastAsia="zh-CN" w:bidi="ar"/>
              </w:rPr>
              <w:t>）</w:t>
            </w:r>
          </w:p>
        </w:tc>
        <w:tc>
          <w:tcPr>
            <w:tcW w:w="2623" w:type="dxa"/>
            <w:shd w:val="clear" w:color="auto" w:fill="auto"/>
            <w:vAlign w:val="center"/>
          </w:tcPr>
          <w:p w14:paraId="461D64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DB2F8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35"/>
                <w:rFonts w:hint="default" w:ascii="Times New Roman" w:hAnsi="Times New Roman" w:cs="Times New Roman"/>
                <w:lang w:eastAsia="zh-CN" w:bidi="ar"/>
              </w:rPr>
              <w:t>微卫星不稳定型（</w:t>
            </w:r>
            <w:r>
              <w:rPr>
                <w:rStyle w:val="32"/>
                <w:rFonts w:eastAsia="微软雅黑"/>
                <w:lang w:eastAsia="zh-CN" w:bidi="ar"/>
              </w:rPr>
              <w:t>MSI-H</w:t>
            </w:r>
            <w:r>
              <w:rPr>
                <w:rStyle w:val="3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0BAED19">
            <w:pPr>
              <w:widowControl/>
              <w:snapToGrid w:val="0"/>
              <w:jc w:val="center"/>
              <w:textAlignment w:val="center"/>
              <w:rPr>
                <w:rStyle w:val="30"/>
                <w:rFonts w:hint="default" w:ascii="Times New Roman" w:hAnsi="Times New Roman" w:cs="Times New Roman"/>
                <w:lang w:eastAsia="zh-CN" w:bidi="ar"/>
              </w:rPr>
            </w:pPr>
            <w:r>
              <w:rPr>
                <w:rStyle w:val="30"/>
                <w:rFonts w:hint="default" w:ascii="Times New Roman" w:hAnsi="Times New Roman" w:cs="Times New Roman"/>
                <w:lang w:eastAsia="zh-CN" w:bidi="ar"/>
              </w:rPr>
              <w:t>错配修复（</w:t>
            </w:r>
            <w:r>
              <w:rPr>
                <w:rStyle w:val="31"/>
                <w:rFonts w:eastAsia="微软雅黑"/>
                <w:lang w:eastAsia="zh-CN" w:bidi="ar"/>
              </w:rPr>
              <w:t>MMR</w:t>
            </w:r>
            <w:r>
              <w:rPr>
                <w:rStyle w:val="30"/>
                <w:rFonts w:hint="default" w:ascii="Times New Roman" w:hAnsi="Times New Roman" w:cs="Times New Roman"/>
                <w:lang w:eastAsia="zh-CN" w:bidi="ar"/>
              </w:rPr>
              <w:t>）</w:t>
            </w:r>
          </w:p>
          <w:p w14:paraId="161743A0">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基因</w:t>
            </w:r>
          </w:p>
        </w:tc>
        <w:tc>
          <w:tcPr>
            <w:tcW w:w="2436" w:type="dxa"/>
            <w:shd w:val="clear" w:color="auto" w:fill="auto"/>
            <w:vAlign w:val="center"/>
          </w:tcPr>
          <w:p w14:paraId="55F6D589">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MLH1</w:t>
            </w:r>
            <w:r>
              <w:rPr>
                <w:rStyle w:val="32"/>
                <w:rFonts w:hint="eastAsia" w:eastAsia="微软雅黑"/>
                <w:lang w:eastAsia="zh-CN" w:bidi="ar"/>
              </w:rPr>
              <w:t>失活突变</w:t>
            </w:r>
          </w:p>
        </w:tc>
        <w:tc>
          <w:tcPr>
            <w:tcW w:w="2623" w:type="dxa"/>
            <w:shd w:val="clear" w:color="auto" w:fill="auto"/>
            <w:vAlign w:val="center"/>
          </w:tcPr>
          <w:p w14:paraId="67ABAD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89E69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E51E75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0FD1F01">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MSH2</w:t>
            </w:r>
            <w:r>
              <w:rPr>
                <w:rStyle w:val="32"/>
                <w:rFonts w:hint="eastAsia" w:eastAsia="微软雅黑"/>
                <w:lang w:eastAsia="zh-CN" w:bidi="ar"/>
              </w:rPr>
              <w:t>失活突变</w:t>
            </w:r>
          </w:p>
        </w:tc>
        <w:tc>
          <w:tcPr>
            <w:tcW w:w="2623" w:type="dxa"/>
            <w:shd w:val="clear" w:color="auto" w:fill="auto"/>
            <w:vAlign w:val="center"/>
          </w:tcPr>
          <w:p w14:paraId="7DAD95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B957B6">
            <w:pPr>
              <w:snapToGrid w:val="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3891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A1AB5">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MSH6</w:t>
            </w:r>
            <w:r>
              <w:rPr>
                <w:rStyle w:val="32"/>
                <w:rFonts w:hint="eastAsia" w:eastAsia="微软雅黑"/>
                <w:lang w:eastAsia="zh-CN" w:bidi="ar"/>
              </w:rPr>
              <w:t>失活突变</w:t>
            </w:r>
          </w:p>
        </w:tc>
        <w:tc>
          <w:tcPr>
            <w:tcW w:w="2623" w:type="dxa"/>
            <w:shd w:val="clear" w:color="auto" w:fill="auto"/>
            <w:vAlign w:val="center"/>
          </w:tcPr>
          <w:p w14:paraId="205DF6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CBAB68">
            <w:pPr>
              <w:snapToGrid w:val="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DD4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C034153">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PMS2</w:t>
            </w:r>
            <w:r>
              <w:rPr>
                <w:rStyle w:val="32"/>
                <w:rFonts w:hint="eastAsia" w:eastAsia="微软雅黑"/>
                <w:lang w:eastAsia="zh-CN" w:bidi="ar"/>
              </w:rPr>
              <w:t>失活突变</w:t>
            </w:r>
          </w:p>
        </w:tc>
        <w:tc>
          <w:tcPr>
            <w:tcW w:w="2623" w:type="dxa"/>
            <w:shd w:val="clear" w:color="auto" w:fill="auto"/>
            <w:vAlign w:val="center"/>
          </w:tcPr>
          <w:p w14:paraId="7E366F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3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C51D1E">
            <w:pPr>
              <w:snapToGrid w:val="0"/>
              <w:jc w:val="both"/>
              <w:rPr>
                <w:rFonts w:ascii="Times New Roman" w:hAnsi="Times New Roman" w:eastAsia="微软雅黑" w:cs="Times New Roman"/>
                <w:color w:val="000000"/>
                <w:sz w:val="21"/>
                <w:szCs w:val="21"/>
              </w:rPr>
            </w:pPr>
          </w:p>
        </w:tc>
      </w:tr>
    </w:tbl>
    <w:p w14:paraId="3702B95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9464BBB">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AA79CF">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5FBD6B7">
      <w:pPr>
        <w:pStyle w:val="6"/>
        <w:numPr>
          <w:ilvl w:val="0"/>
          <w:numId w:val="5"/>
        </w:numPr>
        <w:rPr>
          <w:rFonts w:ascii="Times New Roman" w:hAnsi="Times New Roman" w:eastAsia="微软雅黑" w:cs="Times New Roman"/>
          <w:bCs/>
          <w:shd w:val="clear" w:color="auto" w:fill="FFFFFF"/>
          <w:lang w:eastAsia="zh-CN"/>
        </w:rPr>
      </w:pPr>
      <w:r>
        <w:rPr>
          <w:rFonts w:hint="eastAsia"/>
          <w:sz w:val="30"/>
          <w:lang w:eastAsia="zh-CN"/>
        </w:rPr>
        <w:br w:type="page"/>
      </w:r>
    </w:p>
    <w:p w14:paraId="5081E4E5">
      <w:pPr>
        <w:rPr>
          <w:rFonts w:hint="default" w:ascii="Times New Roman" w:hAnsi="Times New Roman" w:eastAsia="宋体" w:cs="Times New Roman"/>
          <w:sz w:val="24"/>
          <w:szCs w:val="24"/>
          <w:lang w:eastAsia="zh-CN"/>
        </w:rPr>
      </w:pPr>
      <w:r>
        <w:rPr>
          <w:rFonts w:hint="default" w:ascii="Times New Roman" w:hAnsi="Times New Roman" w:eastAsia="宋体" w:cs="Times New Roman"/>
          <w:bCs/>
          <w:sz w:val="24"/>
          <w:szCs w:val="24"/>
          <w:lang w:eastAsia="zh-CN"/>
        </w:rPr>
        <w:t>{% for ia in immuneAll %}</w:t>
      </w:r>
    </w:p>
    <w:tbl>
      <w:tblPr>
        <w:tblStyle w:val="11"/>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85D5E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D392"/>
            <w:vAlign w:val="center"/>
          </w:tcPr>
          <w:p w14:paraId="6D5FBD9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D392"/>
            <w:vAlign w:val="center"/>
          </w:tcPr>
          <w:p w14:paraId="15D39EF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D392"/>
            <w:vAlign w:val="center"/>
          </w:tcPr>
          <w:p w14:paraId="44332C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1E2A5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8CE2D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8A060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BE0369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4C7C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D392"/>
            <w:vAlign w:val="center"/>
          </w:tcPr>
          <w:p w14:paraId="78E7F8F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D392"/>
            <w:vAlign w:val="center"/>
          </w:tcPr>
          <w:p w14:paraId="783C5A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6016F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D392"/>
            <w:vAlign w:val="center"/>
          </w:tcPr>
          <w:p w14:paraId="0EBB8E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66DBE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74D434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B7113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05556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DBCA78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C23C13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8E5D3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54B0F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75471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FEC06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44438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5B0AA9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658FA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140B5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endfor %}</w:t>
      </w:r>
    </w:p>
    <w:p w14:paraId="4B33E57F">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14" w:name="_Toc180"/>
      <w:bookmarkStart w:id="15" w:name="_Toc149837263"/>
      <w:bookmarkStart w:id="16" w:name="_Toc9663"/>
      <w:r>
        <w:rPr>
          <w:rFonts w:hint="eastAsia" w:ascii="Times New Roman" w:hAnsi="Times New Roman" w:eastAsia="宋体" w:cs="Times New Roman"/>
          <w:color w:val="00D392"/>
          <w:sz w:val="40"/>
          <w:szCs w:val="40"/>
        </w:rPr>
        <w:t>检测结果</w:t>
      </w:r>
      <w:r>
        <w:rPr>
          <w:rFonts w:hint="eastAsia" w:ascii="Times New Roman" w:hAnsi="Times New Roman" w:eastAsia="宋体" w:cs="Times New Roman"/>
          <w:color w:val="00D392"/>
          <w:sz w:val="40"/>
          <w:szCs w:val="40"/>
          <w:lang w:val="en-US" w:eastAsia="zh-CN"/>
        </w:rPr>
        <w:t>详细</w:t>
      </w:r>
      <w:r>
        <w:rPr>
          <w:rFonts w:hint="eastAsia" w:ascii="Times New Roman" w:hAnsi="Times New Roman" w:eastAsia="宋体" w:cs="Times New Roman"/>
          <w:color w:val="00D392"/>
          <w:sz w:val="40"/>
          <w:szCs w:val="40"/>
        </w:rPr>
        <w:t>解析</w:t>
      </w:r>
      <w:bookmarkEnd w:id="14"/>
      <w:bookmarkEnd w:id="15"/>
      <w:bookmarkEnd w:id="16"/>
    </w:p>
    <w:p w14:paraId="2024F8A7">
      <w:pPr>
        <w:rPr>
          <w:lang w:eastAsia="zh-CN"/>
        </w:rPr>
      </w:pPr>
      <w:r>
        <w:rPr>
          <w:rFonts w:hint="eastAsia" w:ascii="Times New Roman" w:hAnsi="Times New Roman" w:eastAsia="微软雅黑" w:cs="Times New Roman"/>
          <w:b/>
          <w:sz w:val="24"/>
          <w:szCs w:val="24"/>
          <w:lang w:eastAsia="zh-CN"/>
        </w:rPr>
        <w:t>{%if BodyDrugDrugDetectionStr or unknownVarAnalysisStr %}</w:t>
      </w:r>
    </w:p>
    <w:p w14:paraId="5B3D4AD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17" w:name="_Toc10338"/>
      <w:bookmarkStart w:id="18" w:name="_Toc149837264"/>
      <w:r>
        <w:rPr>
          <w:rFonts w:hint="eastAsia"/>
          <w:color w:val="00D392"/>
          <w:sz w:val="30"/>
          <w:lang w:eastAsia="zh-CN"/>
        </w:rPr>
        <w:t>体细胞变异结果解析</w:t>
      </w:r>
      <w:bookmarkEnd w:id="17"/>
    </w:p>
    <w:p w14:paraId="32B9BA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0175B3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23F3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8F847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A9D7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3D0B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6B0DF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90E6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A8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3AC674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CA3F5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003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9A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5449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7B73D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56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38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232D1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04F58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FC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24A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DCB8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7FBB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43D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93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E545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C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E49B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F9B3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CC6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2B2A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FEAD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92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5980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D855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228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1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0D555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BA90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9A7D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A3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E12CF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488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06C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1DFB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D0A85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D9C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6A479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5680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56A54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11D14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8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66A2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5B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6BA0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3CB1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3123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1C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D02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BB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E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F33D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389D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BEC7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F83FC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50981C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08D31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35A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2D7B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762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369B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50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90CA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BBE1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EAC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DA6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FC14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A7B9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BEB3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79E5B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B5D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B6E7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66054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5766BB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751D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F978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5C1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A8B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09080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5297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2285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FAC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C42A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F165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95B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42C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91779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748F4">
      <w:pPr>
        <w:bidi w:val="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p>
    <w:bookmarkEnd w:id="18"/>
    <w:p w14:paraId="0E586E68">
      <w:pPr>
        <w:keepNext/>
        <w:spacing w:before="120" w:beforeLines="50" w:after="120" w:afterLines="50"/>
        <w:rPr>
          <w:rFonts w:ascii="Times New Roman" w:hAnsi="Times New Roman" w:eastAsia="微软雅黑" w:cs="Times New Roman"/>
          <w:b/>
          <w:sz w:val="24"/>
          <w:szCs w:val="24"/>
          <w:lang w:eastAsia="zh-CN"/>
        </w:rPr>
      </w:pPr>
      <w:bookmarkStart w:id="19" w:name="_Toc19842"/>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A84A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A8CEAAF">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7399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A7C7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5F50395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DBE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047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D7C63AD">
            <w:pPr>
              <w:spacing w:before="1" w:line="250" w:lineRule="auto"/>
              <w:jc w:val="center"/>
              <w:rPr>
                <w:rFonts w:hint="default" w:ascii="Times New Roman" w:hAnsi="Times New Roman" w:eastAsia="微软雅黑" w:cs="Times New Roman"/>
                <w:b/>
                <w:bCs w:val="0"/>
                <w:sz w:val="18"/>
                <w:szCs w:val="18"/>
                <w:lang w:eastAsia="zh-CN"/>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D10F9CF">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AB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463F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8361D69">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8012548">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C01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64F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1494ACB">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12C4207">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B64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4E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104471">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D8CA950">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5E01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08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E20E4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715E063">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9D75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C4A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01B6C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B2A302E">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083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10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7C5C2EB">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85B7FF7">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00A6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0A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A9C5566">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4EDFFC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57A3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24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41BB0D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8CEF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4D09E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2EF9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B0EB0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3F10D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E45B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1EBEB7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6210D6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00F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6F2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2B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60CB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7D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F13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0F00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784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75E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45AF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C11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EE55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0FFE63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34122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7363B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E3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221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0C5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5943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F72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550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53CE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602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7C4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BA8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2C1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5DCF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2035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207C8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418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3896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4E0D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C73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8D6F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66D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B8F0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D8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EA3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EED0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CDA2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411E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9FD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1AB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0F5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736C03">
      <w:pPr>
        <w:pStyle w:val="33"/>
        <w:rPr>
          <w:color w:val="auto"/>
        </w:rPr>
      </w:pPr>
      <w:r>
        <w:rPr>
          <w:rFonts w:hint="eastAsia"/>
          <w:color w:val="auto"/>
        </w:rPr>
        <w:t>{% endif %}{% endfor %}{% for vus in unknownVarAnalysisStr %}</w:t>
      </w:r>
    </w:p>
    <w:p w14:paraId="7159E7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85D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D392"/>
            <w:vAlign w:val="center"/>
          </w:tcPr>
          <w:p w14:paraId="108A7C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3705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8B12F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D392"/>
            <w:vAlign w:val="center"/>
          </w:tcPr>
          <w:p w14:paraId="5923CD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4455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92F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D392"/>
            <w:vAlign w:val="center"/>
          </w:tcPr>
          <w:p w14:paraId="7DBE7C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DF2AC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13C33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A03DA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val="en-US" w:eastAsia="zh-CN"/>
        </w:rPr>
        <w:t>胚系</w:t>
      </w:r>
      <w:r>
        <w:rPr>
          <w:rFonts w:hint="eastAsia"/>
          <w:color w:val="00D392"/>
          <w:sz w:val="30"/>
          <w:lang w:eastAsia="zh-CN"/>
        </w:rPr>
        <w:t>变异结果解析</w:t>
      </w:r>
    </w:p>
    <w:p w14:paraId="1A03264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p>
    <w:p w14:paraId="1B3ABD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32E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E386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EDF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666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7D0F7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950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64E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DEA7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D5EB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CE7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D7A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B59C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0C63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B5D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77B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1ABA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3CEBA0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599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A57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55B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B3A3A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F9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CEC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596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5F74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4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CB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C083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382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CD7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4C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E7B0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E649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1E8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08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5026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B563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B6ED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23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53D8E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1D6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388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D98F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5DECC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04C5C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FD8C4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7DD4C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2CEEE2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7D2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B99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30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F189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95C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10B8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51AF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7A7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83AB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A65E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824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3B27C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7D5AB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0EB82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1B2501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3FB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DEF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2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A6BB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9B9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AD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4FCE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37B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DE4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D05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F4E5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2B6F3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7363B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F1DA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392F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979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25799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3C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F75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28A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30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CC6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A8F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4D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ECD1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3A49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F05F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E17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80A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64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31385B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r>
        <w:rPr>
          <w:rFonts w:hint="eastAsia"/>
          <w:color w:val="00D392"/>
          <w:sz w:val="30"/>
          <w:lang w:val="en-US" w:eastAsia="zh-CN"/>
        </w:rPr>
        <w:t>免疫检测结果解析</w:t>
      </w:r>
      <w:bookmarkEnd w:id="19"/>
    </w:p>
    <w:p w14:paraId="18F95E27">
      <w:pPr>
        <w:spacing w:before="29"/>
        <w:rPr>
          <w:rFonts w:ascii="Times New Roman" w:hAnsi="Times New Roman" w:eastAsia="微软雅黑" w:cs="Times New Roman"/>
          <w:b/>
          <w:color w:val="00D392"/>
          <w:sz w:val="24"/>
          <w:szCs w:val="24"/>
          <w:lang w:eastAsia="zh-CN"/>
        </w:rPr>
      </w:pPr>
      <w:bookmarkStart w:id="20" w:name="_Toc2749"/>
      <w:r>
        <w:rPr>
          <w:rFonts w:ascii="Times New Roman" w:hAnsi="Times New Roman" w:eastAsia="微软雅黑" w:cs="Times New Roman"/>
          <w:b/>
          <w:color w:val="00D392"/>
          <w:sz w:val="24"/>
          <w:szCs w:val="24"/>
          <w:lang w:eastAsia="zh-CN"/>
        </w:rPr>
        <w:t>微卫星不稳定（MSI）检测结果解析</w:t>
      </w:r>
    </w:p>
    <w:tbl>
      <w:tblPr>
        <w:tblStyle w:val="11"/>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7A41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D392"/>
            <w:vAlign w:val="center"/>
          </w:tcPr>
          <w:p w14:paraId="4EABF86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D392"/>
            <w:vAlign w:val="center"/>
          </w:tcPr>
          <w:p w14:paraId="069292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736D69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C497F0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D77E5F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09CB7F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val="en-US"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1D7CCA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9D3F2C">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20FE850">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F16DF2A">
      <w:pPr>
        <w:spacing w:before="29"/>
        <w:rPr>
          <w:rFonts w:ascii="Times New Roman" w:hAnsi="Times New Roman" w:eastAsia="微软雅黑" w:cs="Times New Roman"/>
          <w:b/>
          <w:sz w:val="26"/>
          <w:szCs w:val="26"/>
          <w:lang w:eastAsia="zh-CN"/>
        </w:rPr>
      </w:pPr>
      <w:bookmarkStart w:id="21" w:name="_Toc7307_WPSOffice_Level3"/>
      <w:r>
        <w:rPr>
          <w:rFonts w:hint="eastAsia" w:ascii="Times New Roman" w:hAnsi="Times New Roman" w:eastAsia="微软雅黑" w:cs="Times New Roman"/>
          <w:b/>
          <w:color w:val="00D392"/>
          <w:sz w:val="26"/>
          <w:szCs w:val="26"/>
          <w:lang w:eastAsia="zh-CN"/>
        </w:rPr>
        <w:t>错配修复（MMR）相关基因检测结果</w:t>
      </w:r>
    </w:p>
    <w:bookmarkEnd w:id="21"/>
    <w:tbl>
      <w:tblPr>
        <w:tblStyle w:val="11"/>
        <w:tblW w:w="983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38"/>
        <w:gridCol w:w="3117"/>
        <w:gridCol w:w="1849"/>
        <w:gridCol w:w="2631"/>
      </w:tblGrid>
      <w:tr w14:paraId="019B4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bottom w:val="nil"/>
              <w:right w:val="single" w:color="FFFFFF" w:sz="18" w:space="0"/>
            </w:tcBorders>
            <w:shd w:val="clear" w:color="auto" w:fill="00D392"/>
            <w:vAlign w:val="center"/>
          </w:tcPr>
          <w:p w14:paraId="0EA79E0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D392"/>
            <w:vAlign w:val="center"/>
          </w:tcPr>
          <w:p w14:paraId="14EF43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D392"/>
            <w:vAlign w:val="center"/>
          </w:tcPr>
          <w:p w14:paraId="06A53A5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00D392"/>
            <w:vAlign w:val="center"/>
          </w:tcPr>
          <w:p w14:paraId="7CB5C0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F657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0A2BE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E04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tcBorders>
            <w:shd w:val="clear" w:color="auto" w:fill="auto"/>
            <w:vAlign w:val="center"/>
          </w:tcPr>
          <w:p w14:paraId="379746B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7CF46B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523C4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B6EA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5436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4C992D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5E9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38" w:type="dxa"/>
            <w:tcBorders>
              <w:top w:val="nil"/>
              <w:left w:val="single" w:color="FFFFFF" w:sz="4" w:space="0"/>
              <w:bottom w:val="nil"/>
              <w:right w:val="single" w:color="FFFFFF" w:sz="4" w:space="0"/>
            </w:tcBorders>
            <w:shd w:val="clear" w:color="auto" w:fill="auto"/>
            <w:vAlign w:val="center"/>
          </w:tcPr>
          <w:p w14:paraId="5228443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8231D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6D778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CEF1D7F">
            <w:pPr>
              <w:spacing w:before="13" w:line="252" w:lineRule="auto"/>
              <w:ind w:right="174"/>
              <w:jc w:val="center"/>
              <w:rPr>
                <w:rFonts w:ascii="Times New Roman" w:hAnsi="Times New Roman" w:eastAsia="微软雅黑" w:cs="Times New Roman"/>
                <w:b/>
                <w:bCs/>
                <w:sz w:val="21"/>
                <w:szCs w:val="21"/>
                <w:lang w:eastAsia="zh-CN"/>
              </w:rPr>
            </w:pPr>
          </w:p>
        </w:tc>
      </w:tr>
      <w:tr w14:paraId="5206E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5" w:type="dxa"/>
            <w:gridSpan w:val="4"/>
            <w:tcBorders>
              <w:top w:val="nil"/>
              <w:bottom w:val="nil"/>
            </w:tcBorders>
            <w:shd w:val="clear" w:color="auto" w:fill="auto"/>
            <w:vAlign w:val="center"/>
          </w:tcPr>
          <w:p w14:paraId="109E10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15F00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295B2FF">
            <w:pPr>
              <w:ind w:firstLine="360" w:firstLineChars="200"/>
              <w:rPr>
                <w:rFonts w:ascii="Times New Roman" w:hAnsi="Times New Roman" w:eastAsia="微软雅黑" w:cs="Times New Roman"/>
                <w:sz w:val="18"/>
                <w:shd w:val="clear" w:color="auto" w:fill="FFFFFF"/>
                <w:lang w:eastAsia="zh-CN"/>
              </w:rPr>
            </w:pPr>
          </w:p>
          <w:p w14:paraId="2B587B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1F2D27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4B0131E">
            <w:pPr>
              <w:ind w:firstLine="360" w:firstLineChars="200"/>
              <w:rPr>
                <w:rFonts w:ascii="Times New Roman" w:hAnsi="Times New Roman" w:eastAsia="微软雅黑" w:cs="Times New Roman"/>
                <w:sz w:val="18"/>
                <w:shd w:val="clear" w:color="auto" w:fill="FFFFFF"/>
                <w:lang w:eastAsia="zh-CN"/>
              </w:rPr>
            </w:pPr>
          </w:p>
          <w:p w14:paraId="4A7A751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E75650">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D84054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D4BFA8F">
            <w:pPr>
              <w:numPr>
                <w:ilvl w:val="0"/>
                <w:numId w:val="8"/>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4725563D">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60DB7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20"/>
    <w:p w14:paraId="51BE3889">
      <w:pPr>
        <w:pStyle w:val="33"/>
        <w:rPr>
          <w:color w:val="000000" w:themeColor="text1"/>
          <w14:textFill>
            <w14:solidFill>
              <w14:schemeClr w14:val="tx1"/>
            </w14:solidFill>
          </w14:textFill>
        </w:rPr>
      </w:pPr>
      <w:bookmarkStart w:id="22" w:name="_Toc27302"/>
      <w:bookmarkStart w:id="23" w:name="_Toc16594"/>
      <w:bookmarkStart w:id="24" w:name="_Toc2409"/>
      <w:bookmarkStart w:id="25" w:name="_Toc13196_WPSOffice_Level1"/>
      <w:bookmarkStart w:id="26" w:name="_Toc1707_WPSOffice_Level1"/>
      <w:bookmarkStart w:id="27" w:name="_Toc28240"/>
      <w:bookmarkStart w:id="28" w:name="_Toc12505"/>
      <w:bookmarkStart w:id="29" w:name="_Toc21764_WPSOffice_Level1"/>
      <w:r>
        <w:rPr>
          <w:rFonts w:hint="eastAsia"/>
          <w:color w:val="000000" w:themeColor="text1"/>
          <w14:textFill>
            <w14:solidFill>
              <w14:schemeClr w14:val="tx1"/>
            </w14:solidFill>
          </w14:textFill>
        </w:rPr>
        <w:t>{% if gastrointestinalStromalTumor == True %}</w:t>
      </w:r>
    </w:p>
    <w:p w14:paraId="66A208C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30" w:name="_Toc6249"/>
      <w:bookmarkStart w:id="31" w:name="_Toc14132"/>
      <w:bookmarkStart w:id="32" w:name="_Toc16347"/>
      <w:bookmarkStart w:id="33" w:name="_Toc1707_WPSOffice_Level2"/>
      <w:bookmarkStart w:id="34" w:name="_Toc149837267"/>
      <w:bookmarkStart w:id="35" w:name="_Toc26649"/>
      <w:bookmarkStart w:id="36" w:name="_Toc21764_WPSOffice_Level2"/>
      <w:r>
        <w:rPr>
          <w:rFonts w:hint="eastAsia"/>
          <w:color w:val="00D392"/>
          <w:sz w:val="30"/>
          <w:lang w:val="en-US" w:eastAsia="zh-CN"/>
        </w:rPr>
        <w:t>化疗药物检测解析</w:t>
      </w:r>
      <w:bookmarkEnd w:id="30"/>
      <w:bookmarkEnd w:id="31"/>
      <w:bookmarkEnd w:id="32"/>
      <w:bookmarkEnd w:id="33"/>
      <w:bookmarkEnd w:id="34"/>
      <w:bookmarkEnd w:id="35"/>
      <w:bookmarkEnd w:id="36"/>
    </w:p>
    <w:p w14:paraId="13A8DE51">
      <w:pPr>
        <w:spacing w:before="26" w:after="120" w:afterLines="50"/>
        <w:rPr>
          <w:color w:val="00D392"/>
          <w:lang w:eastAsia="zh-CN"/>
        </w:rPr>
      </w:pPr>
      <w:r>
        <w:rPr>
          <w:rFonts w:ascii="Times New Roman" w:hAnsi="Times New Roman" w:eastAsia="微软雅黑" w:cs="Times New Roman"/>
          <w:b/>
          <w:color w:val="00D392"/>
          <w:sz w:val="24"/>
          <w:lang w:eastAsia="zh-CN"/>
        </w:rPr>
        <w:t>化疗药物用药提示</w:t>
      </w:r>
    </w:p>
    <w:tbl>
      <w:tblPr>
        <w:tblStyle w:val="12"/>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2433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00D392"/>
            <w:vAlign w:val="center"/>
          </w:tcPr>
          <w:p w14:paraId="64F63CD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8DB530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6E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00D392"/>
            <w:vAlign w:val="center"/>
          </w:tcPr>
          <w:p w14:paraId="6E494B3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4F2DB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2A7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00D392"/>
            <w:vAlign w:val="center"/>
          </w:tcPr>
          <w:p w14:paraId="696B8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95E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31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00D392"/>
            <w:vAlign w:val="center"/>
          </w:tcPr>
          <w:p w14:paraId="1D44D27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CE006C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4A5231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533E808">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4CD6C60">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E60D60">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65CC8B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0DBC5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130E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EA44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1ECB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C4F2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4CDF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7E1E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72E34A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EC972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2BC112">
      <w:pPr>
        <w:spacing w:before="26" w:after="120" w:afterLines="50"/>
        <w:rPr>
          <w:rFonts w:ascii="Times New Roman" w:hAnsi="Times New Roman" w:eastAsia="微软雅黑" w:cs="Times New Roman"/>
          <w:b/>
          <w:color w:val="00D392"/>
          <w:sz w:val="24"/>
          <w:lang w:eastAsia="zh-CN"/>
        </w:rPr>
      </w:pPr>
      <w:r>
        <w:rPr>
          <w:rFonts w:hint="eastAsia" w:ascii="Times New Roman" w:hAnsi="Times New Roman" w:eastAsia="微软雅黑" w:cs="Times New Roman"/>
          <w:b/>
          <w:color w:val="00D392"/>
          <w:sz w:val="24"/>
          <w:lang w:eastAsia="zh-CN"/>
        </w:rPr>
        <w:t>化疗药物用药解析</w:t>
      </w:r>
    </w:p>
    <w:tbl>
      <w:tblPr>
        <w:tblStyle w:val="11"/>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2"/>
        <w:gridCol w:w="916"/>
        <w:gridCol w:w="1185"/>
        <w:gridCol w:w="1024"/>
        <w:gridCol w:w="556"/>
      </w:tblGrid>
      <w:tr w14:paraId="41FF2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D392"/>
            <w:vAlign w:val="center"/>
          </w:tcPr>
          <w:p w14:paraId="3DC0F2F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D392"/>
            <w:vAlign w:val="center"/>
          </w:tcPr>
          <w:p w14:paraId="1BA7323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D392"/>
            <w:vAlign w:val="center"/>
          </w:tcPr>
          <w:p w14:paraId="753C495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D392"/>
            <w:vAlign w:val="center"/>
          </w:tcPr>
          <w:p w14:paraId="49674E3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D392"/>
            <w:vAlign w:val="center"/>
          </w:tcPr>
          <w:p w14:paraId="5E688D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D392"/>
            <w:vAlign w:val="center"/>
          </w:tcPr>
          <w:p w14:paraId="770720E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D392"/>
            <w:vAlign w:val="center"/>
          </w:tcPr>
          <w:p w14:paraId="2C32433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D392"/>
            <w:vAlign w:val="center"/>
          </w:tcPr>
          <w:p w14:paraId="142FBFD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0C60D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E158C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FEDB3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E456E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634DD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6A8E9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F7A16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D8E9A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1106D2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EAE36D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75DAA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217A0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00923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6495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404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D29A2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75EE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9F04BA">
      <w:pPr>
        <w:pStyle w:val="24"/>
        <w:tabs>
          <w:tab w:val="left" w:pos="1317"/>
        </w:tabs>
        <w:kinsoku w:val="0"/>
        <w:overflowPunct w:val="0"/>
        <w:spacing w:before="1" w:line="187" w:lineRule="auto"/>
        <w:ind w:left="0" w:leftChars="0" w:right="1131" w:firstLine="0" w:firstLineChars="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B68C0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931A9C">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7F4FCAC">
      <w:pPr>
        <w:rPr>
          <w:rFonts w:ascii="Times New Roman" w:hAnsi="Times New Roman" w:eastAsia="微软雅黑" w:cs="Times New Roman"/>
          <w:sz w:val="16"/>
          <w:lang w:eastAsia="zh-CN"/>
        </w:rPr>
      </w:pPr>
      <w:r>
        <w:rPr>
          <w:lang w:eastAsia="zh-CN"/>
        </w:rPr>
        <w:br w:type="page"/>
      </w:r>
    </w:p>
    <w:bookmarkEnd w:id="22"/>
    <w:bookmarkEnd w:id="23"/>
    <w:bookmarkEnd w:id="24"/>
    <w:bookmarkEnd w:id="25"/>
    <w:bookmarkEnd w:id="26"/>
    <w:bookmarkEnd w:id="27"/>
    <w:bookmarkEnd w:id="28"/>
    <w:bookmarkEnd w:id="29"/>
    <w:p w14:paraId="725EE12C">
      <w:pPr>
        <w:spacing w:before="26"/>
        <w:rPr>
          <w:rFonts w:ascii="Times New Roman" w:hAnsi="Times New Roman" w:eastAsia="微软雅黑" w:cs="Times New Roman"/>
          <w:sz w:val="18"/>
          <w:lang w:eastAsia="zh-CN"/>
        </w:rPr>
      </w:pPr>
      <w:bookmarkStart w:id="37" w:name="_Toc11406"/>
      <w:bookmarkStart w:id="38" w:name="_Toc30346"/>
      <w:r>
        <w:rPr>
          <w:rFonts w:hint="eastAsia" w:ascii="Times New Roman" w:hAnsi="Times New Roman" w:eastAsia="微软雅黑" w:cs="Times New Roman"/>
          <w:b/>
          <w:sz w:val="24"/>
          <w:szCs w:val="24"/>
          <w:lang w:eastAsia="zh-CN"/>
        </w:rPr>
        <w:t>{% endif %}</w:t>
      </w:r>
    </w:p>
    <w:p w14:paraId="591E9412">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39" w:name="_Toc149837268"/>
      <w:bookmarkStart w:id="40" w:name="_Toc19443"/>
      <w:r>
        <w:rPr>
          <w:rFonts w:hint="eastAsia" w:ascii="Times New Roman" w:hAnsi="Times New Roman" w:eastAsia="宋体" w:cs="Times New Roman"/>
          <w:color w:val="00D392"/>
          <w:sz w:val="40"/>
          <w:szCs w:val="40"/>
        </w:rPr>
        <w:t>附录</w:t>
      </w:r>
      <w:bookmarkEnd w:id="39"/>
    </w:p>
    <w:bookmarkEnd w:id="40"/>
    <w:p w14:paraId="2671D67E">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1" w:name="_Toc15112"/>
      <w:bookmarkStart w:id="42" w:name="_Toc3674"/>
      <w:bookmarkStart w:id="43" w:name="_Toc24085_WPSOffice_Level1"/>
      <w:bookmarkStart w:id="44" w:name="_Toc14255_WPSOffice_Level1"/>
      <w:bookmarkStart w:id="45" w:name="_Toc15840_WPSOffice_Level1"/>
      <w:bookmarkStart w:id="46" w:name="_Toc149837269"/>
      <w:r>
        <w:rPr>
          <w:rFonts w:hint="eastAsia"/>
          <w:color w:val="00D392"/>
          <w:sz w:val="30"/>
          <w:lang w:val="en-US" w:eastAsia="zh-CN"/>
        </w:rPr>
        <w:t>样本质控情况</w:t>
      </w:r>
      <w:bookmarkEnd w:id="41"/>
      <w:bookmarkEnd w:id="42"/>
      <w:bookmarkEnd w:id="43"/>
      <w:bookmarkEnd w:id="44"/>
      <w:bookmarkEnd w:id="45"/>
      <w:bookmarkEnd w:id="46"/>
    </w:p>
    <w:tbl>
      <w:tblPr>
        <w:tblStyle w:val="11"/>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D392"/>
            <w:vAlign w:val="center"/>
          </w:tcPr>
          <w:p w14:paraId="7E2CCC8F">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D392"/>
            <w:vAlign w:val="center"/>
          </w:tcPr>
          <w:p w14:paraId="03C5425E">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D392"/>
            <w:vAlign w:val="center"/>
          </w:tcPr>
          <w:p w14:paraId="55CA6117">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D392"/>
            <w:vAlign w:val="center"/>
          </w:tcPr>
          <w:p w14:paraId="4F19055A">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5B9D2BA">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0400AB3">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BF64BD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09F93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7E98C0">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C0F0C">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6D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A6E6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A734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96D4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49577E">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1AF9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7AE6A7">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9DA2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74766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617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CB4A08">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EA71A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EE31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CB22B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374D1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78DC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9F1ED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3B6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CE3CD">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17B9B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00E10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F6EC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09AD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CEA37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2F435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CC62">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740C4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37432B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009FD6B">
            <w:pPr>
              <w:autoSpaceDE w:val="0"/>
              <w:ind w:left="105"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bookmarkEnd w:id="37"/>
      <w:bookmarkEnd w:id="38"/>
    </w:tbl>
    <w:p w14:paraId="506E38A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C38B0C">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84CB396">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078837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0AB1EE38">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26130789">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188B064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3803A2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45B8B1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ACEFFF">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71AB">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C8A81CD">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03900C2">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4BF637">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F13EB0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7" w:name="_Toc16778"/>
      <w:bookmarkStart w:id="48" w:name="_Toc16593"/>
      <w:bookmarkStart w:id="49" w:name="_Toc15114"/>
      <w:bookmarkStart w:id="50" w:name="_Toc3409"/>
      <w:bookmarkStart w:id="51" w:name="_Toc20170_WPSOffice_Level1"/>
      <w:bookmarkStart w:id="52" w:name="_Toc28454_WPSOffice_Level1"/>
      <w:bookmarkStart w:id="53" w:name="_Toc27693"/>
      <w:bookmarkStart w:id="54" w:name="_Toc26985_WPSOffice_Level1"/>
      <w:bookmarkStart w:id="55" w:name="_Toc31185"/>
      <w:bookmarkStart w:id="56" w:name="_Toc20924"/>
      <w:r>
        <w:rPr>
          <w:rFonts w:hint="eastAsia"/>
          <w:color w:val="00D392"/>
          <w:sz w:val="30"/>
          <w:lang w:val="en-US" w:eastAsia="zh-CN"/>
        </w:rPr>
        <w:t>检测基因列表</w:t>
      </w:r>
      <w:bookmarkEnd w:id="47"/>
    </w:p>
    <w:bookmarkEnd w:id="48"/>
    <w:tbl>
      <w:tblPr>
        <w:tblStyle w:val="1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01F4EA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7" w:name="_Toc26028"/>
      <w:r>
        <w:rPr>
          <w:rFonts w:hint="eastAsia"/>
          <w:color w:val="00D392"/>
          <w:sz w:val="30"/>
          <w:lang w:val="en-US" w:eastAsia="zh-CN"/>
        </w:rPr>
        <w:t>检测方法与局限性</w:t>
      </w:r>
      <w:bookmarkEnd w:id="49"/>
      <w:bookmarkEnd w:id="50"/>
      <w:bookmarkEnd w:id="57"/>
    </w:p>
    <w:p w14:paraId="0A2C210C">
      <w:pPr>
        <w:rPr>
          <w:highlight w:val="yellow"/>
          <w:lang w:eastAsia="zh-CN"/>
        </w:rPr>
      </w:pPr>
    </w:p>
    <w:p w14:paraId="353D71D7">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r>
        <w:rPr>
          <w:rFonts w:hint="eastAsia" w:ascii="Times New Roman" w:hAnsi="Times New Roman" w:eastAsia="微软雅黑" w:cs="Times New Roman"/>
          <w:bCs/>
          <w:sz w:val="21"/>
          <w:szCs w:val="21"/>
          <w:lang w:val="en-US" w:eastAsia="zh-CN"/>
        </w:rPr>
        <w:t>分析采用自主开发软件Novo2025</w:t>
      </w:r>
      <w:r>
        <w:rPr>
          <w:rFonts w:hint="default" w:ascii="Times New Roman" w:hAnsi="Times New Roman" w:eastAsia="微软雅黑" w:cs="Times New Roman"/>
          <w:bCs/>
          <w:sz w:val="21"/>
          <w:szCs w:val="21"/>
          <w:lang w:val="en-US" w:eastAsia="zh-CN"/>
        </w:rPr>
        <w:t>_v1.0.0</w:t>
      </w:r>
      <w:r>
        <w:rPr>
          <w:rFonts w:hint="eastAsia" w:ascii="Times New Roman" w:hAnsi="Times New Roman" w:eastAsia="微软雅黑" w:cs="Times New Roman"/>
          <w:bCs/>
          <w:sz w:val="21"/>
          <w:szCs w:val="21"/>
          <w:lang w:val="en-US" w:eastAsia="zh-CN"/>
        </w:rPr>
        <w:t>。</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局限性说明</w:t>
      </w:r>
    </w:p>
    <w:p w14:paraId="787CDD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398B4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50DC97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51"/>
    <w:bookmarkEnd w:id="52"/>
    <w:bookmarkEnd w:id="53"/>
    <w:bookmarkEnd w:id="54"/>
    <w:bookmarkEnd w:id="55"/>
    <w:bookmarkEnd w:id="56"/>
    <w:p w14:paraId="7009DB90">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8" w:name="_Toc11901"/>
      <w:bookmarkStart w:id="59" w:name="_Toc3213"/>
      <w:bookmarkStart w:id="60" w:name="_Toc27809"/>
      <w:bookmarkStart w:id="61" w:name="_Toc4503"/>
      <w:bookmarkStart w:id="62" w:name="_Toc22162_WPSOffice_Level1"/>
      <w:bookmarkStart w:id="63" w:name="_Toc19584_WPSOffice_Level1"/>
      <w:bookmarkStart w:id="64" w:name="_Toc14611_WPSOffice_Level1"/>
      <w:bookmarkStart w:id="65" w:name="_Toc22623"/>
      <w:bookmarkStart w:id="66" w:name="_Toc13275"/>
      <w:bookmarkStart w:id="67" w:name="_Toc17792_WPSOffice_Level2"/>
      <w:r>
        <w:rPr>
          <w:rFonts w:hint="eastAsia"/>
          <w:color w:val="00D392"/>
          <w:sz w:val="30"/>
          <w:lang w:val="en-US" w:eastAsia="zh-CN"/>
        </w:rPr>
        <w:t>参考文献</w:t>
      </w:r>
      <w:bookmarkEnd w:id="58"/>
      <w:bookmarkEnd w:id="59"/>
      <w:bookmarkEnd w:id="60"/>
      <w:bookmarkEnd w:id="61"/>
    </w:p>
    <w:bookmarkEnd w:id="62"/>
    <w:bookmarkEnd w:id="63"/>
    <w:bookmarkEnd w:id="64"/>
    <w:bookmarkEnd w:id="65"/>
    <w:bookmarkEnd w:id="66"/>
    <w:bookmarkEnd w:id="67"/>
    <w:p w14:paraId="762D53B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 if importantTargetedDiseaseName == </w:t>
      </w:r>
      <w:r>
        <w:rPr>
          <w:rFonts w:hint="default" w:ascii="Times New Roman" w:hAnsi="Times New Roman" w:cs="Times New Roman"/>
          <w:sz w:val="15"/>
          <w:szCs w:val="15"/>
          <w:lang w:val="en-US" w:eastAsia="zh-CN"/>
        </w:rPr>
        <w:t>“泌尿系统癌症”</w:t>
      </w:r>
      <w:r>
        <w:rPr>
          <w:rFonts w:hint="eastAsia" w:ascii="Times New Roman" w:hAnsi="Times New Roman" w:cs="Times New Roman"/>
          <w:sz w:val="15"/>
          <w:szCs w:val="15"/>
          <w:lang w:val="en-US" w:eastAsia="zh-CN"/>
        </w:rPr>
        <w:t>%}</w:t>
      </w:r>
    </w:p>
    <w:p w14:paraId="1C00FE97">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Voss MH, Reising A, Cheng Y, et al. Genomically annotated risk model for advanced renal-cell carcinoma: a retrospective cohort study. Lancet Oncol. 2018 Dec;19(12):1688-1698. [PMID: 30416077]</w:t>
      </w:r>
    </w:p>
    <w:p w14:paraId="26E20B8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Ricketts CJ, De Cubas AA, Fan H, et al. The Cancer Genome Atlas Comprehensive Molecular Characterization of Renal Cell Carcinoma. Cell Rep. 2018 Apr 3;23(1):313-326.e5. [PMID: 29617669]</w:t>
      </w:r>
    </w:p>
    <w:p w14:paraId="70BC1FA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Casuscelli J, Becerra MF, Manley BJ, et al. Characterization and Impact of TERT Promoter Region Mutations on Clinical Outcome in Renal Cell Carcinoma. Eur Urol Focus. 2019 Jul;5(4):642-649.[PMID: 28951115].</w:t>
      </w:r>
    </w:p>
    <w:p w14:paraId="2D4D8F3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Pal SK, Sonpavde G, Agarwal N, et al. Evolution of Circulating Tumor DNA Profile from First-line to Subsequent Therapy in Metastatic Renal Cell Carcinoma. Eur Urol. 2017 Oct;72(4):557-564. [PMID: 28413127]</w:t>
      </w:r>
    </w:p>
    <w:p w14:paraId="651A829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 R, Zheng SL, Han M, et al. Germline Mutations in ATM and BRCA1/2 Distinguish Risk for Lethal and Indolent Prostate Cancer and are Associated with Early Age at Death. Eur Urol. 2017 May;71(5):740-747.[PMID: 27989354].</w:t>
      </w:r>
    </w:p>
    <w:p w14:paraId="165A755C">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Castro E, Goh C, Olmos D, et al. Germline BRCA mutations are associated with higher risk of nodal involvement, distant metastasis, and poor survival outcomes in prostate cancer. J Clin Oncol. 2013 May 10;31(14):1748-57. [PMID: 23569316]</w:t>
      </w:r>
    </w:p>
    <w:p w14:paraId="14DF724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C462D78">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Lv SD, Wang HY, Yu XP, et al. Integrative molecular characterization of Chinese prostate cancer specimens. Asian J Androl. 2020 Mar-Apr;22(2):162-168. [PMID: 31134918]</w:t>
      </w:r>
    </w:p>
    <w:p w14:paraId="4D96A1C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Reimers MA, Yip SM, Zhang L, et al. Clinical Outcomes in Cyclin-dependent Kinase 12 Mutant Advanced Prostate Cancer. Eur Urol. 2020 Mar;77(3):333-341. [PMID: 31640893]</w:t>
      </w:r>
    </w:p>
    <w:p w14:paraId="54FBA5C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Nguyen B, Mota JM, Nandakumar S, et al. Pan-cancer Analysis of CDK12 Alterations Identifies a Subset of Prostate Cancers with Distinct Genomic and Clinical Characteristics. Eur Urol. 2020 Nov;78(5):671-679. [PMID: 32317181]</w:t>
      </w:r>
    </w:p>
    <w:p w14:paraId="1E4A499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Sanda MG, Feng Z, Howard DH, et al. Association Between Combined TMPRSS2:ERG and PCA3 RNA Urinary Testing and Detection of Aggressive Prostate Cancer. JAMA Oncol. 2017 Aug 1;3(8):1085-1093.[PMID: 28520829]</w:t>
      </w:r>
    </w:p>
    <w:p w14:paraId="1A6E962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Reig Ò, Marín-Aguilera M, Carrera G, et al. TMPRSS2-ERG in Blood and Docetaxel Resistance in Metastatic Castration-resistant Prostate Cancer. Eur Urol. 2016 Nov;70(5):709-713. [PMID: 26948395]</w:t>
      </w:r>
    </w:p>
    <w:p w14:paraId="0EF04651">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Adams EJ, Karthaus WR, Hoover E, et al. FOXA1 mutations alter pioneering activity, differentiation and prostate cancer phenotypes. Nature. 2019 Jul;571(7765):408-412. [PMID: 31243370]</w:t>
      </w:r>
    </w:p>
    <w:p w14:paraId="78556BC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4C8B7BD7">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Ferraldeschi R, Nava Rodrigues D, Riisnaes R, et al. PTEN protein loss and clinical outcome from castration-resistant prostate cancer treated with abiraterone acetate. Eur Urol. 2015 Apr;67(4):795-802. [PMID: 25454616]</w:t>
      </w:r>
    </w:p>
    <w:p w14:paraId="543992A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Hamid AA, Gray KP, Shaw G, et al. Compound Genomic Alterations of TP53, PTEN, and RB1 Tumor Suppressors in Localized and Metastatic Prostate Cancer. Eur Urol. 2019 Jul;76(1):89-97. [PMID: 30553611].</w:t>
      </w:r>
    </w:p>
    <w:p w14:paraId="060ADFF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Yoshimoto M, Cunha IW, Coudry RA, et al. FISH analysis of 107 prostate cancers shows that PTEN genomic deletion is associated with poor clinical outcome. Br J Cancer. 2007 Sep 3;97(5):678-85. [PMID: 17700571]</w:t>
      </w:r>
    </w:p>
    <w:p w14:paraId="5DEE72AC">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Chen WS, Aggarwal R, Zhang L, et al. Genomic Drivers of Poor Prognosis and Enzalutamide Resistance in Metastatic Castration-resistant Prostate Cancer. Eur Urol. 2019 Nov;76(5):562-571. [PMID: 30928160]</w:t>
      </w:r>
    </w:p>
    <w:p w14:paraId="17E656C8">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Ku SY, Rosario S, Wang Y, et al. Rb1 and Trp53 cooperate to suppress prostate cancer lineage plasticity, metastasis, and antiandrogen resistance. Science. 2017 Jan 6;355(6320):78-83. [PMID: 28059767]</w:t>
      </w:r>
    </w:p>
    <w:p w14:paraId="0B3CD5BF">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Kim PH, Cha EK, Sfakianos JP, et al. Genomic predictors of survival in patients with high-grade urothelial carcinoma of the bladder. Eur Urol. 2015 Feb;67(2):198-201. [PMID: 25092538]</w:t>
      </w:r>
    </w:p>
    <w:p w14:paraId="4C3AD1F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Pietzak EJ, Bagrodia A, Cha EK, et al. Next-generation Sequencing of Nonmuscle Invasive Bladder Cancer Reveals Potential Biomarkers and Rational Therapeutic Targets. Eur Urol. 2017 Dec;72(6):952-959. [PMID: 28583311]</w:t>
      </w:r>
    </w:p>
    <w:p w14:paraId="5890ECE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Yap KL, Kiyotani K, Tamura K,et al. Whole-exome sequencing of muscle-invasive bladder cancer identifies recurrent mutations of UNC5C and prognostic importance of DNA repair gene mutations on survival. Clin Cancer Res. 2014 Dec 15;20(24):6605-17.[ PMID: 25316812]</w:t>
      </w:r>
    </w:p>
    <w:p w14:paraId="541F162F">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Audenet F, Isharwal S, Cha EK, et al. Clonal Relatedness and Mutational Differences between Upper Tract and Bladder Urothelial Carcinoma. Clin Cancer Res. 2019 Feb 1;25(3):967-976.[PMID: 30352907]</w:t>
      </w:r>
    </w:p>
    <w:p w14:paraId="764D390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Nassar AH, Umeton R, Kim J, et al. Mutational Analysis of 472 Urothelial Carcinoma Across Grades and Anatomic Sites. Clin Cancer Res. 2019 Apr 15;25(8):2458-2470. [PMID: 30593515]</w:t>
      </w:r>
    </w:p>
    <w:p w14:paraId="1360775F">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8EA02F8">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Wyatt AW, Azad AA, Volik SV, et al. Genomic Alterations in Cell-Free DNA and Enzalutamide Resistance in Castration-Resistant Prostate Cancer. JAMA Oncol. 2016 Dec 1;2(12):1598-1606.[PMID: 27148695]</w:t>
      </w:r>
    </w:p>
    <w:p w14:paraId="3C2695E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Crona DJ, Whang YE. Androgen Receptor-Dependent and -Independent Mechanisms Involved in Prostate Cancer Therapy Resistance. Cancers (Basel). 2017 Jun 12;9(6):67. [PMID: 28604629]</w:t>
      </w:r>
    </w:p>
    <w:p w14:paraId="0B7A4EC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Balbas MD, Evans MJ, Hosfield DJ, et al. Overcoming mutation-based resistance to antiandrogens with rational drug design. Elife. 2013 Apr 9;2:e00499.[PMID: 23580326]</w:t>
      </w:r>
    </w:p>
    <w:p w14:paraId="21FF594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Lallous N, Volik SV, Awrey S, et al. Functional analysis of androgen receptor mutations that confer anti-androgen resistance identified in circulating cell-free DNA from prostate cancer patients. Genome Biol. 2016 Jan 26;17:10. [PMID: 26813233]</w:t>
      </w:r>
    </w:p>
    <w:p w14:paraId="78CCA35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Zhang P, Gao K, Jin X,et al. Endometrial cancer-associated mutants of SPOP are defective in regulating estrogen receptor-α protein turnover. Cell Death Dis. 2015 Mar 12;6(3):e1687. [PMID: 25766326]</w:t>
      </w:r>
    </w:p>
    <w:p w14:paraId="419CC9B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Ma J, Chang K, Peng J, et al. SPOP promotes ATF2 ubiquitination and degradation to suppress prostate cancer progression. J Exp Clin Cancer Res. 2018 Jul 11;37(1):145. [PMID: 29996942]</w:t>
      </w:r>
    </w:p>
    <w:p w14:paraId="783CA6D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Annala M, Vandekerkhove G, Khalaf D, et al. Circulating Tumor DNA Genomics Correlate with Resistance to Abiraterone and Enzalutamide in Prostate Cancer. Cancer Discov. 2018 Apr;8(4):444-457. [PMID: 29367197]</w:t>
      </w:r>
    </w:p>
    <w:p w14:paraId="71CF49E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Park K, Chen Z, MacDonald TY, et al. Prostate cancer with Paneth cell-like neuroendocrine differentiation has recognizable histomorphology and harbors AURKA gene amplification. Hum Pathol. 2014 Oct;45(10):2136-43. [PMID: 25128228]</w:t>
      </w:r>
    </w:p>
    <w:p w14:paraId="6864AD0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MYCN Transforms Prostate Epithelium to Neuroendocrine Prostate Cancer. Cancer Discov. 2016 Jun;6(6):OF19.[PMID: 27080339]</w:t>
      </w:r>
    </w:p>
    <w:p w14:paraId="00B0104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Mosquera JM, Beltran H, Park K, et al. Concurrent AURKA and MYCN gene amplifications are harbingers of lethal treatment-related neuroendocrine prostate cancer. Neoplasia. 2013 Jan;15(1):1-10. [PMID: 23358695]</w:t>
      </w:r>
    </w:p>
    <w:p w14:paraId="77B16FA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Mu P, Zhang Z, Benelli M, et al. SOX2 promotes lineage plasticity and antiandrogen resistance in TP53- and RB1-deficient prostate cancer. Science. 2017 Jan 6;355(6320):84-88. [PMID: 28059768]</w:t>
      </w:r>
    </w:p>
    <w:p w14:paraId="4EB934A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Davies AH, Beltran H, Zoubeidi A. Cellular plasticity and the neuroendocrine phenotype in prostate cancer. Nat Rev Urol. 2018 May;15(5):271-286. [PMID: 29460922]</w:t>
      </w:r>
    </w:p>
    <w:p w14:paraId="1B63E10D">
      <w:pPr>
        <w:keepNext w:val="0"/>
        <w:keepLines w:val="0"/>
        <w:pageBreakBefore w:val="0"/>
        <w:kinsoku/>
        <w:wordWrap/>
        <w:overflowPunct/>
        <w:topLinePunct w:val="0"/>
        <w:autoSpaceDE/>
        <w:autoSpaceDN/>
        <w:bidi w:val="0"/>
        <w:spacing w:after="63" w:afterLines="20" w:line="216" w:lineRule="auto"/>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val="en-US" w:eastAsia="zh-CN" w:bidi="ar"/>
        </w:rPr>
        <w:t>{% else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AD936E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E16B34A">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5F3A73">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DFDAC7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E12CD0">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5F85E0E">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81D9DE7">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D3A03C9">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0A71BB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16BA7F4">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E6C41A5">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39E4CF6">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D5DE07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99642F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8ADFF9">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175FA99">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6DF74FB">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204880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6BD2E22">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C2F8141">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35CF03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0F5DA96">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153A9E">
      <w:pPr>
        <w:pStyle w:val="18"/>
        <w:keepNext w:val="0"/>
        <w:keepLines w:val="0"/>
        <w:pageBreakBefore w:val="0"/>
        <w:kinsoku/>
        <w:wordWrap/>
        <w:overflowPunct/>
        <w:topLinePunct w:val="0"/>
        <w:autoSpaceDE/>
        <w:autoSpaceDN/>
        <w:bidi w:val="0"/>
        <w:adjustRightInd w:val="0"/>
        <w:snapToGrid w:val="0"/>
        <w:spacing w:after="63" w:afterLines="20" w:line="21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kinsoku/>
        <w:wordWrap/>
        <w:overflowPunct/>
        <w:topLinePunct w:val="0"/>
        <w:autoSpaceDE/>
        <w:autoSpaceDN/>
        <w:bidi w:val="0"/>
        <w:adjustRightInd w:val="0"/>
        <w:snapToGrid w:val="0"/>
        <w:spacing w:after="63" w:afterLines="20" w:line="216"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r>
        <w:rPr>
          <w:rFonts w:hint="eastAsia" w:ascii="Times New Roman" w:hAnsi="Times New Roman" w:eastAsia="微软雅黑" w:cs="Times New Roman"/>
          <w:sz w:val="15"/>
          <w:szCs w:val="15"/>
          <w:lang w:val="en-US" w:eastAsia="zh-CN"/>
        </w:rPr>
        <w:t>{% endif %}</w:t>
      </w:r>
    </w:p>
    <w:sectPr>
      <w:footerReference r:id="rId9" w:type="default"/>
      <w:pgSz w:w="11906" w:h="16838"/>
      <w:pgMar w:top="1037" w:right="1020" w:bottom="981" w:left="1020" w:header="340"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Helvetica">
    <w:altName w:val="Arial"/>
    <w:panose1 w:val="00000000000000000000"/>
    <w:charset w:val="00"/>
    <w:family w:val="swiss"/>
    <w:pitch w:val="default"/>
    <w:sig w:usb0="00000000" w:usb1="00000000" w:usb2="00000000" w:usb3="00000000" w:csb0="2000019F" w:csb1="4F010000"/>
  </w:font>
  <w:font w:name="Arial Unicode MS">
    <w:altName w:val="宋体"/>
    <w:panose1 w:val="020B0604020202020204"/>
    <w:charset w:val="86"/>
    <w:family w:val="swiss"/>
    <w:pitch w:val="default"/>
    <w:sig w:usb0="00000000" w:usb1="00000000" w:usb2="0000003F" w:usb3="00000000" w:csb0="603F01FF" w:csb1="FFFF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59264;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D807E9">
    <w:pPr>
      <w:spacing w:before="138" w:line="192" w:lineRule="auto"/>
      <w:ind w:left="0" w:leftChars="0" w:firstLine="1265" w:firstLineChars="525"/>
      <w:rPr>
        <w:rFonts w:ascii="楷体" w:hAnsi="楷体" w:eastAsia="楷体" w:cs="楷体"/>
        <w:b/>
        <w:bCs/>
        <w:sz w:val="24"/>
        <w:szCs w:val="24"/>
      </w:rPr>
    </w:pPr>
    <w:bookmarkStart w:id="68" w:name="_GoBack"/>
    <w:bookmarkEnd w:id="68"/>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5142865</wp:posOffset>
          </wp:positionH>
          <wp:positionV relativeFrom="paragraph">
            <wp:posOffset>-118745</wp:posOffset>
          </wp:positionV>
          <wp:extent cx="1073150" cy="558800"/>
          <wp:effectExtent l="0" t="0" r="0" b="0"/>
          <wp:wrapTight wrapText="bothSides">
            <wp:wrapPolygon>
              <wp:start x="0" y="0"/>
              <wp:lineTo x="0" y="21207"/>
              <wp:lineTo x="21165" y="21207"/>
              <wp:lineTo x="21165" y="0"/>
              <wp:lineTo x="0" y="0"/>
            </wp:wrapPolygon>
          </wp:wrapTight>
          <wp:docPr id="2" name="图片 2"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AP标识"/>
                  <pic:cNvPicPr>
                    <a:picLocks noChangeAspect="1"/>
                  </pic:cNvPicPr>
                </pic:nvPicPr>
                <pic:blipFill>
                  <a:blip r:embed="rId1"/>
                  <a:srcRect b="13215"/>
                  <a:stretch>
                    <a:fillRect/>
                  </a:stretch>
                </pic:blipFill>
                <pic:spPr>
                  <a:xfrm>
                    <a:off x="0" y="0"/>
                    <a:ext cx="1073150" cy="558800"/>
                  </a:xfrm>
                  <a:prstGeom prst="rect">
                    <a:avLst/>
                  </a:prstGeom>
                </pic:spPr>
              </pic:pic>
            </a:graphicData>
          </a:graphic>
        </wp:anchor>
      </w:drawing>
    </w:r>
    <w:r>
      <w:drawing>
        <wp:anchor distT="0" distB="0" distL="114300" distR="114300" simplePos="0" relativeHeight="251661312" behindDoc="1" locked="0" layoutInCell="1" allowOverlap="1">
          <wp:simplePos x="0" y="0"/>
          <wp:positionH relativeFrom="column">
            <wp:posOffset>12700</wp:posOffset>
          </wp:positionH>
          <wp:positionV relativeFrom="paragraph">
            <wp:posOffset>-113665</wp:posOffset>
          </wp:positionV>
          <wp:extent cx="547370" cy="547370"/>
          <wp:effectExtent l="0" t="0" r="31750" b="31750"/>
          <wp:wrapTight wrapText="bothSides">
            <wp:wrapPolygon>
              <wp:start x="0" y="0"/>
              <wp:lineTo x="0" y="21049"/>
              <wp:lineTo x="21049" y="21049"/>
              <wp:lineTo x="21049" y="0"/>
              <wp:lineTo x="0" y="0"/>
            </wp:wrapPolygon>
          </wp:wrapTight>
          <wp:docPr id="1" name="图片 1"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院标"/>
                  <pic:cNvPicPr>
                    <a:picLocks noChangeAspect="1"/>
                  </pic:cNvPicPr>
                </pic:nvPicPr>
                <pic:blipFill>
                  <a:blip r:embed="rId2"/>
                  <a:stretch>
                    <a:fillRect/>
                  </a:stretch>
                </pic:blipFill>
                <pic:spPr>
                  <a:xfrm>
                    <a:off x="0" y="0"/>
                    <a:ext cx="547370" cy="54737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3DDA6D8">
    <w:pPr>
      <w:pStyle w:val="9"/>
      <w:pBdr>
        <w:bottom w:val="none" w:color="auto" w:sz="0" w:space="1"/>
      </w:pBdr>
      <w:ind w:left="0" w:leftChars="0" w:firstLine="1260" w:firstLineChars="677"/>
      <w:jc w:val="left"/>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59264"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0288"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3916547"/>
    <w:multiLevelType w:val="singleLevel"/>
    <w:tmpl w:val="F3916547"/>
    <w:lvl w:ilvl="0" w:tentative="0">
      <w:start w:val="1"/>
      <w:numFmt w:val="bullet"/>
      <w:lvlText w:val=""/>
      <w:lvlJc w:val="left"/>
      <w:pPr>
        <w:ind w:left="420" w:hanging="420"/>
      </w:pPr>
      <w:rPr>
        <w:rFonts w:hint="default" w:ascii="Wingdings" w:hAnsi="Wingdings"/>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1"/>
  </w:num>
  <w:num w:numId="2">
    <w:abstractNumId w:val="8"/>
  </w:num>
  <w:num w:numId="3">
    <w:abstractNumId w:val="7"/>
  </w:num>
  <w:num w:numId="4">
    <w:abstractNumId w:val="9"/>
  </w:num>
  <w:num w:numId="5">
    <w:abstractNumId w:val="10"/>
  </w:num>
  <w:num w:numId="6">
    <w:abstractNumId w:val="5"/>
  </w:num>
  <w:num w:numId="7">
    <w:abstractNumId w:val="1"/>
  </w:num>
  <w:num w:numId="8">
    <w:abstractNumId w:val="6"/>
  </w:num>
  <w:num w:numId="9">
    <w:abstractNumId w:val="3"/>
  </w:num>
  <w:num w:numId="10">
    <w:abstractNumId w:val="2"/>
  </w:num>
  <w:num w:numId="11">
    <w:abstractNumId w:val="0"/>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992715"/>
    <w:rsid w:val="01D658DA"/>
    <w:rsid w:val="02517CBA"/>
    <w:rsid w:val="03E06E1F"/>
    <w:rsid w:val="05191617"/>
    <w:rsid w:val="0D4E2FA5"/>
    <w:rsid w:val="0D5C636E"/>
    <w:rsid w:val="0F320836"/>
    <w:rsid w:val="10393FAE"/>
    <w:rsid w:val="124A1047"/>
    <w:rsid w:val="12AF5735"/>
    <w:rsid w:val="14206CB7"/>
    <w:rsid w:val="14D412B4"/>
    <w:rsid w:val="16192126"/>
    <w:rsid w:val="176123B1"/>
    <w:rsid w:val="1B9C1403"/>
    <w:rsid w:val="1C170A7F"/>
    <w:rsid w:val="1D647A6D"/>
    <w:rsid w:val="1EB4180B"/>
    <w:rsid w:val="1FCB32AB"/>
    <w:rsid w:val="1FFE0153"/>
    <w:rsid w:val="20343022"/>
    <w:rsid w:val="22BD432B"/>
    <w:rsid w:val="26822E97"/>
    <w:rsid w:val="27935073"/>
    <w:rsid w:val="27C11992"/>
    <w:rsid w:val="291D29FD"/>
    <w:rsid w:val="29A9011D"/>
    <w:rsid w:val="2A4C184E"/>
    <w:rsid w:val="2B76648E"/>
    <w:rsid w:val="2D035FCE"/>
    <w:rsid w:val="2FEC6956"/>
    <w:rsid w:val="33775400"/>
    <w:rsid w:val="346800E7"/>
    <w:rsid w:val="35A5383E"/>
    <w:rsid w:val="39DE55F3"/>
    <w:rsid w:val="39FD7AC0"/>
    <w:rsid w:val="3A1846D0"/>
    <w:rsid w:val="3A8B7AF3"/>
    <w:rsid w:val="3C942B48"/>
    <w:rsid w:val="3C9B7773"/>
    <w:rsid w:val="45BF5ADC"/>
    <w:rsid w:val="45F51780"/>
    <w:rsid w:val="47D71662"/>
    <w:rsid w:val="47FB1302"/>
    <w:rsid w:val="488D0130"/>
    <w:rsid w:val="49C35028"/>
    <w:rsid w:val="4B5C190B"/>
    <w:rsid w:val="4B8B3BFC"/>
    <w:rsid w:val="4D626381"/>
    <w:rsid w:val="4D903FFE"/>
    <w:rsid w:val="4DCE524B"/>
    <w:rsid w:val="5011275F"/>
    <w:rsid w:val="50136F8F"/>
    <w:rsid w:val="505E1082"/>
    <w:rsid w:val="53D17DBD"/>
    <w:rsid w:val="574D1079"/>
    <w:rsid w:val="57911F10"/>
    <w:rsid w:val="57E91301"/>
    <w:rsid w:val="5ADA39FB"/>
    <w:rsid w:val="5B710073"/>
    <w:rsid w:val="5BC1147D"/>
    <w:rsid w:val="5CD251BD"/>
    <w:rsid w:val="60F168FC"/>
    <w:rsid w:val="61AF16FF"/>
    <w:rsid w:val="62E00B42"/>
    <w:rsid w:val="6321538F"/>
    <w:rsid w:val="6321796C"/>
    <w:rsid w:val="66064CBA"/>
    <w:rsid w:val="67AB72BD"/>
    <w:rsid w:val="6AFF0A3C"/>
    <w:rsid w:val="6B230036"/>
    <w:rsid w:val="6B7519B8"/>
    <w:rsid w:val="6B8E6F9E"/>
    <w:rsid w:val="6BCC3834"/>
    <w:rsid w:val="6D60320B"/>
    <w:rsid w:val="6F0C162D"/>
    <w:rsid w:val="6F4D4E57"/>
    <w:rsid w:val="6F6254D4"/>
    <w:rsid w:val="707E0E37"/>
    <w:rsid w:val="7261482B"/>
    <w:rsid w:val="734B0AAB"/>
    <w:rsid w:val="76CECDB4"/>
    <w:rsid w:val="76F27584"/>
    <w:rsid w:val="777546A8"/>
    <w:rsid w:val="77804029"/>
    <w:rsid w:val="78DC32F4"/>
    <w:rsid w:val="7BD35584"/>
    <w:rsid w:val="7C1120EB"/>
    <w:rsid w:val="7D3B6123"/>
    <w:rsid w:val="7D806106"/>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4"/>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7"/>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19"/>
    <w:semiHidden/>
    <w:unhideWhenUsed/>
    <w:qFormat/>
    <w:uiPriority w:val="99"/>
    <w:pPr>
      <w:jc w:val="left"/>
    </w:pPr>
  </w:style>
  <w:style w:type="paragraph" w:styleId="6">
    <w:name w:val="Body Text"/>
    <w:basedOn w:val="1"/>
    <w:link w:val="22"/>
    <w:qFormat/>
    <w:uiPriority w:val="1"/>
    <w:rPr>
      <w:sz w:val="18"/>
      <w:szCs w:val="18"/>
    </w:rPr>
  </w:style>
  <w:style w:type="paragraph" w:styleId="7">
    <w:name w:val="Balloon Text"/>
    <w:basedOn w:val="1"/>
    <w:link w:val="21"/>
    <w:semiHidden/>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annotation subject"/>
    <w:basedOn w:val="5"/>
    <w:next w:val="5"/>
    <w:link w:val="20"/>
    <w:semiHidden/>
    <w:unhideWhenUsed/>
    <w:qFormat/>
    <w:uiPriority w:val="99"/>
    <w:rPr>
      <w:b/>
      <w:bCs/>
    </w:rPr>
  </w:style>
  <w:style w:type="table" w:styleId="12">
    <w:name w:val="Table Grid"/>
    <w:basedOn w:val="11"/>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annotation reference"/>
    <w:basedOn w:val="13"/>
    <w:semiHidden/>
    <w:unhideWhenUsed/>
    <w:qFormat/>
    <w:uiPriority w:val="99"/>
    <w:rPr>
      <w:sz w:val="21"/>
      <w:szCs w:val="21"/>
    </w:rPr>
  </w:style>
  <w:style w:type="character" w:customStyle="1" w:styleId="15">
    <w:name w:val="页眉 字符"/>
    <w:basedOn w:val="13"/>
    <w:link w:val="9"/>
    <w:qFormat/>
    <w:uiPriority w:val="99"/>
    <w:rPr>
      <w:sz w:val="18"/>
      <w:szCs w:val="18"/>
    </w:rPr>
  </w:style>
  <w:style w:type="character" w:customStyle="1" w:styleId="16">
    <w:name w:val="页脚 字符"/>
    <w:basedOn w:val="13"/>
    <w:link w:val="8"/>
    <w:qFormat/>
    <w:uiPriority w:val="99"/>
    <w:rPr>
      <w:sz w:val="18"/>
      <w:szCs w:val="18"/>
    </w:rPr>
  </w:style>
  <w:style w:type="character" w:customStyle="1" w:styleId="17">
    <w:name w:val="标题 2 字符"/>
    <w:basedOn w:val="13"/>
    <w:link w:val="3"/>
    <w:qFormat/>
    <w:uiPriority w:val="9"/>
    <w:rPr>
      <w:rFonts w:asciiTheme="majorHAnsi" w:hAnsiTheme="majorHAnsi" w:eastAsiaTheme="majorEastAsia" w:cstheme="majorBidi"/>
      <w:b/>
      <w:bCs/>
      <w:sz w:val="32"/>
      <w:szCs w:val="32"/>
    </w:rPr>
  </w:style>
  <w:style w:type="paragraph" w:styleId="18">
    <w:name w:val="List Paragraph"/>
    <w:basedOn w:val="1"/>
    <w:qFormat/>
    <w:uiPriority w:val="34"/>
    <w:pPr>
      <w:ind w:firstLine="420" w:firstLineChars="200"/>
    </w:pPr>
  </w:style>
  <w:style w:type="character" w:customStyle="1" w:styleId="19">
    <w:name w:val="批注文字 字符"/>
    <w:basedOn w:val="13"/>
    <w:link w:val="5"/>
    <w:semiHidden/>
    <w:qFormat/>
    <w:uiPriority w:val="99"/>
  </w:style>
  <w:style w:type="character" w:customStyle="1" w:styleId="20">
    <w:name w:val="批注主题 字符"/>
    <w:basedOn w:val="19"/>
    <w:link w:val="10"/>
    <w:semiHidden/>
    <w:qFormat/>
    <w:uiPriority w:val="99"/>
    <w:rPr>
      <w:b/>
      <w:bCs/>
    </w:rPr>
  </w:style>
  <w:style w:type="character" w:customStyle="1" w:styleId="21">
    <w:name w:val="批注框文本 字符"/>
    <w:basedOn w:val="13"/>
    <w:link w:val="7"/>
    <w:semiHidden/>
    <w:qFormat/>
    <w:uiPriority w:val="99"/>
    <w:rPr>
      <w:sz w:val="18"/>
      <w:szCs w:val="18"/>
    </w:rPr>
  </w:style>
  <w:style w:type="character" w:customStyle="1" w:styleId="22">
    <w:name w:val="正文文本 字符"/>
    <w:basedOn w:val="13"/>
    <w:link w:val="6"/>
    <w:qFormat/>
    <w:uiPriority w:val="1"/>
    <w:rPr>
      <w:kern w:val="2"/>
      <w:sz w:val="18"/>
      <w:szCs w:val="18"/>
    </w:rPr>
  </w:style>
  <w:style w:type="table" w:customStyle="1" w:styleId="23">
    <w:name w:val="网格型浅色1"/>
    <w:basedOn w:val="11"/>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4">
    <w:name w:val="列出段落1"/>
    <w:basedOn w:val="1"/>
    <w:qFormat/>
    <w:uiPriority w:val="34"/>
    <w:pPr>
      <w:ind w:firstLine="420" w:firstLineChars="200"/>
    </w:pPr>
  </w:style>
  <w:style w:type="paragraph" w:customStyle="1" w:styleId="25">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6">
    <w:name w:val="Table Paragraph"/>
    <w:basedOn w:val="1"/>
    <w:autoRedefine/>
    <w:qFormat/>
    <w:uiPriority w:val="1"/>
  </w:style>
  <w:style w:type="table" w:customStyle="1" w:styleId="27">
    <w:name w:val="Table Normal1"/>
    <w:autoRedefine/>
    <w:unhideWhenUsed/>
    <w:qFormat/>
    <w:uiPriority w:val="2"/>
    <w:tblPr>
      <w:tblCellMar>
        <w:top w:w="0" w:type="dxa"/>
        <w:left w:w="0" w:type="dxa"/>
        <w:bottom w:w="0" w:type="dxa"/>
        <w:right w:w="0" w:type="dxa"/>
      </w:tblCellMar>
    </w:tblPr>
  </w:style>
  <w:style w:type="paragraph" w:customStyle="1" w:styleId="28">
    <w:name w:val="List Paragraph1"/>
    <w:basedOn w:val="1"/>
    <w:autoRedefine/>
    <w:qFormat/>
    <w:uiPriority w:val="34"/>
    <w:rPr>
      <w:rFonts w:asciiTheme="minorHAnsi" w:hAnsiTheme="minorHAnsi" w:eastAsiaTheme="minorEastAsia" w:cstheme="minorBidi"/>
    </w:rPr>
  </w:style>
  <w:style w:type="character" w:customStyle="1" w:styleId="29">
    <w:name w:val="font21"/>
    <w:basedOn w:val="13"/>
    <w:autoRedefine/>
    <w:qFormat/>
    <w:uiPriority w:val="0"/>
    <w:rPr>
      <w:rFonts w:hint="eastAsia" w:ascii="微软雅黑" w:hAnsi="微软雅黑" w:eastAsia="微软雅黑" w:cs="微软雅黑"/>
      <w:b/>
      <w:bCs/>
      <w:color w:val="FFFFFF"/>
      <w:sz w:val="21"/>
      <w:szCs w:val="21"/>
      <w:u w:val="none"/>
    </w:rPr>
  </w:style>
  <w:style w:type="character" w:customStyle="1" w:styleId="30">
    <w:name w:val="font31"/>
    <w:basedOn w:val="13"/>
    <w:autoRedefine/>
    <w:qFormat/>
    <w:uiPriority w:val="0"/>
    <w:rPr>
      <w:rFonts w:hint="eastAsia" w:ascii="微软雅黑" w:hAnsi="微软雅黑" w:eastAsia="微软雅黑" w:cs="微软雅黑"/>
      <w:b/>
      <w:bCs/>
      <w:color w:val="000000"/>
      <w:sz w:val="21"/>
      <w:szCs w:val="21"/>
      <w:u w:val="none"/>
    </w:rPr>
  </w:style>
  <w:style w:type="character" w:customStyle="1" w:styleId="31">
    <w:name w:val="font101"/>
    <w:basedOn w:val="13"/>
    <w:autoRedefine/>
    <w:qFormat/>
    <w:uiPriority w:val="0"/>
    <w:rPr>
      <w:rFonts w:hint="default" w:ascii="Times New Roman" w:hAnsi="Times New Roman" w:cs="Times New Roman"/>
      <w:b/>
      <w:bCs/>
      <w:color w:val="000000"/>
      <w:sz w:val="21"/>
      <w:szCs w:val="21"/>
      <w:u w:val="none"/>
    </w:rPr>
  </w:style>
  <w:style w:type="character" w:customStyle="1" w:styleId="32">
    <w:name w:val="font61"/>
    <w:basedOn w:val="13"/>
    <w:autoRedefine/>
    <w:qFormat/>
    <w:uiPriority w:val="0"/>
    <w:rPr>
      <w:rFonts w:hint="default" w:ascii="Times New Roman" w:hAnsi="Times New Roman" w:cs="Times New Roman"/>
      <w:color w:val="000000"/>
      <w:sz w:val="21"/>
      <w:szCs w:val="21"/>
      <w:u w:val="none"/>
    </w:rPr>
  </w:style>
  <w:style w:type="paragraph" w:customStyle="1" w:styleId="3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4">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5">
    <w:name w:val="font51"/>
    <w:basedOn w:val="13"/>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26</Pages>
  <Words>6869</Words>
  <Characters>17791</Characters>
  <Lines>37</Lines>
  <Paragraphs>10</Paragraphs>
  <TotalTime>4</TotalTime>
  <ScaleCrop>false</ScaleCrop>
  <LinksUpToDate>false</LinksUpToDate>
  <CharactersWithSpaces>19306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2025-07-16T06:44:48Z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