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1B50D">
      <w:pPr>
        <w:spacing w:after="0"/>
        <w:rPr>
          <w:rFonts w:eastAsia="微软雅黑"/>
          <w:lang w:eastAsia="zh-CN"/>
        </w:rPr>
      </w:pPr>
      <w:r>
        <w:rPr>
          <w:rFonts w:ascii="微软雅黑" w:hAnsi="微软雅黑" w:eastAsia="微软雅黑"/>
          <w:b/>
          <w:color w:val="000000"/>
          <w:sz w:val="36"/>
        </w:rPr>
        <w:t xml:space="preserve"> </w:t>
      </w:r>
      <w:r>
        <w:rPr>
          <w:rFonts w:ascii="微软雅黑" w:hAnsi="微软雅黑" w:eastAsia="微软雅黑"/>
          <w:b/>
          <w:color w:val="000000"/>
          <w:sz w:val="32"/>
        </w:rPr>
        <w:t>样本信息</w:t>
      </w:r>
      <w:r>
        <w:rPr>
          <w:rFonts w:ascii="微软雅黑" w:hAnsi="微软雅黑" w:eastAsia="微软雅黑"/>
          <w:b/>
          <w:color w:val="000000"/>
          <w:sz w:val="36"/>
        </w:rPr>
        <w:t xml:space="preserve"> </w:t>
      </w:r>
      <w:r>
        <w:rPr>
          <w:rFonts w:hint="eastAsia" w:ascii="微软雅黑" w:hAnsi="微软雅黑" w:eastAsia="微软雅黑"/>
          <w:color w:val="000000"/>
          <w:sz w:val="24"/>
          <w:lang w:eastAsia="zh-CN"/>
        </w:rPr>
        <w:t>{{ room }}</w:t>
      </w:r>
    </w:p>
    <w:tbl>
      <w:tblPr>
        <w:tblStyle w:val="32"/>
        <w:tblW w:w="9638" w:type="dxa"/>
        <w:jc w:val="center"/>
        <w:tblLayout w:type="fixed"/>
        <w:tblCellMar>
          <w:top w:w="0" w:type="dxa"/>
          <w:left w:w="108" w:type="dxa"/>
          <w:bottom w:w="0" w:type="dxa"/>
          <w:right w:w="108" w:type="dxa"/>
        </w:tblCellMar>
      </w:tblPr>
      <w:tblGrid>
        <w:gridCol w:w="1213"/>
        <w:gridCol w:w="1848"/>
        <w:gridCol w:w="1296"/>
        <w:gridCol w:w="2021"/>
        <w:gridCol w:w="1231"/>
        <w:gridCol w:w="2029"/>
      </w:tblGrid>
      <w:tr w14:paraId="6D275E77">
        <w:tblPrEx>
          <w:tblCellMar>
            <w:top w:w="0" w:type="dxa"/>
            <w:left w:w="108" w:type="dxa"/>
            <w:bottom w:w="0" w:type="dxa"/>
            <w:right w:w="108" w:type="dxa"/>
          </w:tblCellMar>
        </w:tblPrEx>
        <w:trPr>
          <w:trHeight w:val="760" w:hRule="atLeast"/>
          <w:tblHeader/>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694BACBB">
            <w:pPr>
              <w:spacing w:after="0"/>
              <w:jc w:val="center"/>
              <w:rPr>
                <w:rFonts w:hint="eastAsia" w:ascii="微软雅黑" w:hAnsi="微软雅黑" w:eastAsia="微软雅黑" w:cs="微软雅黑"/>
              </w:rPr>
            </w:pPr>
            <w:r>
              <w:rPr>
                <w:rFonts w:hint="eastAsia" w:ascii="微软雅黑" w:hAnsi="微软雅黑" w:eastAsia="微软雅黑" w:cs="微软雅黑"/>
                <w:sz w:val="24"/>
              </w:rPr>
              <w:t>姓名</w:t>
            </w:r>
          </w:p>
        </w:tc>
        <w:tc>
          <w:tcPr>
            <w:tcW w:w="1848" w:type="dxa"/>
            <w:tcBorders>
              <w:top w:val="single" w:color="000000" w:sz="2" w:space="0"/>
              <w:left w:val="single" w:color="000000" w:sz="2" w:space="0"/>
              <w:bottom w:val="single" w:color="000000" w:sz="2" w:space="0"/>
              <w:right w:val="single" w:color="000000" w:sz="2" w:space="0"/>
            </w:tcBorders>
            <w:vAlign w:val="center"/>
          </w:tcPr>
          <w:p w14:paraId="172E694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client }}</w:t>
            </w:r>
          </w:p>
        </w:tc>
        <w:tc>
          <w:tcPr>
            <w:tcW w:w="1296" w:type="dxa"/>
            <w:tcBorders>
              <w:top w:val="single" w:color="000000" w:sz="2" w:space="0"/>
              <w:left w:val="single" w:color="000000" w:sz="2" w:space="0"/>
              <w:bottom w:val="single" w:color="000000" w:sz="2" w:space="0"/>
              <w:right w:val="single" w:color="000000" w:sz="2" w:space="0"/>
            </w:tcBorders>
            <w:vAlign w:val="center"/>
          </w:tcPr>
          <w:p w14:paraId="6A88F552">
            <w:pPr>
              <w:spacing w:after="0"/>
              <w:jc w:val="center"/>
              <w:rPr>
                <w:rFonts w:hint="eastAsia" w:ascii="微软雅黑" w:hAnsi="微软雅黑" w:eastAsia="微软雅黑" w:cs="微软雅黑"/>
              </w:rPr>
            </w:pPr>
            <w:r>
              <w:rPr>
                <w:rFonts w:hint="eastAsia" w:ascii="微软雅黑" w:hAnsi="微软雅黑" w:eastAsia="微软雅黑" w:cs="微软雅黑"/>
                <w:sz w:val="24"/>
              </w:rPr>
              <w:t>性别</w:t>
            </w:r>
          </w:p>
        </w:tc>
        <w:tc>
          <w:tcPr>
            <w:tcW w:w="2021" w:type="dxa"/>
            <w:tcBorders>
              <w:top w:val="single" w:color="000000" w:sz="2" w:space="0"/>
              <w:left w:val="single" w:color="000000" w:sz="2" w:space="0"/>
              <w:bottom w:val="single" w:color="000000" w:sz="2" w:space="0"/>
              <w:right w:val="single" w:color="000000" w:sz="2" w:space="0"/>
            </w:tcBorders>
            <w:vAlign w:val="center"/>
          </w:tcPr>
          <w:p w14:paraId="23383DA8">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 sex }}</w:t>
            </w:r>
          </w:p>
        </w:tc>
        <w:tc>
          <w:tcPr>
            <w:tcW w:w="1231" w:type="dxa"/>
            <w:tcBorders>
              <w:top w:val="single" w:color="000000" w:sz="2" w:space="0"/>
              <w:left w:val="single" w:color="000000" w:sz="2" w:space="0"/>
              <w:bottom w:val="single" w:color="000000" w:sz="2" w:space="0"/>
              <w:right w:val="single" w:color="000000" w:sz="2" w:space="0"/>
            </w:tcBorders>
            <w:vAlign w:val="center"/>
          </w:tcPr>
          <w:p w14:paraId="3FA21AF7">
            <w:pPr>
              <w:spacing w:after="0"/>
              <w:jc w:val="center"/>
              <w:rPr>
                <w:rFonts w:hint="eastAsia" w:ascii="微软雅黑" w:hAnsi="微软雅黑" w:eastAsia="微软雅黑" w:cs="微软雅黑"/>
              </w:rPr>
            </w:pPr>
            <w:r>
              <w:rPr>
                <w:rFonts w:hint="eastAsia" w:ascii="微软雅黑" w:hAnsi="微软雅黑" w:eastAsia="微软雅黑" w:cs="微软雅黑"/>
                <w:sz w:val="24"/>
              </w:rPr>
              <w:t>年龄</w:t>
            </w:r>
          </w:p>
        </w:tc>
        <w:tc>
          <w:tcPr>
            <w:tcW w:w="2029" w:type="dxa"/>
            <w:tcBorders>
              <w:top w:val="single" w:color="000000" w:sz="2" w:space="0"/>
              <w:left w:val="single" w:color="000000" w:sz="2" w:space="0"/>
              <w:bottom w:val="single" w:color="000000" w:sz="2" w:space="0"/>
              <w:right w:val="single" w:color="000000" w:sz="2" w:space="0"/>
            </w:tcBorders>
            <w:vAlign w:val="center"/>
          </w:tcPr>
          <w:p w14:paraId="48F153C4">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 age }}</w:t>
            </w:r>
          </w:p>
        </w:tc>
      </w:tr>
      <w:tr w14:paraId="5D6B86E7">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1A5FFA63">
            <w:pPr>
              <w:spacing w:after="0"/>
              <w:jc w:val="center"/>
              <w:rPr>
                <w:rFonts w:hint="eastAsia" w:ascii="微软雅黑" w:hAnsi="微软雅黑" w:eastAsia="微软雅黑" w:cs="微软雅黑"/>
              </w:rPr>
            </w:pPr>
            <w:r>
              <w:rPr>
                <w:rFonts w:hint="eastAsia" w:ascii="微软雅黑" w:hAnsi="微软雅黑" w:eastAsia="微软雅黑" w:cs="微软雅黑"/>
                <w:sz w:val="24"/>
              </w:rPr>
              <w:t>住院号</w:t>
            </w:r>
          </w:p>
        </w:tc>
        <w:tc>
          <w:tcPr>
            <w:tcW w:w="1848" w:type="dxa"/>
            <w:tcBorders>
              <w:top w:val="single" w:color="000000" w:sz="2" w:space="0"/>
              <w:left w:val="single" w:color="000000" w:sz="2" w:space="0"/>
              <w:bottom w:val="single" w:color="000000" w:sz="2" w:space="0"/>
              <w:right w:val="single" w:color="000000" w:sz="2" w:space="0"/>
            </w:tcBorders>
            <w:vAlign w:val="center"/>
          </w:tcPr>
          <w:p w14:paraId="6F1564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w:t>
            </w:r>
          </w:p>
        </w:tc>
        <w:tc>
          <w:tcPr>
            <w:tcW w:w="1296" w:type="dxa"/>
            <w:tcBorders>
              <w:top w:val="single" w:color="000000" w:sz="2" w:space="0"/>
              <w:left w:val="single" w:color="000000" w:sz="2" w:space="0"/>
              <w:bottom w:val="single" w:color="000000" w:sz="2" w:space="0"/>
              <w:right w:val="single" w:color="000000" w:sz="2" w:space="0"/>
            </w:tcBorders>
            <w:vAlign w:val="center"/>
          </w:tcPr>
          <w:p w14:paraId="22CBFF6E">
            <w:pPr>
              <w:spacing w:after="0"/>
              <w:jc w:val="center"/>
              <w:rPr>
                <w:rFonts w:hint="eastAsia" w:ascii="微软雅黑" w:hAnsi="微软雅黑" w:eastAsia="微软雅黑" w:cs="微软雅黑"/>
              </w:rPr>
            </w:pPr>
            <w:r>
              <w:rPr>
                <w:rFonts w:hint="eastAsia" w:ascii="微软雅黑" w:hAnsi="微软雅黑" w:eastAsia="微软雅黑" w:cs="微软雅黑"/>
                <w:sz w:val="24"/>
              </w:rPr>
              <w:t>病理号</w:t>
            </w:r>
          </w:p>
        </w:tc>
        <w:tc>
          <w:tcPr>
            <w:tcW w:w="2021" w:type="dxa"/>
            <w:tcBorders>
              <w:top w:val="single" w:color="000000" w:sz="2" w:space="0"/>
              <w:left w:val="single" w:color="000000" w:sz="2" w:space="0"/>
              <w:bottom w:val="single" w:color="000000" w:sz="2" w:space="0"/>
              <w:right w:val="single" w:color="000000" w:sz="2" w:space="0"/>
            </w:tcBorders>
            <w:vAlign w:val="center"/>
          </w:tcPr>
          <w:p w14:paraId="0712E3D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{{specimenno}}</w:t>
            </w:r>
          </w:p>
        </w:tc>
        <w:tc>
          <w:tcPr>
            <w:tcW w:w="1231" w:type="dxa"/>
            <w:tcBorders>
              <w:top w:val="single" w:color="000000" w:sz="2" w:space="0"/>
              <w:left w:val="single" w:color="000000" w:sz="2" w:space="0"/>
              <w:bottom w:val="single" w:color="000000" w:sz="2" w:space="0"/>
              <w:right w:val="single" w:color="000000" w:sz="2" w:space="0"/>
            </w:tcBorders>
            <w:vAlign w:val="center"/>
          </w:tcPr>
          <w:p w14:paraId="7ABAC65A">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送检科室</w:t>
            </w:r>
          </w:p>
        </w:tc>
        <w:tc>
          <w:tcPr>
            <w:tcW w:w="2029" w:type="dxa"/>
            <w:tcBorders>
              <w:top w:val="single" w:color="000000" w:sz="2" w:space="0"/>
              <w:left w:val="single" w:color="000000" w:sz="2" w:space="0"/>
              <w:bottom w:val="single" w:color="000000" w:sz="2" w:space="0"/>
              <w:right w:val="single" w:color="000000" w:sz="2" w:space="0"/>
            </w:tcBorders>
            <w:vAlign w:val="center"/>
          </w:tcPr>
          <w:p w14:paraId="6A586D7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locationname }}</w:t>
            </w:r>
          </w:p>
        </w:tc>
      </w:tr>
      <w:tr w14:paraId="6DD31003">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0123399E">
            <w:pPr>
              <w:spacing w:after="0"/>
              <w:jc w:val="center"/>
              <w:rPr>
                <w:rFonts w:hint="eastAsia" w:ascii="微软雅黑" w:hAnsi="微软雅黑" w:eastAsia="微软雅黑" w:cs="微软雅黑"/>
              </w:rPr>
            </w:pPr>
            <w:r>
              <w:rPr>
                <w:rFonts w:hint="eastAsia" w:ascii="微软雅黑" w:hAnsi="微软雅黑" w:eastAsia="微软雅黑" w:cs="微软雅黑"/>
                <w:sz w:val="24"/>
              </w:rPr>
              <w:t>送检医师</w:t>
            </w:r>
          </w:p>
        </w:tc>
        <w:tc>
          <w:tcPr>
            <w:tcW w:w="1848" w:type="dxa"/>
            <w:tcBorders>
              <w:top w:val="single" w:color="000000" w:sz="2" w:space="0"/>
              <w:left w:val="single" w:color="000000" w:sz="2" w:space="0"/>
              <w:bottom w:val="single" w:color="000000" w:sz="2" w:space="0"/>
              <w:right w:val="single" w:color="000000" w:sz="2" w:space="0"/>
            </w:tcBorders>
            <w:vAlign w:val="center"/>
          </w:tcPr>
          <w:p w14:paraId="3F6612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doctorname }}</w:t>
            </w:r>
          </w:p>
        </w:tc>
        <w:tc>
          <w:tcPr>
            <w:tcW w:w="1296" w:type="dxa"/>
            <w:tcBorders>
              <w:top w:val="single" w:color="000000" w:sz="2" w:space="0"/>
              <w:left w:val="single" w:color="000000" w:sz="2" w:space="0"/>
              <w:bottom w:val="single" w:color="000000" w:sz="2" w:space="0"/>
              <w:right w:val="single" w:color="000000" w:sz="2" w:space="0"/>
            </w:tcBorders>
            <w:vAlign w:val="center"/>
          </w:tcPr>
          <w:p w14:paraId="49EF0939">
            <w:pPr>
              <w:spacing w:after="0"/>
              <w:jc w:val="center"/>
              <w:rPr>
                <w:rFonts w:hint="eastAsia" w:ascii="微软雅黑" w:hAnsi="微软雅黑" w:eastAsia="微软雅黑" w:cs="微软雅黑"/>
              </w:rPr>
            </w:pPr>
            <w:r>
              <w:rPr>
                <w:rFonts w:hint="eastAsia" w:ascii="微软雅黑" w:hAnsi="微软雅黑" w:eastAsia="微软雅黑" w:cs="微软雅黑"/>
                <w:sz w:val="24"/>
              </w:rPr>
              <w:t>联系电话</w:t>
            </w:r>
          </w:p>
        </w:tc>
        <w:tc>
          <w:tcPr>
            <w:tcW w:w="2021" w:type="dxa"/>
            <w:tcBorders>
              <w:top w:val="single" w:color="000000" w:sz="2" w:space="0"/>
              <w:left w:val="single" w:color="000000" w:sz="2" w:space="0"/>
              <w:bottom w:val="single" w:color="000000" w:sz="2" w:space="0"/>
              <w:right w:val="single" w:color="000000" w:sz="2" w:space="0"/>
            </w:tcBorders>
            <w:vAlign w:val="center"/>
          </w:tcPr>
          <w:p w14:paraId="72419995">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patient_phone }}</w:t>
            </w:r>
          </w:p>
        </w:tc>
        <w:tc>
          <w:tcPr>
            <w:tcW w:w="1231" w:type="dxa"/>
            <w:tcBorders>
              <w:top w:val="single" w:color="000000" w:sz="2" w:space="0"/>
              <w:left w:val="single" w:color="000000" w:sz="2" w:space="0"/>
              <w:bottom w:val="single" w:color="000000" w:sz="2" w:space="0"/>
              <w:right w:val="single" w:color="000000" w:sz="2" w:space="0"/>
            </w:tcBorders>
            <w:vAlign w:val="center"/>
          </w:tcPr>
          <w:p w14:paraId="59ADED14">
            <w:pPr>
              <w:spacing w:after="0"/>
              <w:jc w:val="center"/>
              <w:rPr>
                <w:rFonts w:hint="eastAsia" w:ascii="微软雅黑" w:hAnsi="微软雅黑" w:eastAsia="微软雅黑" w:cs="微软雅黑"/>
              </w:rPr>
            </w:pPr>
            <w:r>
              <w:rPr>
                <w:rFonts w:hint="eastAsia" w:ascii="微软雅黑" w:hAnsi="微软雅黑" w:eastAsia="微软雅黑" w:cs="微软雅黑"/>
                <w:sz w:val="24"/>
              </w:rPr>
              <w:t>标本类型</w:t>
            </w:r>
          </w:p>
        </w:tc>
        <w:tc>
          <w:tcPr>
            <w:tcW w:w="2029" w:type="dxa"/>
            <w:tcBorders>
              <w:top w:val="single" w:color="000000" w:sz="2" w:space="0"/>
              <w:left w:val="single" w:color="000000" w:sz="2" w:space="0"/>
              <w:bottom w:val="single" w:color="000000" w:sz="2" w:space="0"/>
              <w:right w:val="single" w:color="000000" w:sz="2" w:space="0"/>
            </w:tcBorders>
            <w:vAlign w:val="center"/>
          </w:tcPr>
          <w:p w14:paraId="006CED2A">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specimentype }}</w:t>
            </w:r>
          </w:p>
        </w:tc>
      </w:tr>
    </w:tbl>
    <w:p w14:paraId="551A464A"/>
    <w:tbl>
      <w:tblPr>
        <w:tblStyle w:val="32"/>
        <w:tblW w:w="0" w:type="auto"/>
        <w:jc w:val="center"/>
        <w:tblLayout w:type="autofit"/>
        <w:tblCellMar>
          <w:top w:w="0" w:type="dxa"/>
          <w:left w:w="108" w:type="dxa"/>
          <w:bottom w:w="0" w:type="dxa"/>
          <w:right w:w="108" w:type="dxa"/>
        </w:tblCellMar>
      </w:tblPr>
      <w:tblGrid>
        <w:gridCol w:w="9632"/>
      </w:tblGrid>
      <w:tr w14:paraId="73D4D957">
        <w:tblPrEx>
          <w:tblCellMar>
            <w:top w:w="0" w:type="dxa"/>
            <w:left w:w="108" w:type="dxa"/>
            <w:bottom w:w="0" w:type="dxa"/>
            <w:right w:w="108" w:type="dxa"/>
          </w:tblCellMar>
        </w:tblPrEx>
        <w:trPr>
          <w:trHeight w:val="454" w:hRule="atLeast"/>
          <w:tblHeader/>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6C076C5B">
            <w:pPr>
              <w:spacing w:after="0"/>
              <w:rPr>
                <w:lang w:eastAsia="zh-CN"/>
              </w:rPr>
            </w:pPr>
            <w:r>
              <w:rPr>
                <w:rFonts w:ascii="微软雅黑" w:hAnsi="微软雅黑" w:eastAsia="微软雅黑"/>
                <w:sz w:val="20"/>
                <w:lang w:eastAsia="zh-CN"/>
              </w:rPr>
              <w:t xml:space="preserve">检测项目: </w:t>
            </w:r>
            <w:r>
              <w:rPr>
                <w:rFonts w:hint="eastAsia" w:ascii="微软雅黑" w:hAnsi="微软雅黑" w:eastAsia="微软雅黑"/>
                <w:b/>
                <w:sz w:val="20"/>
                <w:lang w:eastAsia="zh-CN"/>
              </w:rPr>
              <w:t>BRCA1/2（体系+胚系）基因检测</w:t>
            </w:r>
          </w:p>
        </w:tc>
      </w:tr>
      <w:tr w14:paraId="4B0EA23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47A2C93A">
            <w:pPr>
              <w:spacing w:after="0"/>
              <w:rPr>
                <w:lang w:eastAsia="zh-CN"/>
              </w:rPr>
            </w:pPr>
            <w:r>
              <w:rPr>
                <w:rFonts w:ascii="微软雅黑" w:hAnsi="微软雅黑" w:eastAsia="微软雅黑"/>
                <w:sz w:val="20"/>
                <w:lang w:eastAsia="zh-CN"/>
              </w:rPr>
              <w:t>检测方法：</w:t>
            </w:r>
            <w:r>
              <w:rPr>
                <w:rFonts w:ascii="微软雅黑" w:hAnsi="微软雅黑" w:eastAsia="微软雅黑"/>
                <w:b/>
                <w:sz w:val="20"/>
                <w:lang w:eastAsia="zh-CN"/>
              </w:rPr>
              <w:t>高通量测序法(NGS)</w:t>
            </w:r>
          </w:p>
        </w:tc>
      </w:tr>
      <w:tr w14:paraId="0B767D2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B710FC4">
            <w:pPr>
              <w:spacing w:after="0"/>
              <w:rPr>
                <w:rFonts w:hint="eastAsia" w:ascii="微软雅黑" w:hAnsi="微软雅黑" w:eastAsia="微软雅黑"/>
                <w:sz w:val="20"/>
                <w:lang w:eastAsia="zh-CN"/>
              </w:rPr>
            </w:pPr>
            <w:r>
              <w:rPr>
                <w:rFonts w:ascii="微软雅黑" w:hAnsi="微软雅黑" w:eastAsia="微软雅黑"/>
                <w:sz w:val="20"/>
                <w:lang w:eastAsia="zh-CN"/>
              </w:rPr>
              <w:t>合作检测机构：</w:t>
            </w:r>
            <w:r>
              <w:rPr>
                <w:rFonts w:ascii="微软雅黑" w:hAnsi="微软雅黑" w:eastAsia="微软雅黑"/>
                <w:b/>
                <w:sz w:val="20"/>
                <w:lang w:eastAsia="zh-CN"/>
              </w:rPr>
              <w:t>济南爱新卓尔医学检验实验室</w:t>
            </w:r>
          </w:p>
        </w:tc>
      </w:tr>
      <w:tr w14:paraId="5E0BD0F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BAB84A0">
            <w:pPr>
              <w:spacing w:after="0"/>
              <w:rPr>
                <w:rFonts w:hint="default" w:eastAsia="微软雅黑"/>
                <w:lang w:val="en-US" w:eastAsia="zh-CN"/>
              </w:rPr>
            </w:pPr>
            <w:r>
              <w:rPr>
                <w:rFonts w:ascii="微软雅黑" w:hAnsi="微软雅黑" w:eastAsia="微软雅黑"/>
                <w:sz w:val="20"/>
              </w:rPr>
              <w:t>检测平台：</w:t>
            </w:r>
            <w:r>
              <w:rPr>
                <w:rFonts w:hint="eastAsia" w:ascii="微软雅黑" w:hAnsi="微软雅黑" w:eastAsia="微软雅黑"/>
                <w:b/>
                <w:sz w:val="20"/>
                <w:lang w:val="en-US" w:eastAsia="zh-CN"/>
              </w:rPr>
              <w:t>高通量测序平台</w:t>
            </w:r>
          </w:p>
        </w:tc>
      </w:tr>
      <w:tr w14:paraId="15008BB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65C10E3">
            <w:pPr>
              <w:spacing w:after="0"/>
            </w:pPr>
            <w:r>
              <w:rPr>
                <w:rFonts w:ascii="微软雅黑" w:hAnsi="微软雅黑" w:eastAsia="微软雅黑"/>
                <w:sz w:val="20"/>
              </w:rPr>
              <w:t>参考基因组：</w:t>
            </w:r>
            <w:r>
              <w:rPr>
                <w:rFonts w:ascii="微软雅黑" w:hAnsi="微软雅黑" w:eastAsia="微软雅黑"/>
                <w:b/>
                <w:sz w:val="20"/>
              </w:rPr>
              <w:t>GRCh37/hg19</w:t>
            </w:r>
          </w:p>
        </w:tc>
      </w:tr>
      <w:tr w14:paraId="632BE4A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0FBB3C1">
            <w:pPr>
              <w:spacing w:after="0"/>
              <w:rPr>
                <w:lang w:eastAsia="zh-CN"/>
              </w:rPr>
            </w:pPr>
            <w:r>
              <w:rPr>
                <w:rFonts w:ascii="微软雅黑" w:hAnsi="微软雅黑" w:eastAsia="微软雅黑"/>
                <w:sz w:val="20"/>
                <w:lang w:eastAsia="zh-CN"/>
              </w:rPr>
              <w:t>检测内容：</w:t>
            </w:r>
            <w:r>
              <w:rPr>
                <w:rFonts w:hint="eastAsia" w:ascii="微软雅黑" w:hAnsi="微软雅黑" w:eastAsia="微软雅黑"/>
                <w:b/>
                <w:sz w:val="20"/>
                <w:lang w:eastAsia="zh-CN"/>
              </w:rPr>
              <w:t>本产品对</w:t>
            </w:r>
            <w:r>
              <w:rPr>
                <w:rFonts w:ascii="微软雅黑" w:hAnsi="微软雅黑" w:eastAsia="微软雅黑"/>
                <w:b/>
                <w:sz w:val="20"/>
                <w:lang w:eastAsia="zh-CN"/>
              </w:rPr>
              <w:t>BRCA1/2</w:t>
            </w:r>
            <w:r>
              <w:rPr>
                <w:rFonts w:hint="eastAsia" w:ascii="微软雅黑" w:hAnsi="微软雅黑" w:eastAsia="微软雅黑"/>
                <w:b/>
                <w:sz w:val="20"/>
                <w:lang w:eastAsia="zh-CN"/>
              </w:rPr>
              <w:t>基因全外显子±</w:t>
            </w:r>
            <w:r>
              <w:rPr>
                <w:rFonts w:ascii="微软雅黑" w:hAnsi="微软雅黑" w:eastAsia="微软雅黑"/>
                <w:b/>
                <w:sz w:val="20"/>
                <w:lang w:eastAsia="zh-CN"/>
              </w:rPr>
              <w:t>20 bp</w:t>
            </w:r>
            <w:r>
              <w:rPr>
                <w:rFonts w:hint="eastAsia" w:ascii="微软雅黑" w:hAnsi="微软雅黑" w:eastAsia="微软雅黑"/>
                <w:b/>
                <w:sz w:val="20"/>
                <w:lang w:eastAsia="zh-CN"/>
              </w:rPr>
              <w:t>内含子区域进行高通量测序，检测</w:t>
            </w:r>
            <w:r>
              <w:rPr>
                <w:rFonts w:ascii="微软雅黑" w:hAnsi="微软雅黑" w:eastAsia="微软雅黑"/>
                <w:b/>
                <w:sz w:val="20"/>
                <w:lang w:eastAsia="zh-CN"/>
              </w:rPr>
              <w:t>BRCA1/2</w:t>
            </w:r>
            <w:r>
              <w:rPr>
                <w:rFonts w:hint="eastAsia" w:ascii="微软雅黑" w:hAnsi="微软雅黑" w:eastAsia="微软雅黑"/>
                <w:b/>
                <w:sz w:val="20"/>
                <w:lang w:eastAsia="zh-CN"/>
              </w:rPr>
              <w:t>基因的靶向用药信息和遗传风险，适用于乳腺癌、卵巢癌、宫颈癌、子宫内膜癌、前列腺癌及胰腺癌等癌种。检测突变形式为点突变（</w:t>
            </w:r>
            <w:r>
              <w:rPr>
                <w:rFonts w:ascii="微软雅黑" w:hAnsi="微软雅黑" w:eastAsia="微软雅黑"/>
                <w:b/>
                <w:sz w:val="20"/>
                <w:lang w:eastAsia="zh-CN"/>
              </w:rPr>
              <w:t>SNV</w:t>
            </w:r>
            <w:r>
              <w:rPr>
                <w:rFonts w:hint="eastAsia" w:ascii="微软雅黑" w:hAnsi="微软雅黑" w:eastAsia="微软雅黑"/>
                <w:b/>
                <w:sz w:val="20"/>
                <w:lang w:eastAsia="zh-CN"/>
              </w:rPr>
              <w:t>）、小片段插入缺失（</w:t>
            </w:r>
            <w:r>
              <w:rPr>
                <w:rFonts w:ascii="微软雅黑" w:hAnsi="微软雅黑" w:eastAsia="微软雅黑"/>
                <w:b/>
                <w:sz w:val="20"/>
                <w:lang w:eastAsia="zh-CN"/>
              </w:rPr>
              <w:t>INDEL</w:t>
            </w:r>
            <w:r>
              <w:rPr>
                <w:rFonts w:hint="eastAsia" w:ascii="微软雅黑" w:hAnsi="微软雅黑" w:eastAsia="微软雅黑"/>
                <w:b/>
                <w:sz w:val="20"/>
                <w:lang w:eastAsia="zh-CN"/>
              </w:rPr>
              <w:t>）、</w:t>
            </w:r>
            <w:r>
              <w:rPr>
                <w:rFonts w:hint="eastAsia" w:ascii="微软雅黑" w:hAnsi="微软雅黑" w:eastAsia="微软雅黑"/>
                <w:b/>
                <w:sz w:val="20"/>
                <w:lang w:val="en-US" w:eastAsia="zh-CN"/>
              </w:rPr>
              <w:t>拷贝数变异（CNV）</w:t>
            </w:r>
            <w:r>
              <w:rPr>
                <w:rFonts w:hint="eastAsia" w:ascii="微软雅黑" w:hAnsi="微软雅黑" w:eastAsia="微软雅黑"/>
                <w:b/>
                <w:sz w:val="20"/>
                <w:lang w:eastAsia="zh-CN"/>
              </w:rPr>
              <w:t>。</w:t>
            </w:r>
          </w:p>
        </w:tc>
      </w:tr>
    </w:tbl>
    <w:p w14:paraId="25EED573">
      <w:pPr>
        <w:spacing w:after="0"/>
        <w:jc w:val="both"/>
        <w:rPr>
          <w:lang w:eastAsia="zh-CN"/>
        </w:rPr>
      </w:pPr>
      <w:r>
        <w:rPr>
          <w:rFonts w:ascii="微软雅黑" w:hAnsi="微软雅黑" w:eastAsia="微软雅黑"/>
          <w:b/>
          <w:sz w:val="20"/>
          <w:lang w:eastAsia="zh-CN"/>
        </w:rPr>
        <w:t>备注：本报告仅针对本次送检样本，该检测为该肿瘤患者提供个体化治疗提供依据，仅供临床参考。</w:t>
      </w:r>
    </w:p>
    <w:p w14:paraId="567F51E7">
      <w:pPr>
        <w:rPr>
          <w:lang w:eastAsia="zh-CN"/>
        </w:rPr>
      </w:pPr>
    </w:p>
    <w:p w14:paraId="5D13A2EA">
      <w:pPr>
        <w:rPr>
          <w:lang w:eastAsia="zh-CN"/>
        </w:rPr>
      </w:pPr>
    </w:p>
    <w:tbl>
      <w:tblPr>
        <w:tblStyle w:val="32"/>
        <w:tblpPr w:leftFromText="181" w:rightFromText="181" w:vertAnchor="text" w:horzAnchor="page" w:tblpX="1129" w:tblpY="1"/>
        <w:tblOverlap w:val="never"/>
        <w:tblW w:w="9848" w:type="dxa"/>
        <w:tblInd w:w="0" w:type="dxa"/>
        <w:tblLayout w:type="autofit"/>
        <w:tblCellMar>
          <w:top w:w="0" w:type="dxa"/>
          <w:left w:w="108" w:type="dxa"/>
          <w:bottom w:w="0" w:type="dxa"/>
          <w:right w:w="108" w:type="dxa"/>
        </w:tblCellMar>
      </w:tblPr>
      <w:tblGrid>
        <w:gridCol w:w="1999"/>
        <w:gridCol w:w="2227"/>
        <w:gridCol w:w="1985"/>
        <w:gridCol w:w="3637"/>
      </w:tblGrid>
      <w:tr w14:paraId="2467272A">
        <w:tblPrEx>
          <w:tblCellMar>
            <w:top w:w="0" w:type="dxa"/>
            <w:left w:w="108" w:type="dxa"/>
            <w:bottom w:w="0" w:type="dxa"/>
            <w:right w:w="108" w:type="dxa"/>
          </w:tblCellMar>
        </w:tblPrEx>
        <w:trPr>
          <w:trHeight w:val="454" w:hRule="atLeast"/>
          <w:tblHeader/>
        </w:trPr>
        <w:tc>
          <w:tcPr>
            <w:tcW w:w="1999" w:type="dxa"/>
            <w:vAlign w:val="center"/>
          </w:tcPr>
          <w:p w14:paraId="6D75DC70">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检测者： </w:t>
            </w:r>
          </w:p>
        </w:tc>
        <w:tc>
          <w:tcPr>
            <w:tcW w:w="2227" w:type="dxa"/>
            <w:vAlign w:val="center"/>
          </w:tcPr>
          <w:p w14:paraId="5D96A681">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审核者： </w:t>
            </w:r>
          </w:p>
        </w:tc>
        <w:tc>
          <w:tcPr>
            <w:tcW w:w="1985" w:type="dxa"/>
            <w:vAlign w:val="center"/>
          </w:tcPr>
          <w:p w14:paraId="777E7967">
            <w:pPr>
              <w:spacing w:after="0"/>
              <w:jc w:val="both"/>
              <w:rPr>
                <w:rFonts w:eastAsia="微软雅黑"/>
                <w:sz w:val="18"/>
                <w:szCs w:val="18"/>
                <w:lang w:eastAsia="zh-CN"/>
              </w:rPr>
            </w:pPr>
            <w:r>
              <w:rPr>
                <w:rFonts w:hint="eastAsia" w:ascii="微软雅黑" w:hAnsi="微软雅黑" w:eastAsia="微软雅黑"/>
                <w:b/>
                <w:sz w:val="20"/>
                <w:szCs w:val="18"/>
                <w:lang w:eastAsia="zh-CN"/>
              </w:rPr>
              <w:t>复核者</w:t>
            </w:r>
            <w:r>
              <w:rPr>
                <w:rFonts w:ascii="微软雅黑" w:hAnsi="微软雅黑" w:eastAsia="微软雅黑"/>
                <w:b/>
                <w:sz w:val="20"/>
                <w:szCs w:val="18"/>
              </w:rPr>
              <w:t xml:space="preserve">： </w:t>
            </w:r>
          </w:p>
        </w:tc>
        <w:tc>
          <w:tcPr>
            <w:tcW w:w="3637" w:type="dxa"/>
            <w:vAlign w:val="center"/>
          </w:tcPr>
          <w:p w14:paraId="4A045CC1">
            <w:pPr>
              <w:spacing w:after="0"/>
              <w:jc w:val="center"/>
              <w:rPr>
                <w:sz w:val="18"/>
                <w:szCs w:val="18"/>
                <w:lang w:eastAsia="zh-CN"/>
              </w:rPr>
            </w:pPr>
            <w:r>
              <w:rPr>
                <w:rFonts w:ascii="微软雅黑" w:hAnsi="微软雅黑" w:eastAsia="微软雅黑"/>
                <w:b/>
                <w:sz w:val="20"/>
                <w:szCs w:val="18"/>
              </w:rPr>
              <w:t>报告日期：</w:t>
            </w:r>
            <w:r>
              <w:rPr>
                <w:rFonts w:hint="eastAsia" w:ascii="微软雅黑" w:hAnsi="微软雅黑" w:eastAsia="微软雅黑"/>
                <w:b/>
                <w:sz w:val="20"/>
                <w:szCs w:val="18"/>
              </w:rPr>
              <w:t>{{ reportdate }}</w:t>
            </w:r>
          </w:p>
        </w:tc>
      </w:tr>
    </w:tbl>
    <w:p w14:paraId="6810E9B1">
      <w:pPr>
        <w:sectPr>
          <w:headerReference r:id="rId5" w:type="default"/>
          <w:footerReference r:id="rId6" w:type="default"/>
          <w:pgSz w:w="11900" w:h="16840"/>
          <w:pgMar w:top="1440" w:right="1134" w:bottom="1440" w:left="1134" w:header="720" w:footer="720" w:gutter="0"/>
          <w:cols w:space="720" w:num="1"/>
          <w:docGrid w:linePitch="360" w:charSpace="0"/>
        </w:sectPr>
      </w:pPr>
      <w:r>
        <w:br w:type="page"/>
      </w:r>
    </w:p>
    <w:p w14:paraId="3657D29B">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w:t>
      </w:r>
      <w:r>
        <w:rPr>
          <w:rFonts w:hint="eastAsia" w:ascii="微软雅黑" w:hAnsi="微软雅黑" w:eastAsia="微软雅黑"/>
          <w:b/>
          <w:color w:val="000000"/>
          <w:sz w:val="32"/>
          <w:lang w:val="en-US" w:eastAsia="zh-CN"/>
        </w:rPr>
        <w:t>小结</w:t>
      </w:r>
    </w:p>
    <w:tbl>
      <w:tblPr>
        <w:tblStyle w:val="165"/>
        <w:tblW w:w="988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545"/>
        <w:gridCol w:w="5340"/>
      </w:tblGrid>
      <w:tr w14:paraId="4E33E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5" w:type="dxa"/>
            <w:tcBorders>
              <w:top w:val="nil"/>
              <w:left w:val="nil"/>
              <w:bottom w:val="nil"/>
              <w:right w:val="single" w:color="FFFFFF" w:sz="18" w:space="0"/>
            </w:tcBorders>
            <w:shd w:val="clear" w:color="auto" w:fill="006600"/>
            <w:vAlign w:val="center"/>
          </w:tcPr>
          <w:p w14:paraId="46CCD341">
            <w:pPr>
              <w:widowControl w:val="0"/>
              <w:snapToGrid w:val="0"/>
              <w:spacing w:after="0" w:line="240" w:lineRule="auto"/>
              <w:jc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检测类型</w:t>
            </w:r>
          </w:p>
        </w:tc>
        <w:tc>
          <w:tcPr>
            <w:tcW w:w="5340" w:type="dxa"/>
            <w:tcBorders>
              <w:top w:val="nil"/>
              <w:left w:val="single" w:color="FFFFFF" w:sz="18" w:space="0"/>
              <w:bottom w:val="nil"/>
              <w:right w:val="nil"/>
            </w:tcBorders>
            <w:shd w:val="clear" w:color="auto" w:fill="006600"/>
            <w:vAlign w:val="center"/>
          </w:tcPr>
          <w:p w14:paraId="26939D34">
            <w:pPr>
              <w:widowControl w:val="0"/>
              <w:snapToGrid w:val="0"/>
              <w:spacing w:after="0" w:line="240" w:lineRule="auto"/>
              <w:jc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检测结果</w:t>
            </w:r>
          </w:p>
        </w:tc>
      </w:tr>
      <w:tr w14:paraId="705B6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vAlign w:val="center"/>
          </w:tcPr>
          <w:p w14:paraId="16368D31">
            <w:pPr>
              <w:widowControl w:val="0"/>
              <w:spacing w:after="0" w:line="240" w:lineRule="auto"/>
              <w:ind w:left="57" w:right="57"/>
              <w:jc w:val="both"/>
              <w:rPr>
                <w:rFonts w:ascii="Times New Roman" w:hAnsi="Times New Roman" w:eastAsia="微软雅黑" w:cs="Times New Roman"/>
                <w:b/>
                <w:bCs/>
                <w:sz w:val="21"/>
                <w:szCs w:val="21"/>
                <w:lang w:eastAsia="zh-CN"/>
              </w:rPr>
            </w:pPr>
            <w:r>
              <w:rPr>
                <w:rFonts w:ascii="微软雅黑" w:eastAsia="微软雅黑"/>
                <w:b/>
                <w:bCs/>
                <w:sz w:val="21"/>
                <w:lang w:eastAsia="zh-CN"/>
              </w:rPr>
              <w:t>靶向用药指导</w:t>
            </w:r>
          </w:p>
        </w:tc>
        <w:tc>
          <w:tcPr>
            <w:tcW w:w="5340" w:type="dxa"/>
            <w:tcBorders>
              <w:top w:val="nil"/>
              <w:left w:val="single" w:color="A4A4A4" w:sz="4" w:space="0"/>
              <w:bottom w:val="single" w:color="A4A4A4" w:sz="4" w:space="0"/>
              <w:right w:val="nil"/>
            </w:tcBorders>
            <w:vAlign w:val="center"/>
          </w:tcPr>
          <w:p w14:paraId="25BBF3A7">
            <w:pPr>
              <w:widowControl w:val="0"/>
              <w:spacing w:after="0" w:line="240" w:lineRule="auto"/>
              <w:ind w:left="57" w:right="57"/>
              <w:jc w:val="both"/>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共检出{{ summaryOfRresults.thisGeneticmarkerVwListSize }}个体细胞突变，其中{{ summaryOfRresults.somaticCellMedicationNum}}个与靶向药物相关；</w:t>
            </w:r>
          </w:p>
          <w:p w14:paraId="351D51F6">
            <w:pPr>
              <w:widowControl w:val="0"/>
              <w:spacing w:after="0" w:line="240" w:lineRule="auto"/>
              <w:ind w:left="57" w:right="57"/>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val="0"/>
                <w:bCs w:val="0"/>
                <w:sz w:val="18"/>
                <w:szCs w:val="18"/>
                <w:lang w:eastAsia="zh-CN"/>
              </w:rPr>
              <w:t>共检出{{ summaryOfRresults.crCheckLineStrYF1280Size }}个胚系突变，其中{{summaryOfRresults.crDrugList}}个与靶向药物相关</w:t>
            </w:r>
          </w:p>
        </w:tc>
      </w:tr>
      <w:tr w14:paraId="7A4CB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vAlign w:val="center"/>
          </w:tcPr>
          <w:p w14:paraId="595100D7">
            <w:pPr>
              <w:widowControl w:val="0"/>
              <w:spacing w:after="0" w:line="240" w:lineRule="auto"/>
              <w:ind w:left="57" w:right="57"/>
              <w:jc w:val="both"/>
              <w:rPr>
                <w:rFonts w:ascii="微软雅黑" w:eastAsia="微软雅黑"/>
                <w:b/>
                <w:bCs/>
                <w:sz w:val="21"/>
                <w:lang w:eastAsia="zh-CN"/>
              </w:rPr>
            </w:pPr>
            <w:r>
              <w:rPr>
                <w:rFonts w:hint="eastAsia" w:ascii="微软雅黑" w:eastAsia="微软雅黑"/>
                <w:b/>
                <w:bCs/>
                <w:sz w:val="21"/>
                <w:lang w:eastAsia="zh-CN"/>
              </w:rPr>
              <w:t>肿瘤遗传风险提示</w:t>
            </w:r>
          </w:p>
        </w:tc>
        <w:tc>
          <w:tcPr>
            <w:tcW w:w="5340" w:type="dxa"/>
            <w:tcBorders>
              <w:top w:val="nil"/>
              <w:left w:val="single" w:color="A4A4A4" w:sz="4" w:space="0"/>
              <w:bottom w:val="single" w:color="A4A4A4" w:sz="4" w:space="0"/>
              <w:right w:val="nil"/>
            </w:tcBorders>
            <w:vAlign w:val="center"/>
          </w:tcPr>
          <w:p w14:paraId="229F82C6">
            <w:pPr>
              <w:widowControl w:val="0"/>
              <w:spacing w:after="0" w:line="240" w:lineRule="auto"/>
              <w:ind w:left="57" w:right="57"/>
              <w:jc w:val="both"/>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共检出{{ summaryOfRresults.crCheckLineStrYF1280Size }}个胚系突变，其中{{summaryOfRresults.hasPathogenicityCount}}个为致病/可能致病性突变</w:t>
            </w:r>
          </w:p>
        </w:tc>
      </w:tr>
      <w:tr w14:paraId="0153C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single" w:color="A4A4A4" w:sz="4" w:space="0"/>
              <w:left w:val="nil"/>
              <w:bottom w:val="single" w:color="A4A4A4" w:sz="4" w:space="0"/>
              <w:right w:val="single" w:color="A4A4A4" w:sz="4" w:space="0"/>
            </w:tcBorders>
            <w:vAlign w:val="center"/>
          </w:tcPr>
          <w:p w14:paraId="7319F068">
            <w:pPr>
              <w:widowControl w:val="0"/>
              <w:spacing w:after="0" w:line="240" w:lineRule="auto"/>
              <w:ind w:left="57" w:right="57"/>
              <w:jc w:val="both"/>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样品总体质量评估</w:t>
            </w:r>
          </w:p>
        </w:tc>
        <w:tc>
          <w:tcPr>
            <w:tcW w:w="5340" w:type="dxa"/>
            <w:tcBorders>
              <w:top w:val="single" w:color="A4A4A4" w:sz="4" w:space="0"/>
              <w:left w:val="single" w:color="A4A4A4" w:sz="4" w:space="0"/>
              <w:bottom w:val="single" w:color="A4A4A4" w:sz="4" w:space="0"/>
              <w:right w:val="nil"/>
            </w:tcBorders>
            <w:vAlign w:val="center"/>
          </w:tcPr>
          <w:p w14:paraId="3DC1F77B">
            <w:pPr>
              <w:widowControl w:val="0"/>
              <w:spacing w:after="0" w:line="240" w:lineRule="auto"/>
              <w:ind w:left="57" w:right="57"/>
              <w:jc w:val="both"/>
              <w:rPr>
                <w:rFonts w:ascii="Times New Roman" w:hAnsi="Times New Roman" w:eastAsia="微软雅黑" w:cs="Times New Roman"/>
                <w:sz w:val="21"/>
                <w:szCs w:val="21"/>
              </w:rPr>
            </w:pPr>
            <w:r>
              <w:rPr>
                <w:rFonts w:hint="eastAsia" w:ascii="微软雅黑" w:hAnsi="微软雅黑" w:eastAsia="微软雅黑" w:cs="微软雅黑"/>
                <w:sz w:val="18"/>
                <w:szCs w:val="18"/>
                <w:lang w:eastAsia="zh-CN"/>
              </w:rPr>
              <w:t>{{ overall_quality_assessment }}</w:t>
            </w:r>
          </w:p>
        </w:tc>
      </w:tr>
    </w:tbl>
    <w:p w14:paraId="565E9B97">
      <w:pPr>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br w:type="page"/>
      </w:r>
    </w:p>
    <w:p w14:paraId="30E0E4B4">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检测结果及用药提示</w:t>
      </w:r>
    </w:p>
    <w:p w14:paraId="2A457E0F">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变异</w:t>
      </w:r>
      <w:r>
        <w:rPr>
          <w:rFonts w:hint="eastAsia" w:ascii="微软雅黑" w:hAnsi="微软雅黑" w:eastAsia="微软雅黑"/>
          <w:b/>
          <w:color w:val="000000"/>
          <w:sz w:val="32"/>
          <w:lang w:val="en-US" w:eastAsia="zh-CN"/>
        </w:rPr>
        <w:t>用药</w:t>
      </w:r>
      <w:r>
        <w:rPr>
          <w:rFonts w:hint="eastAsia" w:ascii="微软雅黑" w:hAnsi="微软雅黑" w:eastAsia="微软雅黑"/>
          <w:b/>
          <w:color w:val="000000"/>
          <w:sz w:val="32"/>
          <w:lang w:eastAsia="zh-CN"/>
        </w:rPr>
        <w:t>提示</w:t>
      </w:r>
    </w:p>
    <w:p w14:paraId="7DA90EDE">
      <w:pPr>
        <w:keepNext w:val="0"/>
        <w:keepLines w:val="0"/>
        <w:pageBreakBefore w:val="0"/>
        <w:widowControl/>
        <w:kinsoku/>
        <w:wordWrap/>
        <w:overflowPunct/>
        <w:topLinePunct w:val="0"/>
        <w:autoSpaceDE/>
        <w:autoSpaceDN/>
        <w:bidi w:val="0"/>
        <w:adjustRightInd/>
        <w:snapToGrid/>
        <w:spacing w:before="48" w:beforeLines="20" w:after="120" w:line="240" w:lineRule="auto"/>
        <w:ind w:firstLine="420" w:firstLineChars="200"/>
        <w:textAlignment w:val="auto"/>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共检出{{summaryOfRresults.crCheckLineStrYF1280Size}}个胚系突变，其中{{summaryOfRresults.crDrugList}}个与靶向药物相关。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geneticCancerRiskInfo</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详细</w:t>
      </w:r>
      <w:r>
        <w:rPr>
          <w:rFonts w:ascii="Times New Roman" w:hAnsi="Times New Roman" w:eastAsia="微软雅黑" w:cs="Times New Roman"/>
          <w:b/>
          <w:color w:val="000000" w:themeColor="text1"/>
          <w:sz w:val="21"/>
          <w:szCs w:val="21"/>
          <w:lang w:eastAsia="zh-CN"/>
          <w14:textFill>
            <w14:solidFill>
              <w14:schemeClr w14:val="tx1"/>
            </w14:solidFill>
          </w14:textFill>
        </w:rPr>
        <w:t>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16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2"/>
        <w:gridCol w:w="1051"/>
        <w:gridCol w:w="1490"/>
        <w:gridCol w:w="941"/>
        <w:gridCol w:w="1050"/>
        <w:gridCol w:w="2197"/>
        <w:gridCol w:w="2206"/>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6600"/>
            <w:vAlign w:val="center"/>
          </w:tcPr>
          <w:p w14:paraId="23C3F79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6600"/>
            <w:vAlign w:val="center"/>
          </w:tcPr>
          <w:p w14:paraId="2CE10D9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6600"/>
            <w:vAlign w:val="center"/>
          </w:tcPr>
          <w:p w14:paraId="3CCED36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6600"/>
            <w:vAlign w:val="center"/>
          </w:tcPr>
          <w:p w14:paraId="18775A1A">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6600"/>
            <w:vAlign w:val="center"/>
          </w:tcPr>
          <w:p w14:paraId="79B11F45">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21"/>
                <w:szCs w:val="21"/>
                <w:lang w:eastAsia="zh-CN" w:bidi="ar"/>
              </w:rPr>
            </w:pPr>
            <w:r>
              <w:rPr>
                <w:rFonts w:hint="default" w:ascii="Times New Roman" w:hAnsi="Times New Roman" w:eastAsia="微软雅黑" w:cs="Times New Roman"/>
                <w:b/>
                <w:bCs/>
                <w:color w:val="FFFFFF"/>
                <w:sz w:val="21"/>
                <w:szCs w:val="21"/>
                <w:lang w:eastAsia="zh-CN" w:bidi="ar"/>
              </w:rPr>
              <w:t>变异丰度</w:t>
            </w:r>
          </w:p>
          <w:p w14:paraId="02971776">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21"/>
                <w:szCs w:val="21"/>
                <w:lang w:eastAsia="zh-CN" w:bidi="ar"/>
              </w:rPr>
            </w:pPr>
            <w:r>
              <w:rPr>
                <w:rFonts w:hint="default" w:ascii="Times New Roman" w:hAnsi="Times New Roman" w:eastAsia="微软雅黑" w:cs="Times New Roman"/>
                <w:b/>
                <w:bCs/>
                <w:color w:val="FFFFFF"/>
                <w:sz w:val="21"/>
                <w:szCs w:val="21"/>
                <w:lang w:eastAsia="zh-CN" w:bidi="ar"/>
              </w:rPr>
              <w:t>/拷贝数{% if geneticCancerRiskInfo %}</w:t>
            </w:r>
          </w:p>
          <w:p w14:paraId="56EA6A36">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/杂合/纯合{%</w:t>
            </w:r>
            <w:r>
              <w:rPr>
                <w:rFonts w:hint="eastAsia" w:ascii="Times New Roman" w:hAnsi="Times New Roman" w:eastAsia="微软雅黑" w:cs="Times New Roman"/>
                <w:b/>
                <w:bCs/>
                <w:color w:val="FFFFFF"/>
                <w:sz w:val="21"/>
                <w:szCs w:val="21"/>
                <w:lang w:val="en-US" w:eastAsia="zh-CN" w:bidi="ar"/>
              </w:rPr>
              <w:t xml:space="preserve"> </w:t>
            </w:r>
            <w:r>
              <w:rPr>
                <w:rFonts w:hint="default" w:ascii="Times New Roman" w:hAnsi="Times New Roman" w:eastAsia="微软雅黑" w:cs="Times New Roman"/>
                <w:b/>
                <w:bCs/>
                <w:color w:val="FFFFFF"/>
                <w:sz w:val="21"/>
                <w:szCs w:val="21"/>
                <w:lang w:eastAsia="zh-CN" w:bidi="ar"/>
              </w:rPr>
              <w:t>endif</w:t>
            </w:r>
            <w:r>
              <w:rPr>
                <w:rFonts w:hint="eastAsia" w:ascii="Times New Roman" w:hAnsi="Times New Roman" w:eastAsia="微软雅黑" w:cs="Times New Roman"/>
                <w:b/>
                <w:bCs/>
                <w:color w:val="FFFFFF"/>
                <w:sz w:val="21"/>
                <w:szCs w:val="21"/>
                <w:lang w:val="en-US" w:eastAsia="zh-CN" w:bidi="ar"/>
              </w:rPr>
              <w:t xml:space="preserve"> </w:t>
            </w:r>
            <w:r>
              <w:rPr>
                <w:rFonts w:hint="default" w:ascii="Times New Roman" w:hAnsi="Times New Roman" w:eastAsia="微软雅黑" w:cs="Times New Roman"/>
                <w:b/>
                <w:bCs/>
                <w:color w:val="FFFFFF"/>
                <w:sz w:val="21"/>
                <w:szCs w:val="21"/>
                <w:lang w:eastAsia="zh-CN" w:bidi="ar"/>
              </w:rPr>
              <w:t>%}</w:t>
            </w:r>
          </w:p>
        </w:tc>
        <w:tc>
          <w:tcPr>
            <w:tcW w:w="1118" w:type="pct"/>
            <w:tcBorders>
              <w:top w:val="nil"/>
              <w:left w:val="single" w:color="FFFFFF" w:sz="18" w:space="0"/>
              <w:bottom w:val="nil"/>
              <w:right w:val="single" w:color="FFFFFF" w:sz="18" w:space="0"/>
            </w:tcBorders>
            <w:shd w:val="clear" w:color="auto" w:fill="006600"/>
            <w:vAlign w:val="center"/>
          </w:tcPr>
          <w:p w14:paraId="2A93BA3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6600"/>
            <w:vAlign w:val="center"/>
          </w:tcPr>
          <w:p w14:paraId="2092CC8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{%tr if bodyAndComplexDrugTipLineStr or unknownTipLineStr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embryonalDrugTipLineStr</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p>
        </w:tc>
      </w:tr>
      <w:tr w14:paraId="1EA66C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7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F3D394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{%tr for tip in embryonalDrugTipLineStr %}</w:t>
            </w:r>
          </w:p>
        </w:tc>
      </w:tr>
      <w:tr w14:paraId="1D5E2A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2F24A68">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D68D4D">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A5B0C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A028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AD7C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05CB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0F6F3BA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0E65B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4532B4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7581F1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65"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0F61F4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{%tr endfor %}</w:t>
            </w:r>
          </w:p>
        </w:tc>
      </w:tr>
      <w:tr w14:paraId="1164DF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76"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2D051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for tip in complexDrugTipLineStr %}</w:t>
            </w:r>
          </w:p>
        </w:tc>
      </w:tr>
      <w:tr w14:paraId="29B8A1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D67DDFF">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2D0D41">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tip.comutation1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B0AFA5">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24DF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C1D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6DF7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66C2DF6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7834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2677AC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5F610D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89"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086D2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endfor %}</w:t>
            </w:r>
          </w:p>
        </w:tc>
      </w:tr>
      <w:tr w14:paraId="463686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64"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8B599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4BDF62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1D1BEC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5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1D786F3A">
      <w:pPr>
        <w:widowControl w:val="0"/>
        <w:spacing w:after="0" w:line="240"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注：</w:t>
      </w:r>
    </w:p>
    <w:p w14:paraId="304FD093">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本报告所列举的药物或基因变异并未按照基因或者药物的重要性排序，具体决策需参照临床实际。</w:t>
      </w:r>
    </w:p>
    <w:p w14:paraId="01015C57">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基因变异所对应的可能获益</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耐药药物信息来源于本机构内部数据库，同时参考</w:t>
      </w:r>
      <w:r>
        <w:rPr>
          <w:rFonts w:ascii="Times New Roman" w:hAnsi="Times New Roman" w:eastAsia="微软雅黑" w:cs="Times New Roman"/>
          <w:bCs/>
          <w:sz w:val="18"/>
          <w:szCs w:val="18"/>
          <w:lang w:eastAsia="zh-CN"/>
        </w:rPr>
        <w:t>NCCN</w:t>
      </w:r>
      <w:r>
        <w:rPr>
          <w:rFonts w:hint="eastAsia" w:ascii="Times New Roman" w:hAnsi="Times New Roman" w:eastAsia="微软雅黑" w:cs="Times New Roman"/>
          <w:bCs/>
          <w:sz w:val="18"/>
          <w:szCs w:val="18"/>
          <w:lang w:eastAsia="zh-CN"/>
        </w:rPr>
        <w:t>指南、</w:t>
      </w:r>
      <w:r>
        <w:rPr>
          <w:rFonts w:ascii="Times New Roman" w:hAnsi="Times New Roman" w:eastAsia="微软雅黑" w:cs="Times New Roman"/>
          <w:bCs/>
          <w:sz w:val="18"/>
          <w:szCs w:val="18"/>
          <w:lang w:eastAsia="zh-CN"/>
        </w:rPr>
        <w:t>OncoKB [PMID: 28890946]</w:t>
      </w:r>
      <w:r>
        <w:rPr>
          <w:rFonts w:hint="eastAsia" w:ascii="Times New Roman" w:hAnsi="Times New Roman" w:eastAsia="微软雅黑" w:cs="Times New Roman"/>
          <w:bCs/>
          <w:sz w:val="18"/>
          <w:szCs w:val="18"/>
          <w:lang w:eastAsia="zh-CN"/>
        </w:rPr>
        <w:t>等公共数据库内容，该数据仅供临床医生参考。随着数据库不断完善以及临床数据的更新，变异分级可能发生变化。</w:t>
      </w:r>
    </w:p>
    <w:p w14:paraId="2C402D47">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基因变异按照临床意义的重要性分为四个等级：</w:t>
      </w:r>
      <w:r>
        <w:rPr>
          <w:rFonts w:ascii="Times New Roman" w:hAnsi="Times New Roman" w:eastAsia="微软雅黑" w:cs="Times New Roman"/>
          <w:bCs/>
          <w:sz w:val="18"/>
          <w:szCs w:val="18"/>
          <w:lang w:eastAsia="zh-CN"/>
        </w:rPr>
        <w:t>I</w:t>
      </w:r>
      <w:r>
        <w:rPr>
          <w:rFonts w:hint="eastAsia" w:ascii="Times New Roman" w:hAnsi="Times New Roman" w:eastAsia="微软雅黑" w:cs="Times New Roman"/>
          <w:bCs/>
          <w:sz w:val="18"/>
          <w:szCs w:val="18"/>
          <w:lang w:eastAsia="zh-CN"/>
        </w:rPr>
        <w:t>类变异（具有</w:t>
      </w:r>
      <w:r>
        <w:rPr>
          <w:rFonts w:ascii="Times New Roman" w:hAnsi="Times New Roman" w:eastAsia="微软雅黑" w:cs="Times New Roman"/>
          <w:bCs/>
          <w:sz w:val="18"/>
          <w:szCs w:val="18"/>
          <w:lang w:eastAsia="zh-CN"/>
        </w:rPr>
        <w:t>A</w:t>
      </w:r>
      <w:r>
        <w:rPr>
          <w:rFonts w:hint="eastAsia" w:ascii="Times New Roman" w:hAnsi="Times New Roman" w:eastAsia="微软雅黑" w:cs="Times New Roman"/>
          <w:bCs/>
          <w:sz w:val="18"/>
          <w:szCs w:val="18"/>
          <w:lang w:eastAsia="zh-CN"/>
        </w:rPr>
        <w:t>级或</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lang w:eastAsia="zh-CN"/>
        </w:rPr>
        <w:t>级证据），</w:t>
      </w:r>
      <w:r>
        <w:rPr>
          <w:rFonts w:ascii="Times New Roman" w:hAnsi="Times New Roman" w:eastAsia="微软雅黑" w:cs="Times New Roman"/>
          <w:bCs/>
          <w:sz w:val="18"/>
          <w:szCs w:val="18"/>
          <w:lang w:eastAsia="zh-CN"/>
        </w:rPr>
        <w:t>II</w:t>
      </w:r>
      <w:r>
        <w:rPr>
          <w:rFonts w:hint="eastAsia" w:ascii="Times New Roman" w:hAnsi="Times New Roman" w:eastAsia="微软雅黑" w:cs="Times New Roman"/>
          <w:bCs/>
          <w:sz w:val="18"/>
          <w:szCs w:val="18"/>
          <w:lang w:eastAsia="zh-CN"/>
        </w:rPr>
        <w:t>类变异（具有</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级或</w:t>
      </w:r>
      <w:r>
        <w:rPr>
          <w:rFonts w:ascii="Times New Roman" w:hAnsi="Times New Roman" w:eastAsia="微软雅黑" w:cs="Times New Roman"/>
          <w:bCs/>
          <w:sz w:val="18"/>
          <w:szCs w:val="18"/>
          <w:lang w:eastAsia="zh-CN"/>
        </w:rPr>
        <w:t>D</w:t>
      </w:r>
      <w:r>
        <w:rPr>
          <w:rFonts w:hint="eastAsia" w:ascii="Times New Roman" w:hAnsi="Times New Roman" w:eastAsia="微软雅黑" w:cs="Times New Roman"/>
          <w:bCs/>
          <w:sz w:val="18"/>
          <w:szCs w:val="18"/>
          <w:lang w:eastAsia="zh-CN"/>
        </w:rPr>
        <w:t>级证据），</w:t>
      </w:r>
      <w:r>
        <w:rPr>
          <w:rFonts w:ascii="Times New Roman" w:hAnsi="Times New Roman" w:eastAsia="微软雅黑" w:cs="Times New Roman"/>
          <w:bCs/>
          <w:sz w:val="18"/>
          <w:szCs w:val="18"/>
          <w:lang w:eastAsia="zh-CN"/>
        </w:rPr>
        <w:t>III</w:t>
      </w:r>
      <w:r>
        <w:rPr>
          <w:rFonts w:hint="eastAsia" w:ascii="Times New Roman" w:hAnsi="Times New Roman" w:eastAsia="微软雅黑" w:cs="Times New Roman"/>
          <w:bCs/>
          <w:sz w:val="18"/>
          <w:szCs w:val="18"/>
          <w:lang w:eastAsia="zh-CN"/>
        </w:rPr>
        <w:t>类变异（在出具报告时文献尚未报道、或突变意义已经明确但无相关的靶向用药信息、或突变意义不明但可能存在潜在的临床意义），</w:t>
      </w:r>
      <w:r>
        <w:rPr>
          <w:rFonts w:ascii="Times New Roman" w:hAnsi="Times New Roman" w:eastAsia="微软雅黑" w:cs="Times New Roman"/>
          <w:bCs/>
          <w:sz w:val="18"/>
          <w:szCs w:val="18"/>
          <w:lang w:eastAsia="zh-CN"/>
        </w:rPr>
        <w:t>IV</w:t>
      </w:r>
      <w:r>
        <w:rPr>
          <w:rFonts w:hint="eastAsia" w:ascii="Times New Roman" w:hAnsi="Times New Roman" w:eastAsia="微软雅黑" w:cs="Times New Roman"/>
          <w:bCs/>
          <w:sz w:val="18"/>
          <w:szCs w:val="18"/>
          <w:lang w:eastAsia="zh-CN"/>
        </w:rPr>
        <w:t>类变异（包括良性变异、或疑似良性变异，不在报告中展示）。</w:t>
      </w:r>
    </w:p>
    <w:p w14:paraId="3515D510">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可能获益药物：根据</w:t>
      </w:r>
      <w:r>
        <w:rPr>
          <w:rFonts w:ascii="Times New Roman" w:hAnsi="Times New Roman" w:eastAsia="微软雅黑" w:cs="Times New Roman"/>
          <w:bCs/>
          <w:sz w:val="18"/>
          <w:szCs w:val="18"/>
          <w:lang w:eastAsia="zh-CN"/>
        </w:rPr>
        <w:t>AMP/ASCO/CAP</w:t>
      </w:r>
      <w:r>
        <w:rPr>
          <w:rFonts w:hint="eastAsia" w:ascii="Times New Roman" w:hAnsi="Times New Roman" w:eastAsia="微软雅黑" w:cs="Times New Roman"/>
          <w:bCs/>
          <w:sz w:val="18"/>
          <w:szCs w:val="18"/>
          <w:lang w:eastAsia="zh-CN"/>
        </w:rPr>
        <w:t>相关指南</w:t>
      </w:r>
      <w:r>
        <w:rPr>
          <w:rFonts w:ascii="Times New Roman" w:hAnsi="Times New Roman" w:eastAsia="微软雅黑" w:cs="Times New Roman"/>
          <w:bCs/>
          <w:sz w:val="18"/>
          <w:szCs w:val="18"/>
          <w:lang w:eastAsia="zh-CN"/>
        </w:rPr>
        <w:t>[PMID: 27993330]</w:t>
      </w:r>
      <w:r>
        <w:rPr>
          <w:rFonts w:hint="eastAsia" w:ascii="Times New Roman" w:hAnsi="Times New Roman" w:eastAsia="微软雅黑" w:cs="Times New Roman"/>
          <w:bCs/>
          <w:sz w:val="18"/>
          <w:szCs w:val="18"/>
          <w:lang w:eastAsia="zh-CN"/>
        </w:rPr>
        <w:t>共分为</w:t>
      </w:r>
      <w:r>
        <w:rPr>
          <w:rFonts w:ascii="Times New Roman" w:hAnsi="Times New Roman" w:eastAsia="微软雅黑" w:cs="Times New Roman"/>
          <w:bCs/>
          <w:sz w:val="18"/>
          <w:szCs w:val="18"/>
          <w:lang w:eastAsia="zh-CN"/>
        </w:rPr>
        <w:t>ABCD</w:t>
      </w:r>
      <w:r>
        <w:rPr>
          <w:rFonts w:hint="eastAsia" w:ascii="Times New Roman" w:hAnsi="Times New Roman" w:eastAsia="微软雅黑" w:cs="Times New Roman"/>
          <w:bCs/>
          <w:sz w:val="18"/>
          <w:szCs w:val="18"/>
          <w:lang w:eastAsia="zh-CN"/>
        </w:rPr>
        <w:t>四个等级。</w:t>
      </w:r>
      <w:r>
        <w:rPr>
          <w:rFonts w:ascii="Times New Roman" w:hAnsi="Times New Roman" w:eastAsia="微软雅黑" w:cs="Times New Roman"/>
          <w:bCs/>
          <w:sz w:val="18"/>
          <w:szCs w:val="18"/>
          <w:lang w:eastAsia="zh-CN"/>
        </w:rPr>
        <w:t>A</w:t>
      </w:r>
      <w:r>
        <w:rPr>
          <w:rFonts w:hint="eastAsia" w:ascii="Times New Roman" w:hAnsi="Times New Roman" w:eastAsia="微软雅黑" w:cs="Times New Roman"/>
          <w:bCs/>
          <w:sz w:val="18"/>
          <w:szCs w:val="18"/>
          <w:lang w:eastAsia="zh-CN"/>
        </w:rPr>
        <w:t>级：</w:t>
      </w:r>
      <w:r>
        <w:rPr>
          <w:rFonts w:ascii="Times New Roman" w:hAnsi="Times New Roman" w:eastAsia="微软雅黑" w:cs="Times New Roman"/>
          <w:bCs/>
          <w:sz w:val="18"/>
          <w:szCs w:val="18"/>
          <w:lang w:eastAsia="zh-CN"/>
        </w:rPr>
        <w:t>FDA/NMPA</w:t>
      </w:r>
      <w:r>
        <w:rPr>
          <w:rFonts w:hint="eastAsia" w:ascii="Times New Roman" w:hAnsi="Times New Roman" w:eastAsia="微软雅黑" w:cs="Times New Roman"/>
          <w:bCs/>
          <w:sz w:val="18"/>
          <w:szCs w:val="18"/>
          <w:lang w:eastAsia="zh-CN"/>
        </w:rPr>
        <w:t>已经批准、或专业临床指南推荐在本癌种该靶点上可用的药物；</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lang w:eastAsia="zh-CN"/>
        </w:rPr>
        <w:t>级：较大规模的临床试验证实、且取得临床专家共识在本癌种该靶点可用的药物；</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级：</w:t>
      </w:r>
      <w:r>
        <w:rPr>
          <w:rFonts w:ascii="Times New Roman" w:hAnsi="Times New Roman" w:eastAsia="微软雅黑" w:cs="Times New Roman"/>
          <w:bCs/>
          <w:sz w:val="18"/>
          <w:szCs w:val="18"/>
          <w:lang w:eastAsia="zh-CN"/>
        </w:rPr>
        <w:t>FDA</w:t>
      </w:r>
      <w:r>
        <w:rPr>
          <w:rFonts w:hint="eastAsia" w:ascii="Times New Roman" w:hAnsi="Times New Roman" w:eastAsia="微软雅黑" w:cs="Times New Roman"/>
          <w:bCs/>
          <w:sz w:val="18"/>
          <w:szCs w:val="18"/>
          <w:lang w:eastAsia="zh-CN"/>
        </w:rPr>
        <w:t>或其他专业机构批准于其他癌症类型、或已作为临床试验的筛选入组标准、或者有多个小型研究支持；</w:t>
      </w:r>
      <w:r>
        <w:rPr>
          <w:rFonts w:ascii="Times New Roman" w:hAnsi="Times New Roman" w:eastAsia="微软雅黑" w:cs="Times New Roman"/>
          <w:bCs/>
          <w:sz w:val="18"/>
          <w:szCs w:val="18"/>
          <w:lang w:eastAsia="zh-CN"/>
        </w:rPr>
        <w:t>D</w:t>
      </w:r>
      <w:r>
        <w:rPr>
          <w:rFonts w:hint="eastAsia" w:ascii="Times New Roman" w:hAnsi="Times New Roman" w:eastAsia="微软雅黑" w:cs="Times New Roman"/>
          <w:bCs/>
          <w:sz w:val="18"/>
          <w:szCs w:val="18"/>
          <w:lang w:eastAsia="zh-CN"/>
        </w:rPr>
        <w:t>级：临床前研究、或者是病例报道支持。</w:t>
      </w:r>
    </w:p>
    <w:p w14:paraId="219B84BE">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可能耐药药物：</w:t>
      </w:r>
      <w:r>
        <w:rPr>
          <w:rFonts w:ascii="Times New Roman" w:hAnsi="Times New Roman" w:eastAsia="微软雅黑" w:cs="Times New Roman"/>
          <w:bCs/>
          <w:sz w:val="18"/>
          <w:szCs w:val="18"/>
          <w:lang w:eastAsia="zh-CN"/>
        </w:rPr>
        <w:t>FDA/NMPA</w:t>
      </w:r>
      <w:r>
        <w:rPr>
          <w:rFonts w:hint="eastAsia" w:ascii="Times New Roman" w:hAnsi="Times New Roman" w:eastAsia="微软雅黑" w:cs="Times New Roman"/>
          <w:bCs/>
          <w:sz w:val="18"/>
          <w:szCs w:val="18"/>
          <w:lang w:eastAsia="zh-CN"/>
        </w:rPr>
        <w:t>已经批准的、</w:t>
      </w:r>
      <w:r>
        <w:rPr>
          <w:rFonts w:ascii="Times New Roman" w:hAnsi="Times New Roman" w:eastAsia="微软雅黑" w:cs="Times New Roman"/>
          <w:bCs/>
          <w:sz w:val="18"/>
          <w:szCs w:val="18"/>
          <w:lang w:eastAsia="zh-CN"/>
        </w:rPr>
        <w:t>NCCN</w:t>
      </w:r>
      <w:r>
        <w:rPr>
          <w:rFonts w:hint="eastAsia" w:ascii="Times New Roman" w:hAnsi="Times New Roman" w:eastAsia="微软雅黑" w:cs="Times New Roman"/>
          <w:bCs/>
          <w:sz w:val="18"/>
          <w:szCs w:val="18"/>
          <w:lang w:eastAsia="zh-CN"/>
        </w:rPr>
        <w:t>指南推荐的、临床试验或者临床研究有明确结果的、药物敏感性可能降低或产生耐药的靶向药物。</w:t>
      </w:r>
    </w:p>
    <w:p w14:paraId="66403883">
      <w:pPr>
        <w:widowControl w:val="0"/>
        <w:numPr>
          <w:ilvl w:val="0"/>
          <w:numId w:val="8"/>
        </w:numPr>
        <w:spacing w:after="0" w:line="240" w:lineRule="auto"/>
        <w:rPr>
          <w:rFonts w:ascii="Times New Roman" w:hAnsi="Times New Roman" w:eastAsia="微软雅黑" w:cs="Times New Roman"/>
          <w:sz w:val="18"/>
          <w:szCs w:val="18"/>
          <w:lang w:eastAsia="zh-CN"/>
        </w:rPr>
      </w:pP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表示该位点无相应靶向药物提示。</w:t>
      </w:r>
    </w:p>
    <w:p w14:paraId="48C4E6B9">
      <w:pPr>
        <w:widowControl w:val="0"/>
        <w:numPr>
          <w:ilvl w:val="0"/>
          <w:numId w:val="8"/>
        </w:numPr>
        <w:spacing w:after="0" w:line="240" w:lineRule="auto"/>
        <w:rPr>
          <w:rFonts w:ascii="Times New Roman" w:hAnsi="Times New Roman" w:eastAsia="微软雅黑" w:cs="Times New Roman"/>
          <w:sz w:val="18"/>
          <w:szCs w:val="18"/>
          <w:lang w:eastAsia="zh-CN"/>
        </w:rPr>
      </w:pP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标注的药物：</w:t>
      </w:r>
      <w:r>
        <w:rPr>
          <w:rFonts w:ascii="Times New Roman" w:hAnsi="Times New Roman" w:eastAsia="微软雅黑" w:cs="Times New Roman"/>
          <w:bCs/>
          <w:sz w:val="18"/>
          <w:szCs w:val="18"/>
          <w:lang w:eastAsia="zh-CN"/>
        </w:rPr>
        <w:t>NMPA</w:t>
      </w:r>
      <w:r>
        <w:rPr>
          <w:rFonts w:hint="eastAsia" w:ascii="Times New Roman" w:hAnsi="Times New Roman" w:eastAsia="微软雅黑" w:cs="Times New Roman"/>
          <w:bCs/>
          <w:sz w:val="18"/>
          <w:szCs w:val="18"/>
          <w:lang w:eastAsia="zh-CN"/>
        </w:rPr>
        <w:t>批准的靶向药物。</w:t>
      </w:r>
    </w:p>
    <w:p w14:paraId="44D4235E">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分析注释时采用</w:t>
      </w:r>
      <w:r>
        <w:rPr>
          <w:rFonts w:ascii="Times New Roman" w:hAnsi="Times New Roman" w:eastAsia="微软雅黑" w:cs="Times New Roman"/>
          <w:bCs/>
          <w:sz w:val="18"/>
          <w:szCs w:val="18"/>
          <w:lang w:eastAsia="zh-CN"/>
        </w:rPr>
        <w:t>RefSeq</w:t>
      </w:r>
      <w:r>
        <w:rPr>
          <w:rFonts w:hint="eastAsia" w:ascii="Times New Roman" w:hAnsi="Times New Roman" w:eastAsia="微软雅黑" w:cs="Times New Roman"/>
          <w:bCs/>
          <w:sz w:val="18"/>
          <w:szCs w:val="18"/>
          <w:lang w:eastAsia="zh-CN"/>
        </w:rPr>
        <w:t>转录本编号。</w:t>
      </w:r>
    </w:p>
    <w:p w14:paraId="57BD9065">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变异丰度：在某位点产生突变的等位基因在该位点全部等位基因中所占比率。</w:t>
      </w:r>
    </w:p>
    <w:p w14:paraId="195DB706">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拷贝数：是指某⼀种基因或某⼀段特定的DNA序列在单倍体基因组中出现的数目。</w:t>
      </w:r>
    </w:p>
    <w:p w14:paraId="7CFA2A91">
      <w:pPr>
        <w:widowControl w:val="0"/>
        <w:numPr>
          <w:ilvl w:val="0"/>
          <w:numId w:val="8"/>
        </w:numPr>
        <w:spacing w:after="0" w:line="240"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基因变异检测结果：</w:t>
      </w:r>
      <w:r>
        <w:rPr>
          <w:rFonts w:ascii="Times New Roman" w:hAnsi="Times New Roman" w:eastAsia="微软雅黑" w:cs="Times New Roman"/>
          <w:bCs/>
          <w:sz w:val="18"/>
          <w:szCs w:val="18"/>
          <w:lang w:eastAsia="zh-CN"/>
        </w:rPr>
        <w:t>“NM”</w:t>
      </w:r>
      <w:r>
        <w:rPr>
          <w:rFonts w:hint="eastAsia" w:ascii="Times New Roman" w:hAnsi="Times New Roman" w:eastAsia="微软雅黑" w:cs="Times New Roman"/>
          <w:bCs/>
          <w:sz w:val="18"/>
          <w:szCs w:val="18"/>
          <w:lang w:eastAsia="zh-CN"/>
        </w:rPr>
        <w:t>为基因的转录本编号，</w:t>
      </w:r>
      <w:r>
        <w:rPr>
          <w:rFonts w:ascii="Times New Roman" w:hAnsi="Times New Roman" w:eastAsia="微软雅黑" w:cs="Times New Roman"/>
          <w:bCs/>
          <w:sz w:val="18"/>
          <w:szCs w:val="18"/>
          <w:lang w:eastAsia="zh-CN"/>
        </w:rPr>
        <w:t>“exon”</w:t>
      </w:r>
      <w:r>
        <w:rPr>
          <w:rFonts w:hint="eastAsia" w:ascii="Times New Roman" w:hAnsi="Times New Roman" w:eastAsia="微软雅黑" w:cs="Times New Roman"/>
          <w:bCs/>
          <w:sz w:val="18"/>
          <w:szCs w:val="18"/>
          <w:lang w:eastAsia="zh-CN"/>
        </w:rPr>
        <w:t>为外显子，</w:t>
      </w:r>
      <w:r>
        <w:rPr>
          <w:rFonts w:ascii="Times New Roman" w:hAnsi="Times New Roman" w:eastAsia="微软雅黑" w:cs="Times New Roman"/>
          <w:bCs/>
          <w:sz w:val="18"/>
          <w:szCs w:val="18"/>
          <w:lang w:eastAsia="zh-CN"/>
        </w:rPr>
        <w:t>“intron”</w:t>
      </w:r>
      <w:r>
        <w:rPr>
          <w:rFonts w:hint="eastAsia" w:ascii="Times New Roman" w:hAnsi="Times New Roman" w:eastAsia="微软雅黑" w:cs="Times New Roman"/>
          <w:bCs/>
          <w:sz w:val="18"/>
          <w:szCs w:val="18"/>
          <w:lang w:eastAsia="zh-CN"/>
        </w:rPr>
        <w:t>为内含子，</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为</w:t>
      </w:r>
      <w:r>
        <w:rPr>
          <w:rFonts w:ascii="Times New Roman" w:hAnsi="Times New Roman" w:eastAsia="微软雅黑" w:cs="Times New Roman"/>
          <w:bCs/>
          <w:sz w:val="18"/>
          <w:szCs w:val="18"/>
          <w:lang w:eastAsia="zh-CN"/>
        </w:rPr>
        <w:t>DNA</w:t>
      </w:r>
      <w:r>
        <w:rPr>
          <w:rFonts w:hint="eastAsia" w:ascii="Times New Roman" w:hAnsi="Times New Roman" w:eastAsia="微软雅黑" w:cs="Times New Roman"/>
          <w:bCs/>
          <w:sz w:val="18"/>
          <w:szCs w:val="18"/>
          <w:lang w:eastAsia="zh-CN"/>
        </w:rPr>
        <w:t>序列，</w:t>
      </w:r>
      <w:r>
        <w:rPr>
          <w:rFonts w:ascii="Times New Roman" w:hAnsi="Times New Roman" w:eastAsia="微软雅黑" w:cs="Times New Roman"/>
          <w:bCs/>
          <w:sz w:val="18"/>
          <w:szCs w:val="18"/>
          <w:lang w:eastAsia="zh-CN"/>
        </w:rPr>
        <w:t>“p”</w:t>
      </w:r>
      <w:r>
        <w:rPr>
          <w:rFonts w:hint="eastAsia" w:ascii="Times New Roman" w:hAnsi="Times New Roman" w:eastAsia="微软雅黑" w:cs="Times New Roman"/>
          <w:bCs/>
          <w:sz w:val="18"/>
          <w:szCs w:val="18"/>
          <w:lang w:eastAsia="zh-CN"/>
        </w:rPr>
        <w:t>为蛋白质。在</w:t>
      </w:r>
      <w:r>
        <w:rPr>
          <w:rFonts w:ascii="Times New Roman" w:hAnsi="Times New Roman" w:eastAsia="微软雅黑" w:cs="Times New Roman"/>
          <w:bCs/>
          <w:sz w:val="18"/>
          <w:szCs w:val="18"/>
          <w:lang w:eastAsia="zh-CN"/>
        </w:rPr>
        <w:t>DNA</w:t>
      </w:r>
      <w:r>
        <w:rPr>
          <w:rFonts w:hint="eastAsia" w:ascii="Times New Roman" w:hAnsi="Times New Roman" w:eastAsia="微软雅黑" w:cs="Times New Roman"/>
          <w:bCs/>
          <w:sz w:val="18"/>
          <w:szCs w:val="18"/>
          <w:lang w:eastAsia="zh-CN"/>
        </w:rPr>
        <w:t>水平对某一突变位点的描述方式包括：碱基位点，正常碱基，</w:t>
      </w:r>
      <w:r>
        <w:rPr>
          <w:rFonts w:ascii="Times New Roman" w:hAnsi="Times New Roman" w:eastAsia="微软雅黑" w:cs="Times New Roman"/>
          <w:bCs/>
          <w:sz w:val="18"/>
          <w:szCs w:val="18"/>
          <w:lang w:eastAsia="zh-CN"/>
        </w:rPr>
        <w:t>“&gt;”</w:t>
      </w:r>
      <w:r>
        <w:rPr>
          <w:rFonts w:hint="eastAsia" w:ascii="Times New Roman" w:hAnsi="Times New Roman" w:eastAsia="微软雅黑" w:cs="Times New Roman"/>
          <w:bCs/>
          <w:sz w:val="18"/>
          <w:szCs w:val="18"/>
          <w:lang w:eastAsia="zh-CN"/>
        </w:rPr>
        <w:t>符号，突变碱基。</w:t>
      </w:r>
    </w:p>
    <w:p w14:paraId="03119205">
      <w:pPr>
        <w:keepNext w:val="0"/>
        <w:keepLines w:val="0"/>
        <w:pageBreakBefore w:val="0"/>
        <w:widowControl/>
        <w:kinsoku/>
        <w:wordWrap/>
        <w:overflowPunct/>
        <w:topLinePunct w:val="0"/>
        <w:autoSpaceDE/>
        <w:autoSpaceDN/>
        <w:bidi w:val="0"/>
        <w:adjustRightInd/>
        <w:snapToGrid/>
        <w:spacing w:after="0"/>
        <w:textAlignment w:val="auto"/>
        <w:rPr>
          <w:rFonts w:hint="eastAsia" w:ascii="微软雅黑" w:hAnsi="微软雅黑" w:eastAsia="微软雅黑"/>
          <w:b/>
          <w:color w:val="000000"/>
          <w:sz w:val="21"/>
          <w:szCs w:val="21"/>
          <w:lang w:eastAsia="zh-CN"/>
        </w:rPr>
      </w:pPr>
      <w:bookmarkStart w:id="0" w:name="_Toc20084"/>
      <w:bookmarkStart w:id="1" w:name="_Toc149837259"/>
      <w:bookmarkStart w:id="2" w:name="_Toc27793"/>
      <w:bookmarkStart w:id="3" w:name="_Toc28455"/>
      <w:r>
        <w:rPr>
          <w:rFonts w:hint="eastAsia" w:ascii="微软雅黑" w:hAnsi="微软雅黑" w:eastAsia="微软雅黑"/>
          <w:b/>
          <w:color w:val="000000"/>
          <w:sz w:val="21"/>
          <w:szCs w:val="21"/>
          <w:lang w:eastAsia="zh-CN"/>
        </w:rPr>
        <w:br w:type="page"/>
      </w:r>
    </w:p>
    <w:p w14:paraId="4FE5302E">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胚系变异结果提示</w:t>
      </w:r>
      <w:bookmarkEnd w:id="0"/>
      <w:bookmarkEnd w:id="1"/>
      <w:bookmarkEnd w:id="2"/>
      <w:bookmarkEnd w:id="3"/>
    </w:p>
    <w:p w14:paraId="3C05E22E">
      <w:pPr>
        <w:widowControl w:val="0"/>
        <w:spacing w:before="120" w:beforeLines="50" w:after="120" w:afterLines="5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0941218">
      <w:pPr>
        <w:widowControl w:val="0"/>
        <w:spacing w:before="120" w:beforeLines="50" w:after="240" w:line="240" w:lineRule="auto"/>
        <w:ind w:firstLine="420" w:firstLineChars="200"/>
        <w:rPr>
          <w:rFonts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16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7D138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6600"/>
            <w:vAlign w:val="center"/>
          </w:tcPr>
          <w:p w14:paraId="4D3C5139">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6600"/>
            <w:vAlign w:val="center"/>
          </w:tcPr>
          <w:p w14:paraId="1369D95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6600"/>
            <w:vAlign w:val="center"/>
          </w:tcPr>
          <w:p w14:paraId="2EF37030">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6600"/>
            <w:vAlign w:val="center"/>
          </w:tcPr>
          <w:p w14:paraId="11850D51">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6600"/>
            <w:vAlign w:val="center"/>
          </w:tcPr>
          <w:p w14:paraId="24576CE3">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6600"/>
            <w:vAlign w:val="center"/>
          </w:tcPr>
          <w:p w14:paraId="7AEB07C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6600"/>
            <w:vAlign w:val="center"/>
          </w:tcPr>
          <w:p w14:paraId="789743E4">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6600"/>
            <w:vAlign w:val="center"/>
          </w:tcPr>
          <w:p w14:paraId="6ED1F6A2">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617100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76C0C3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crCheckLineStrYF1280 != [] %}</w:t>
            </w:r>
          </w:p>
        </w:tc>
      </w:tr>
      <w:tr w14:paraId="248BDC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0B2ADB0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cr in crCheckLineStrYF1280 %}</w:t>
            </w:r>
          </w:p>
        </w:tc>
      </w:tr>
      <w:tr w14:paraId="62B105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34A5BEC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cr.Gene }}</w:t>
            </w:r>
          </w:p>
        </w:tc>
        <w:tc>
          <w:tcPr>
            <w:tcW w:w="789" w:type="dxa"/>
            <w:tcBorders>
              <w:top w:val="nil"/>
            </w:tcBorders>
            <w:shd w:val="clear" w:color="auto" w:fill="auto"/>
            <w:vAlign w:val="center"/>
          </w:tcPr>
          <w:p w14:paraId="652052C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cr.Chr }}</w:t>
            </w:r>
          </w:p>
        </w:tc>
        <w:tc>
          <w:tcPr>
            <w:tcW w:w="1687" w:type="dxa"/>
            <w:tcBorders>
              <w:top w:val="nil"/>
            </w:tcBorders>
            <w:shd w:val="clear" w:color="auto" w:fill="auto"/>
            <w:vAlign w:val="center"/>
          </w:tcPr>
          <w:p w14:paraId="2D47AA4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cr</w:t>
            </w:r>
            <w:r>
              <w:rPr>
                <w:rFonts w:hint="default" w:ascii="Times New Roman" w:hAnsi="Times New Roman" w:eastAsia="微软雅黑" w:cs="Times New Roman"/>
                <w:sz w:val="18"/>
                <w:szCs w:val="18"/>
                <w:lang w:eastAsia="zh-CN"/>
              </w:rPr>
              <w:t>.ori_variant }}</w:t>
            </w:r>
          </w:p>
        </w:tc>
        <w:tc>
          <w:tcPr>
            <w:tcW w:w="953" w:type="dxa"/>
            <w:tcBorders>
              <w:top w:val="nil"/>
            </w:tcBorders>
            <w:shd w:val="clear" w:color="auto" w:fill="auto"/>
            <w:vAlign w:val="center"/>
          </w:tcPr>
          <w:p w14:paraId="2B5791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cr.ExonicFunc }}</w:t>
            </w:r>
          </w:p>
        </w:tc>
        <w:tc>
          <w:tcPr>
            <w:tcW w:w="960" w:type="dxa"/>
            <w:tcBorders>
              <w:top w:val="nil"/>
            </w:tcBorders>
            <w:shd w:val="clear" w:color="auto" w:fill="auto"/>
            <w:vAlign w:val="center"/>
          </w:tcPr>
          <w:p w14:paraId="4F27226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cr.Zygosity }}</w:t>
            </w:r>
          </w:p>
        </w:tc>
        <w:tc>
          <w:tcPr>
            <w:tcW w:w="947" w:type="dxa"/>
            <w:tcBorders>
              <w:top w:val="nil"/>
            </w:tcBorders>
            <w:shd w:val="clear" w:color="auto" w:fill="auto"/>
            <w:vAlign w:val="center"/>
          </w:tcPr>
          <w:p w14:paraId="741C41C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cr.c1000g2015aug_all }}</w:t>
            </w:r>
          </w:p>
        </w:tc>
        <w:tc>
          <w:tcPr>
            <w:tcW w:w="1606" w:type="dxa"/>
            <w:tcBorders>
              <w:top w:val="nil"/>
            </w:tcBorders>
            <w:shd w:val="clear" w:color="auto" w:fill="auto"/>
            <w:vAlign w:val="center"/>
          </w:tcPr>
          <w:p w14:paraId="6114909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cr.Clinical_significance }}</w:t>
            </w:r>
          </w:p>
        </w:tc>
        <w:tc>
          <w:tcPr>
            <w:tcW w:w="1919" w:type="dxa"/>
            <w:tcBorders>
              <w:top w:val="nil"/>
            </w:tcBorders>
            <w:shd w:val="clear" w:color="auto" w:fill="auto"/>
            <w:vAlign w:val="center"/>
          </w:tcPr>
          <w:p w14:paraId="40B71FEC">
            <w:pPr>
              <w:keepNext w:val="0"/>
              <w:keepLines w:val="0"/>
              <w:pageBreakBefore w:val="0"/>
              <w:widowControl/>
              <w:kinsoku/>
              <w:wordWrap/>
              <w:overflowPunct/>
              <w:topLinePunct w:val="0"/>
              <w:autoSpaceDE/>
              <w:autoSpaceDN/>
              <w:bidi w:val="0"/>
              <w:adjustRightInd/>
              <w:snapToGrid/>
              <w:spacing w:after="0" w:line="240" w:lineRule="auto"/>
              <w:ind w:left="66" w:leftChars="30" w:right="66" w:rightChars="30"/>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{{cr.cr_tumors}}</w:t>
            </w:r>
          </w:p>
        </w:tc>
      </w:tr>
      <w:tr w14:paraId="487BBF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5FA355C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3105DD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1FC09FE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151226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649D76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w:t>
            </w:r>
          </w:p>
        </w:tc>
        <w:tc>
          <w:tcPr>
            <w:tcW w:w="789" w:type="dxa"/>
            <w:tcBorders>
              <w:top w:val="nil"/>
            </w:tcBorders>
            <w:shd w:val="clear" w:color="auto" w:fill="auto"/>
            <w:vAlign w:val="center"/>
          </w:tcPr>
          <w:p w14:paraId="7FC635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87" w:type="dxa"/>
            <w:tcBorders>
              <w:top w:val="nil"/>
            </w:tcBorders>
            <w:shd w:val="clear" w:color="auto" w:fill="auto"/>
            <w:vAlign w:val="center"/>
          </w:tcPr>
          <w:p w14:paraId="1105095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53" w:type="dxa"/>
            <w:tcBorders>
              <w:top w:val="nil"/>
            </w:tcBorders>
            <w:shd w:val="clear" w:color="auto" w:fill="auto"/>
            <w:vAlign w:val="center"/>
          </w:tcPr>
          <w:p w14:paraId="21913DD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60" w:type="dxa"/>
            <w:tcBorders>
              <w:top w:val="nil"/>
            </w:tcBorders>
            <w:shd w:val="clear" w:color="auto" w:fill="auto"/>
            <w:vAlign w:val="center"/>
          </w:tcPr>
          <w:p w14:paraId="37B2A8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47" w:type="dxa"/>
            <w:tcBorders>
              <w:top w:val="nil"/>
            </w:tcBorders>
            <w:shd w:val="clear" w:color="auto" w:fill="auto"/>
            <w:vAlign w:val="center"/>
          </w:tcPr>
          <w:p w14:paraId="0746FE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06" w:type="dxa"/>
            <w:tcBorders>
              <w:top w:val="nil"/>
            </w:tcBorders>
            <w:shd w:val="clear" w:color="auto" w:fill="auto"/>
            <w:vAlign w:val="center"/>
          </w:tcPr>
          <w:p w14:paraId="1F59CC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919" w:type="dxa"/>
            <w:tcBorders>
              <w:top w:val="nil"/>
            </w:tcBorders>
            <w:shd w:val="clear" w:color="auto" w:fill="auto"/>
            <w:vAlign w:val="center"/>
          </w:tcPr>
          <w:p w14:paraId="195787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w:t>
            </w:r>
          </w:p>
        </w:tc>
      </w:tr>
      <w:tr w14:paraId="6D8ABF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2E7DA7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25D06C22">
      <w:pPr>
        <w:widowControl w:val="0"/>
        <w:spacing w:before="47" w:after="0" w:line="240" w:lineRule="auto"/>
        <w:rPr>
          <w:rFonts w:ascii="Times New Roman" w:hAnsi="Times New Roman" w:eastAsia="微软雅黑" w:cs="Times New Roman"/>
          <w:b/>
          <w:bCs/>
          <w:sz w:val="15"/>
          <w:szCs w:val="15"/>
          <w:lang w:eastAsia="zh-CN"/>
        </w:rPr>
      </w:pPr>
      <w:r>
        <w:rPr>
          <w:rFonts w:hint="eastAsia" w:ascii="Times New Roman" w:hAnsi="Times New Roman" w:eastAsia="微软雅黑" w:cs="Times New Roman"/>
          <w:b/>
          <w:bCs/>
          <w:sz w:val="15"/>
          <w:szCs w:val="15"/>
          <w:lang w:eastAsia="zh-CN"/>
        </w:rPr>
        <w:t>注：</w:t>
      </w:r>
    </w:p>
    <w:p w14:paraId="43FA2A6C">
      <w:pPr>
        <w:widowControl w:val="0"/>
        <w:numPr>
          <w:ilvl w:val="0"/>
          <w:numId w:val="9"/>
        </w:numPr>
        <w:spacing w:after="0" w:line="240" w:lineRule="auto"/>
        <w:ind w:left="425" w:leftChars="0" w:hanging="425" w:firstLineChars="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根据美国医学遗传医师学会（</w:t>
      </w:r>
      <w:r>
        <w:rPr>
          <w:rFonts w:ascii="Times New Roman" w:hAnsi="Times New Roman" w:eastAsia="微软雅黑" w:cs="Times New Roman"/>
          <w:bCs/>
          <w:sz w:val="18"/>
          <w:szCs w:val="18"/>
          <w:lang w:eastAsia="zh-CN"/>
        </w:rPr>
        <w:t>ACMG</w:t>
      </w:r>
      <w:r>
        <w:rPr>
          <w:rFonts w:hint="eastAsia" w:ascii="Times New Roman" w:hAnsi="Times New Roman" w:eastAsia="微软雅黑" w:cs="Times New Roman"/>
          <w:bCs/>
          <w:sz w:val="18"/>
          <w:szCs w:val="18"/>
          <w:lang w:eastAsia="zh-CN"/>
        </w:rPr>
        <w:t>）指导意见，个体携带的变异，分为</w:t>
      </w:r>
      <w:r>
        <w:rPr>
          <w:rFonts w:ascii="Times New Roman" w:hAnsi="Times New Roman" w:eastAsia="微软雅黑" w:cs="Times New Roman"/>
          <w:bCs/>
          <w:sz w:val="18"/>
          <w:szCs w:val="18"/>
          <w:lang w:eastAsia="zh-CN"/>
        </w:rPr>
        <w:t>5</w:t>
      </w:r>
      <w:r>
        <w:rPr>
          <w:rFonts w:hint="eastAsia" w:ascii="Times New Roman" w:hAnsi="Times New Roman" w:eastAsia="微软雅黑" w:cs="Times New Roman"/>
          <w:bCs/>
          <w:sz w:val="18"/>
          <w:szCs w:val="18"/>
          <w:lang w:eastAsia="zh-CN"/>
        </w:rPr>
        <w:t>个大类：</w:t>
      </w:r>
    </w:p>
    <w:p w14:paraId="76FAF457">
      <w:pPr>
        <w:widowControl w:val="0"/>
        <w:numPr>
          <w:ilvl w:val="0"/>
          <w:numId w:val="10"/>
        </w:numPr>
        <w:spacing w:after="0" w:line="240" w:lineRule="auto"/>
        <w:ind w:left="660" w:leftChars="0" w:hanging="440" w:firstLineChars="0"/>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bCs/>
          <w:sz w:val="18"/>
          <w:szCs w:val="18"/>
          <w:lang w:eastAsia="zh-CN"/>
        </w:rPr>
        <w:t>致病性变异：有大量证据表明这种变异是高风险的致病性变异。</w:t>
      </w:r>
    </w:p>
    <w:p w14:paraId="09E45B7D">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可能致病性变异：有一些证据表明这种变异是高风险的致病性变异。</w:t>
      </w:r>
    </w:p>
    <w:p w14:paraId="6D13DEDE">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不确定性变异：没有足够的证据，将变异分类到其他四类中。</w:t>
      </w:r>
    </w:p>
    <w:p w14:paraId="2C29248F">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可能良性变异：有一些证据表明这种变异不是高风险的致病变异。</w:t>
      </w:r>
    </w:p>
    <w:p w14:paraId="05E9DA4E">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良性变异：有大量证据表明这种变异不是高风险的致病变异。</w:t>
      </w:r>
    </w:p>
    <w:p w14:paraId="23D46008">
      <w:pPr>
        <w:widowControl w:val="0"/>
        <w:numPr>
          <w:ilvl w:val="0"/>
          <w:numId w:val="9"/>
        </w:numPr>
        <w:spacing w:after="0" w:line="240" w:lineRule="auto"/>
        <w:ind w:left="425" w:leftChars="0" w:hanging="425"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基因变异临床意义等级来源于ACMG指南及Clinvar等公共数据库，随着相关指南、数据库不断完善以及临床数据的更新，变异分级可能发生变化。</w:t>
      </w:r>
    </w:p>
    <w:p w14:paraId="14A79170">
      <w:pPr>
        <w:widowControl w:val="0"/>
        <w:numPr>
          <w:ilvl w:val="0"/>
          <w:numId w:val="9"/>
        </w:numPr>
        <w:spacing w:after="0" w:line="240" w:lineRule="auto"/>
        <w:ind w:left="425" w:leftChars="0" w:hanging="425"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良性变异和可能良性变异不在报告中展示。</w:t>
      </w:r>
    </w:p>
    <w:p w14:paraId="4DC6E69D">
      <w:pPr>
        <w:keepNext w:val="0"/>
        <w:keepLines w:val="0"/>
        <w:pageBreakBefore w:val="0"/>
        <w:widowControl/>
        <w:kinsoku/>
        <w:wordWrap/>
        <w:overflowPunct/>
        <w:topLinePunct w:val="0"/>
        <w:autoSpaceDE/>
        <w:autoSpaceDN/>
        <w:bidi w:val="0"/>
        <w:adjustRightInd/>
        <w:snapToGrid/>
        <w:spacing w:after="0"/>
        <w:textAlignment w:val="auto"/>
        <w:rPr>
          <w:rFonts w:eastAsia="宋体"/>
          <w:lang w:eastAsia="zh-CN"/>
        </w:rPr>
      </w:pPr>
      <w:r>
        <w:rPr>
          <w:rFonts w:eastAsia="宋体"/>
          <w:lang w:eastAsia="zh-CN"/>
        </w:rPr>
        <w:br w:type="page"/>
      </w:r>
    </w:p>
    <w:p w14:paraId="1BB0F3D8">
      <w:pPr>
        <w:keepNext w:val="0"/>
        <w:keepLines w:val="0"/>
        <w:pageBreakBefore w:val="0"/>
        <w:widowControl/>
        <w:kinsoku/>
        <w:wordWrap/>
        <w:overflowPunct/>
        <w:topLinePunct w:val="0"/>
        <w:autoSpaceDE/>
        <w:autoSpaceDN/>
        <w:bidi w:val="0"/>
        <w:adjustRightInd/>
        <w:snapToGrid/>
        <w:spacing w:after="0"/>
        <w:textAlignment w:val="auto"/>
        <w:rPr>
          <w:rFonts w:eastAsia="宋体"/>
          <w:lang w:eastAsia="zh-CN"/>
        </w:rPr>
      </w:pPr>
      <w:r>
        <w:rPr>
          <w:rFonts w:hint="eastAsia" w:ascii="Times New Roman" w:hAnsi="Times New Roman" w:eastAsia="微软雅黑" w:cs="Times New Roman"/>
          <w:sz w:val="24"/>
          <w:szCs w:val="24"/>
          <w:lang w:eastAsia="zh-CN"/>
        </w:rPr>
        <w:t>{%if BodyDrugDrugDetectionStr or geneticCancerRiskInfo %}</w:t>
      </w:r>
    </w:p>
    <w:p w14:paraId="79D881EB">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检测结果详细解析</w:t>
      </w:r>
    </w:p>
    <w:p w14:paraId="6F01088D">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BodyDrugDrugDetectionStr %}</w:t>
      </w:r>
    </w:p>
    <w:p w14:paraId="7C54423D">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1"/>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4" w:name="_Toc27011"/>
      <w:bookmarkStart w:id="5" w:name="_Toc3250"/>
      <w:bookmarkStart w:id="6" w:name="_Toc18974"/>
      <w:bookmarkStart w:id="7" w:name="_Toc149837264"/>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体细胞变异结果解析</w:t>
      </w:r>
      <w:bookmarkEnd w:id="4"/>
      <w:bookmarkEnd w:id="5"/>
      <w:bookmarkEnd w:id="6"/>
    </w:p>
    <w:p w14:paraId="372AEC34">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00251A04">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62"/>
        <w:gridCol w:w="8408"/>
      </w:tblGrid>
      <w:tr w14:paraId="4F0BB8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tcBorders>
              <w:top w:val="nil"/>
              <w:left w:val="nil"/>
              <w:bottom w:val="single" w:color="FFFFFF" w:sz="18" w:space="0"/>
              <w:right w:val="nil"/>
            </w:tcBorders>
            <w:shd w:val="clear" w:color="auto" w:fill="006600"/>
            <w:vAlign w:val="center"/>
          </w:tcPr>
          <w:p w14:paraId="54D29C3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08" w:type="dxa"/>
            <w:tcBorders>
              <w:top w:val="single" w:color="BFBFBF" w:sz="4" w:space="0"/>
              <w:left w:val="nil"/>
              <w:bottom w:val="single" w:color="A4A4A4" w:sz="4" w:space="0"/>
              <w:right w:val="nil"/>
            </w:tcBorders>
            <w:vAlign w:val="center"/>
          </w:tcPr>
          <w:p w14:paraId="5E78322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{{tdd.comutation}}</w:t>
            </w:r>
          </w:p>
        </w:tc>
      </w:tr>
      <w:tr w14:paraId="080645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tcBorders>
              <w:top w:val="single" w:color="FFFFFF" w:sz="18" w:space="0"/>
              <w:left w:val="nil"/>
              <w:bottom w:val="single" w:color="FFFFFF" w:sz="18" w:space="0"/>
              <w:right w:val="nil"/>
            </w:tcBorders>
            <w:shd w:val="clear" w:color="auto" w:fill="006600"/>
            <w:vAlign w:val="center"/>
          </w:tcPr>
          <w:p w14:paraId="56E3FE2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08" w:type="dxa"/>
            <w:tcBorders>
              <w:top w:val="single" w:color="A4A4A4" w:sz="4" w:space="0"/>
              <w:left w:val="nil"/>
              <w:bottom w:val="single" w:color="A4A4A4" w:sz="4" w:space="0"/>
              <w:right w:val="nil"/>
            </w:tcBorders>
            <w:vAlign w:val="center"/>
          </w:tcPr>
          <w:p w14:paraId="1705E98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C14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tcBorders>
              <w:top w:val="single" w:color="FFFFFF" w:sz="18" w:space="0"/>
              <w:left w:val="nil"/>
              <w:bottom w:val="nil"/>
              <w:right w:val="nil"/>
            </w:tcBorders>
            <w:shd w:val="clear" w:color="auto" w:fill="006600"/>
            <w:vAlign w:val="center"/>
          </w:tcPr>
          <w:p w14:paraId="6091145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08" w:type="dxa"/>
            <w:tcBorders>
              <w:top w:val="single" w:color="A4A4A4" w:sz="4" w:space="0"/>
              <w:left w:val="nil"/>
              <w:bottom w:val="single" w:color="A4A4A4" w:sz="4" w:space="0"/>
              <w:right w:val="nil"/>
            </w:tcBorders>
            <w:vAlign w:val="center"/>
          </w:tcPr>
          <w:p w14:paraId="1F600AB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54DAA28">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FE6A9CC">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D4BF1CF">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6388E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02D24CF">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6B8B841">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4F544AF9">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571A6759">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7D292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53382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3346F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CE693C">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613F7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BB22DF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78B7A6">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2DA42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247F0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A4B6F3E">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13DC4E6">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86D52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4E1514B7">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D47590B">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3AECA4D8">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253E78F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09DCD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BED60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48D7B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3004ED">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EB91E3">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69119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5448AF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784EB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F2748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1734F05">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C8AE92B">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6C5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499CBB3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4DCD9E7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0FA5D61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0CA83BE2">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0B7631E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54A0C6C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211DB8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5151C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0ECB0D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1C1CA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8EEDC1">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DC3EA5F">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E3B0F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D4243D8">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09EDB3C">
            <w:pPr>
              <w:keepNext/>
              <w:widowControl w:val="0"/>
              <w:spacing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25DC26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29062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3E9FF7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FF5F15F">
      <w:pPr>
        <w:widowControl w:val="0"/>
        <w:spacing w:after="0" w:line="240" w:lineRule="auto"/>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7"/>
    </w:p>
    <w:p w14:paraId="687A98A1">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09"/>
        <w:gridCol w:w="8461"/>
      </w:tblGrid>
      <w:tr w14:paraId="260AF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tcBorders>
              <w:top w:val="nil"/>
              <w:left w:val="nil"/>
              <w:bottom w:val="single" w:color="FFFFFF" w:sz="18" w:space="0"/>
              <w:right w:val="nil"/>
            </w:tcBorders>
            <w:shd w:val="clear" w:color="auto" w:fill="006600"/>
            <w:vAlign w:val="center"/>
          </w:tcPr>
          <w:p w14:paraId="063E8E7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61" w:type="dxa"/>
            <w:tcBorders>
              <w:top w:val="single" w:color="BFBFBF" w:sz="4" w:space="0"/>
              <w:left w:val="nil"/>
              <w:bottom w:val="single" w:color="A4A4A4" w:sz="4" w:space="0"/>
              <w:right w:val="nil"/>
            </w:tcBorders>
            <w:vAlign w:val="center"/>
          </w:tcPr>
          <w:p w14:paraId="4071761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1D8DEE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tcBorders>
              <w:top w:val="single" w:color="FFFFFF" w:sz="18" w:space="0"/>
              <w:left w:val="nil"/>
              <w:bottom w:val="single" w:color="FFFFFF" w:sz="18" w:space="0"/>
              <w:right w:val="nil"/>
            </w:tcBorders>
            <w:shd w:val="clear" w:color="auto" w:fill="006600"/>
            <w:vAlign w:val="center"/>
          </w:tcPr>
          <w:p w14:paraId="3929BE7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61" w:type="dxa"/>
            <w:tcBorders>
              <w:top w:val="single" w:color="A4A4A4" w:sz="4" w:space="0"/>
              <w:left w:val="nil"/>
              <w:bottom w:val="single" w:color="A4A4A4" w:sz="4" w:space="0"/>
              <w:right w:val="nil"/>
            </w:tcBorders>
            <w:vAlign w:val="center"/>
          </w:tcPr>
          <w:p w14:paraId="1725F58A">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53FAC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tcBorders>
              <w:top w:val="single" w:color="FFFFFF" w:sz="18" w:space="0"/>
              <w:left w:val="nil"/>
              <w:bottom w:val="nil"/>
              <w:right w:val="nil"/>
            </w:tcBorders>
            <w:shd w:val="clear" w:color="auto" w:fill="006600"/>
            <w:vAlign w:val="center"/>
          </w:tcPr>
          <w:p w14:paraId="68C5E16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61" w:type="dxa"/>
            <w:tcBorders>
              <w:top w:val="single" w:color="A4A4A4" w:sz="4" w:space="0"/>
              <w:left w:val="nil"/>
              <w:bottom w:val="single" w:color="A4A4A4" w:sz="4" w:space="0"/>
              <w:right w:val="nil"/>
            </w:tcBorders>
            <w:vAlign w:val="center"/>
          </w:tcPr>
          <w:p w14:paraId="4E44D580">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26F0C58F">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4AAFAC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97C156A">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E460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241F6437">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30657D9D">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371E69F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54F34D3A">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241A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6E6EB8">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41DE4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8D22AE0">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C9EA5B">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B2E8EF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186C3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32A4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DB8ED3">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57A53D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006A7CA4">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F3AD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125F6E7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55ADE78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5DC5D6A3">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754EC6AC">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4C9907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152173">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24FB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4AE74B">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CD89E0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24A67C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83C9B8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0132E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54B7CC6">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1576C79">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505C838">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C311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0E0EA931">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2202AD21">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6FB2425B">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ACFADF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4DD0419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5B158B15">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6F0DE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6DA60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72F8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C1C1F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BCD7E2E">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C9436A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624BB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9482233">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30D6BD7">
            <w:pPr>
              <w:keepNext/>
              <w:widowControl w:val="0"/>
              <w:spacing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186E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25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CA04D1">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7096B62">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color w:val="auto"/>
          <w:sz w:val="24"/>
          <w:szCs w:val="24"/>
          <w:lang w:val="en-US" w:eastAsia="zh-CN" w:bidi="ar-SA"/>
        </w:rPr>
        <w:t>{% endif %}</w:t>
      </w: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7BC7893C">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1"/>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8" w:name="_Toc13837"/>
      <w:bookmarkStart w:id="9" w:name="_Toc11208"/>
      <w:bookmarkStart w:id="10" w:name="_Toc8321"/>
      <w:bookmarkStart w:id="11" w:name="_Toc149837265"/>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胚系变异结果解析</w:t>
      </w:r>
      <w:bookmarkEnd w:id="8"/>
      <w:bookmarkEnd w:id="9"/>
      <w:bookmarkEnd w:id="10"/>
    </w:p>
    <w:p w14:paraId="0AE2F0EC">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
    </w:p>
    <w:p w14:paraId="257DDF55">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35"/>
        <w:gridCol w:w="8435"/>
      </w:tblGrid>
      <w:tr w14:paraId="7E9EE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tcBorders>
              <w:top w:val="nil"/>
              <w:left w:val="nil"/>
              <w:bottom w:val="single" w:color="FFFFFF" w:sz="18" w:space="0"/>
              <w:right w:val="nil"/>
            </w:tcBorders>
            <w:shd w:val="clear" w:color="auto" w:fill="006600"/>
            <w:vAlign w:val="center"/>
          </w:tcPr>
          <w:p w14:paraId="482D83BF">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35" w:type="dxa"/>
            <w:tcBorders>
              <w:top w:val="single" w:color="BFBFBF" w:sz="4" w:space="0"/>
              <w:left w:val="nil"/>
              <w:bottom w:val="single" w:color="A4A4A4" w:sz="4" w:space="0"/>
              <w:right w:val="nil"/>
            </w:tcBorders>
            <w:vAlign w:val="center"/>
          </w:tcPr>
          <w:p w14:paraId="17EB9172">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7CCC2C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tcBorders>
              <w:top w:val="single" w:color="FFFFFF" w:sz="18" w:space="0"/>
              <w:left w:val="nil"/>
              <w:bottom w:val="single" w:color="FFFFFF" w:sz="18" w:space="0"/>
              <w:right w:val="nil"/>
            </w:tcBorders>
            <w:shd w:val="clear" w:color="auto" w:fill="006600"/>
            <w:vAlign w:val="center"/>
          </w:tcPr>
          <w:p w14:paraId="29BB5665">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35" w:type="dxa"/>
            <w:tcBorders>
              <w:top w:val="single" w:color="A4A4A4" w:sz="4" w:space="0"/>
              <w:left w:val="nil"/>
              <w:bottom w:val="single" w:color="A4A4A4" w:sz="4" w:space="0"/>
              <w:right w:val="nil"/>
            </w:tcBorders>
            <w:vAlign w:val="center"/>
          </w:tcPr>
          <w:p w14:paraId="36054E8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71A93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tcBorders>
              <w:top w:val="single" w:color="FFFFFF" w:sz="18" w:space="0"/>
              <w:left w:val="nil"/>
              <w:right w:val="nil"/>
            </w:tcBorders>
            <w:shd w:val="clear" w:color="auto" w:fill="006600"/>
            <w:vAlign w:val="center"/>
          </w:tcPr>
          <w:p w14:paraId="25750E0C">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35" w:type="dxa"/>
            <w:tcBorders>
              <w:top w:val="single" w:color="A4A4A4" w:sz="4" w:space="0"/>
              <w:left w:val="nil"/>
              <w:bottom w:val="single" w:color="A4A4A4" w:sz="4" w:space="0"/>
              <w:right w:val="nil"/>
            </w:tcBorders>
            <w:vAlign w:val="center"/>
          </w:tcPr>
          <w:p w14:paraId="3AE7B27B">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21CBA111">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245FBB49">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88EFD8A">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320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450FB21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1125DB02">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3B314BEC">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4676D880">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32B957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4661D9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C847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E73036">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89E3C10">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5B413C">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B54BDA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F3369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726D4C">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9B65BCA">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C0EB01E">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6D64B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3FAA46BF">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230A62E2">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0E6287C1">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3CC0FD90">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D43DE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0278F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C8711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870306">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C1F07F">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FE5DAE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9C839F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2C83B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FF70B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4A8B13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E7D0FED">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D8D90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2C98C65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434B2D14">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489F4A2C">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359AEE6">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6C24086F">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655E2855">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44D58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01E2196">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05D707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3C8A38F">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D1DE939">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1178BE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EE6366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89DBBC">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0D9A3294">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4EC4A8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EC45C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696E1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11867E7E">
      <w:pPr>
        <w:spacing w:after="0"/>
        <w:outlineLvl w:val="9"/>
        <w:rPr>
          <w:rFonts w:hint="default" w:ascii="Times New Roman" w:hAnsi="Times New Roman" w:eastAsia="微软雅黑" w:cs="Times New Roman"/>
          <w:b/>
          <w:color w:val="000000"/>
          <w:sz w:val="21"/>
          <w:szCs w:val="21"/>
          <w:highlight w:val="none"/>
          <w:lang w:val="en-US" w:eastAsia="zh-CN" w:bidi="ar-SA"/>
        </w:rPr>
      </w:pPr>
      <w:r>
        <w:rPr>
          <w:rFonts w:hint="default" w:ascii="Times New Roman" w:hAnsi="Times New Roman" w:eastAsia="微软雅黑" w:cs="Times New Roman"/>
          <w:b/>
          <w:color w:val="auto"/>
          <w:sz w:val="21"/>
          <w:szCs w:val="21"/>
          <w:lang w:val="en-US" w:eastAsia="zh-CN" w:bidi="ar-SA"/>
        </w:rPr>
        <w:t>{% endif %}{% endfor %}</w:t>
      </w:r>
      <w:r>
        <w:rPr>
          <w:rFonts w:hint="default" w:ascii="Times New Roman" w:hAnsi="Times New Roman" w:eastAsia="微软雅黑" w:cs="Times New Roman"/>
          <w:b/>
          <w:color w:val="auto"/>
          <w:sz w:val="21"/>
          <w:szCs w:val="21"/>
          <w:lang w:val="en-US" w:eastAsia="zh-CN" w:bidi="ar-SA"/>
        </w:rPr>
        <w:br w:type="page"/>
      </w:r>
      <w:r>
        <w:rPr>
          <w:rFonts w:hint="default" w:ascii="Times New Roman" w:hAnsi="Times New Roman" w:eastAsia="微软雅黑" w:cs="Times New Roman"/>
          <w:b/>
          <w:color w:val="000000"/>
          <w:sz w:val="21"/>
          <w:szCs w:val="21"/>
          <w:highlight w:val="none"/>
          <w:lang w:val="en-US" w:eastAsia="zh-CN" w:bidi="ar-SA"/>
        </w:rPr>
        <w:t>{% endif %}{% endif %}</w:t>
      </w:r>
    </w:p>
    <w:p w14:paraId="638EC60F">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附录</w:t>
      </w:r>
    </w:p>
    <w:p w14:paraId="77512A5A">
      <w:pPr>
        <w:spacing w:after="0"/>
        <w:outlineLvl w:val="1"/>
      </w:pPr>
      <w:r>
        <w:rPr>
          <w:rFonts w:ascii="微软雅黑" w:hAnsi="微软雅黑" w:eastAsia="微软雅黑"/>
          <w:b/>
          <w:color w:val="000000"/>
          <w:sz w:val="24"/>
        </w:rPr>
        <w:t>样本主要质控</w:t>
      </w:r>
    </w:p>
    <w:tbl>
      <w:tblPr>
        <w:tblStyle w:val="32"/>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189973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6600"/>
            <w:vAlign w:val="center"/>
          </w:tcPr>
          <w:p w14:paraId="592C7738">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质控环节</w:t>
            </w:r>
          </w:p>
        </w:tc>
        <w:tc>
          <w:tcPr>
            <w:tcW w:w="2717" w:type="dxa"/>
            <w:tcBorders>
              <w:top w:val="nil"/>
              <w:left w:val="single" w:color="FFFFFF" w:sz="18" w:space="0"/>
              <w:bottom w:val="nil"/>
              <w:right w:val="single" w:color="FFFFFF" w:sz="18" w:space="0"/>
            </w:tcBorders>
            <w:shd w:val="clear" w:color="auto" w:fill="006600"/>
            <w:vAlign w:val="center"/>
          </w:tcPr>
          <w:p w14:paraId="19E6871F">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质控参数</w:t>
            </w:r>
          </w:p>
        </w:tc>
        <w:tc>
          <w:tcPr>
            <w:tcW w:w="2378" w:type="dxa"/>
            <w:tcBorders>
              <w:top w:val="nil"/>
              <w:left w:val="single" w:color="FFFFFF" w:sz="18" w:space="0"/>
              <w:bottom w:val="nil"/>
              <w:right w:val="single" w:color="FFFFFF" w:sz="18" w:space="0"/>
            </w:tcBorders>
            <w:shd w:val="clear" w:color="auto" w:fill="006600"/>
            <w:vAlign w:val="center"/>
          </w:tcPr>
          <w:p w14:paraId="3BDA79B1">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质控数值</w:t>
            </w:r>
          </w:p>
        </w:tc>
        <w:tc>
          <w:tcPr>
            <w:tcW w:w="2731" w:type="dxa"/>
            <w:gridSpan w:val="2"/>
            <w:tcBorders>
              <w:top w:val="nil"/>
              <w:left w:val="single" w:color="FFFFFF" w:sz="18" w:space="0"/>
              <w:bottom w:val="nil"/>
              <w:right w:val="nil"/>
            </w:tcBorders>
            <w:shd w:val="clear" w:color="auto" w:fill="006600"/>
            <w:vAlign w:val="center"/>
          </w:tcPr>
          <w:p w14:paraId="477B5570">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质控标准</w:t>
            </w:r>
          </w:p>
        </w:tc>
      </w:tr>
      <w:tr w14:paraId="3415794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vAlign w:val="center"/>
          </w:tcPr>
          <w:p w14:paraId="767BA1B3">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eastAsia="zh-CN" w:bidi="ar"/>
              </w:rPr>
              <w:t>病理评估</w:t>
            </w:r>
          </w:p>
        </w:tc>
        <w:tc>
          <w:tcPr>
            <w:tcW w:w="2717" w:type="dxa"/>
            <w:tcBorders>
              <w:top w:val="nil"/>
              <w:left w:val="single" w:color="A4A4A4" w:sz="4" w:space="0"/>
              <w:bottom w:val="single" w:color="A4A4A4" w:sz="4" w:space="0"/>
              <w:right w:val="single" w:color="A4A4A4" w:sz="4" w:space="0"/>
            </w:tcBorders>
            <w:vAlign w:val="center"/>
          </w:tcPr>
          <w:p w14:paraId="7FF7461C">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肿瘤细胞含量</w:t>
            </w:r>
          </w:p>
        </w:tc>
        <w:tc>
          <w:tcPr>
            <w:tcW w:w="2378" w:type="dxa"/>
            <w:tcBorders>
              <w:top w:val="nil"/>
              <w:left w:val="single" w:color="A4A4A4" w:sz="4" w:space="0"/>
              <w:bottom w:val="single" w:color="A4A4A4" w:sz="4" w:space="0"/>
              <w:right w:val="single" w:color="A4A4A4" w:sz="4" w:space="0"/>
            </w:tcBorders>
            <w:vAlign w:val="center"/>
          </w:tcPr>
          <w:p w14:paraId="4C49AA90">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tumorcellcontent</w:t>
            </w:r>
            <w:r>
              <w:rPr>
                <w:rFonts w:hint="eastAsia" w:ascii="Times New Roman" w:hAnsi="Times New Roman" w:eastAsia="微软雅黑" w:cs="Times New Roman"/>
                <w:sz w:val="18"/>
                <w:szCs w:val="18"/>
                <w:lang w:eastAsia="zh-CN"/>
              </w:rPr>
              <w:t xml:space="preserve"> }}</w:t>
            </w:r>
          </w:p>
        </w:tc>
        <w:tc>
          <w:tcPr>
            <w:tcW w:w="2731" w:type="dxa"/>
            <w:gridSpan w:val="2"/>
            <w:tcBorders>
              <w:top w:val="nil"/>
              <w:left w:val="single" w:color="A4A4A4" w:sz="4" w:space="0"/>
              <w:bottom w:val="single" w:color="A4A4A4" w:sz="4" w:space="0"/>
              <w:right w:val="nil"/>
            </w:tcBorders>
            <w:vAlign w:val="center"/>
          </w:tcPr>
          <w:p w14:paraId="41214309">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0%</w:t>
            </w:r>
          </w:p>
        </w:tc>
      </w:tr>
      <w:tr w14:paraId="3FE0932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vAlign w:val="center"/>
          </w:tcPr>
          <w:p w14:paraId="36D962F1">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vAlign w:val="center"/>
          </w:tcPr>
          <w:p w14:paraId="4CB59775">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总量（</w:t>
            </w:r>
            <w:r>
              <w:rPr>
                <w:rFonts w:ascii="Times New Roman" w:hAnsi="Times New Roman" w:eastAsia="微软雅黑" w:cs="Times New Roman"/>
                <w:sz w:val="18"/>
                <w:szCs w:val="18"/>
                <w:lang w:eastAsia="zh-CN" w:bidi="ar"/>
              </w:rPr>
              <w:t>ng</w:t>
            </w:r>
            <w:r>
              <w:rPr>
                <w:rFonts w:hint="eastAsia" w:ascii="Times New Roman" w:hAnsi="Times New Roman" w:eastAsia="微软雅黑" w:cs="Times New Roman"/>
                <w:sz w:val="18"/>
                <w:szCs w:val="18"/>
                <w:lang w:eastAsia="zh-CN" w:bidi="ar"/>
              </w:rPr>
              <w:t>）</w:t>
            </w:r>
          </w:p>
        </w:tc>
        <w:tc>
          <w:tcPr>
            <w:tcW w:w="2378" w:type="dxa"/>
            <w:tcBorders>
              <w:top w:val="single" w:color="A4A4A4" w:sz="4" w:space="0"/>
              <w:left w:val="single" w:color="A4A4A4" w:sz="4" w:space="0"/>
              <w:bottom w:val="single" w:color="A4A4A4" w:sz="4" w:space="0"/>
              <w:right w:val="single" w:color="A4A4A4" w:sz="4" w:space="0"/>
            </w:tcBorders>
            <w:vAlign w:val="center"/>
          </w:tcPr>
          <w:p w14:paraId="6D805086">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DNA_total</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6E9E0988">
            <w:pPr>
              <w:keepNext w:val="0"/>
              <w:keepLines w:val="0"/>
              <w:pageBreakBefore w:val="0"/>
              <w:widowControl/>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 if summaryOfRresults.type == “tissue” %}≥100{% else %}≥20{% endif %}</w:t>
            </w:r>
          </w:p>
        </w:tc>
      </w:tr>
      <w:tr w14:paraId="537DA71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2579220C">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331BDDA8">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vAlign w:val="center"/>
          </w:tcPr>
          <w:p w14:paraId="4F1351D1">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DNA_degradation</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3336AC52">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A/B/C</w:t>
            </w:r>
            <w:r>
              <w:rPr>
                <w:rFonts w:hint="eastAsia" w:ascii="微软雅黑" w:hAnsi="微软雅黑" w:eastAsia="微软雅黑" w:cs="微软雅黑"/>
                <w:sz w:val="18"/>
                <w:szCs w:val="18"/>
                <w:lang w:eastAsia="zh-CN" w:bidi="ar"/>
              </w:rPr>
              <w:t>级</w:t>
            </w:r>
          </w:p>
        </w:tc>
      </w:tr>
      <w:tr w14:paraId="12431BB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1681283B">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73F11C59">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预文库总量（</w:t>
            </w:r>
            <w:r>
              <w:rPr>
                <w:rFonts w:ascii="Times New Roman" w:hAnsi="Times New Roman" w:eastAsia="微软雅黑" w:cs="Times New Roman"/>
                <w:sz w:val="18"/>
                <w:szCs w:val="18"/>
                <w:lang w:eastAsia="zh-CN" w:bidi="ar"/>
              </w:rPr>
              <w:t>ng</w:t>
            </w:r>
            <w:r>
              <w:rPr>
                <w:rFonts w:hint="eastAsia" w:ascii="Times New Roman" w:hAnsi="Times New Roman" w:eastAsia="微软雅黑" w:cs="Times New Roman"/>
                <w:sz w:val="18"/>
                <w:szCs w:val="18"/>
                <w:lang w:eastAsia="zh-CN" w:bidi="ar"/>
              </w:rPr>
              <w:t>）</w:t>
            </w:r>
          </w:p>
        </w:tc>
        <w:tc>
          <w:tcPr>
            <w:tcW w:w="2378" w:type="dxa"/>
            <w:tcBorders>
              <w:top w:val="single" w:color="A4A4A4" w:sz="4" w:space="0"/>
              <w:left w:val="single" w:color="A4A4A4" w:sz="4" w:space="0"/>
              <w:bottom w:val="single" w:color="A4A4A4" w:sz="4" w:space="0"/>
              <w:right w:val="single" w:color="A4A4A4" w:sz="4" w:space="0"/>
            </w:tcBorders>
            <w:vAlign w:val="center"/>
          </w:tcPr>
          <w:p w14:paraId="03D97606">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outbound_quantity</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4891890A">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500</w:t>
            </w:r>
          </w:p>
        </w:tc>
      </w:tr>
      <w:tr w14:paraId="08565B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vAlign w:val="center"/>
          </w:tcPr>
          <w:p w14:paraId="338A7E6A">
            <w:pPr>
              <w:keepNext w:val="0"/>
              <w:keepLines w:val="0"/>
              <w:pageBreakBefore w:val="0"/>
              <w:widowControl w:val="0"/>
              <w:kinsoku/>
              <w:wordWrap/>
              <w:overflowPunct/>
              <w:topLinePunct w:val="0"/>
              <w:autoSpaceDN/>
              <w:bidi w:val="0"/>
              <w:adjustRightInd/>
              <w:snapToGrid/>
              <w:spacing w:after="0" w:line="240" w:lineRule="auto"/>
              <w:ind w:left="119"/>
              <w:jc w:val="center"/>
              <w:textAlignment w:val="auto"/>
              <w:rPr>
                <w:rFonts w:ascii="Times New Roman" w:hAnsi="Times New Roman" w:eastAsia="微软雅黑" w:cs="Times New Roman"/>
                <w:b/>
                <w:sz w:val="18"/>
                <w:szCs w:val="18"/>
                <w:lang w:eastAsia="zh-CN"/>
              </w:rPr>
            </w:pPr>
            <w:r>
              <w:rPr>
                <w:rFonts w:hint="eastAsia" w:ascii="Times New Roman" w:hAnsi="Times New Roman" w:eastAsia="微软雅黑" w:cs="Times New Roman"/>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vAlign w:val="center"/>
          </w:tcPr>
          <w:p w14:paraId="632080EC">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vAlign w:val="center"/>
          </w:tcPr>
          <w:p w14:paraId="70FEC475">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sequencing_depth</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78C3BDD4">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 if summaryOfRresults.type == “tissue” %}≥500{% else %}≥1500{% endif %}</w:t>
            </w:r>
          </w:p>
        </w:tc>
      </w:tr>
      <w:tr w14:paraId="707DF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74064C29">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sz w:val="18"/>
                <w:szCs w:val="18"/>
                <w:lang w:eastAsia="zh-CN"/>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30A4B9D4">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vAlign w:val="center"/>
          </w:tcPr>
          <w:p w14:paraId="3A79DA73">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coverage_uniformity }}</w:t>
            </w:r>
          </w:p>
        </w:tc>
        <w:tc>
          <w:tcPr>
            <w:tcW w:w="2731" w:type="dxa"/>
            <w:gridSpan w:val="2"/>
            <w:tcBorders>
              <w:top w:val="single" w:color="A4A4A4" w:sz="4" w:space="0"/>
              <w:left w:val="single" w:color="A4A4A4" w:sz="4" w:space="0"/>
              <w:bottom w:val="single" w:color="A4A4A4" w:sz="4" w:space="0"/>
              <w:right w:val="nil"/>
            </w:tcBorders>
            <w:vAlign w:val="center"/>
          </w:tcPr>
          <w:p w14:paraId="6FBE3ED9">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90%</w:t>
            </w:r>
          </w:p>
        </w:tc>
      </w:tr>
      <w:tr w14:paraId="161FBC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2BCE08CC">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sz w:val="18"/>
                <w:szCs w:val="18"/>
                <w:lang w:eastAsia="zh-CN"/>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1A3449E9">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vAlign w:val="center"/>
          </w:tcPr>
          <w:p w14:paraId="63043447">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genome_alignment }}</w:t>
            </w:r>
          </w:p>
        </w:tc>
        <w:tc>
          <w:tcPr>
            <w:tcW w:w="2731" w:type="dxa"/>
            <w:gridSpan w:val="2"/>
            <w:tcBorders>
              <w:top w:val="single" w:color="A4A4A4" w:sz="4" w:space="0"/>
              <w:left w:val="single" w:color="A4A4A4" w:sz="4" w:space="0"/>
              <w:bottom w:val="single" w:color="A4A4A4" w:sz="4" w:space="0"/>
              <w:right w:val="nil"/>
            </w:tcBorders>
            <w:vAlign w:val="center"/>
          </w:tcPr>
          <w:p w14:paraId="33567052">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95%</w:t>
            </w:r>
          </w:p>
        </w:tc>
      </w:tr>
      <w:tr w14:paraId="6BA34F5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5A82E1A3">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sz w:val="18"/>
                <w:szCs w:val="18"/>
                <w:lang w:eastAsia="zh-CN"/>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6A171B81">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碱基质量</w:t>
            </w:r>
            <w:r>
              <w:rPr>
                <w:rFonts w:ascii="Times New Roman" w:hAnsi="Times New Roman" w:eastAsia="微软雅黑" w:cs="Times New Roman"/>
                <w:sz w:val="18"/>
                <w:szCs w:val="18"/>
                <w:lang w:eastAsia="zh-CN" w:bidi="ar"/>
              </w:rPr>
              <w:t>Q30</w:t>
            </w:r>
            <w:r>
              <w:rPr>
                <w:rFonts w:hint="eastAsia" w:ascii="Times New Roman" w:hAnsi="Times New Roman" w:eastAsia="微软雅黑" w:cs="Times New Roman"/>
                <w:sz w:val="18"/>
                <w:szCs w:val="18"/>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vAlign w:val="center"/>
          </w:tcPr>
          <w:p w14:paraId="13871648">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base_quality }}</w:t>
            </w:r>
          </w:p>
        </w:tc>
        <w:tc>
          <w:tcPr>
            <w:tcW w:w="2731" w:type="dxa"/>
            <w:gridSpan w:val="2"/>
            <w:tcBorders>
              <w:top w:val="single" w:color="A4A4A4" w:sz="4" w:space="0"/>
              <w:left w:val="single" w:color="A4A4A4" w:sz="4" w:space="0"/>
              <w:bottom w:val="single" w:color="A4A4A4" w:sz="4" w:space="0"/>
              <w:right w:val="nil"/>
            </w:tcBorders>
            <w:vAlign w:val="center"/>
          </w:tcPr>
          <w:p w14:paraId="406E89A5">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80%</w:t>
            </w:r>
          </w:p>
        </w:tc>
      </w:tr>
      <w:tr w14:paraId="7B02BE0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327929F">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030CBAE">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overall_quality_assessment }}</w:t>
            </w:r>
          </w:p>
        </w:tc>
      </w:tr>
    </w:tbl>
    <w:p w14:paraId="27BB586B">
      <w:pPr>
        <w:spacing w:after="0"/>
        <w:jc w:val="both"/>
        <w:rPr>
          <w:rFonts w:hint="eastAsia" w:ascii="微软雅黑" w:hAnsi="微软雅黑" w:eastAsia="微软雅黑"/>
          <w:color w:val="000000"/>
          <w:sz w:val="13"/>
          <w:lang w:eastAsia="zh-CN"/>
        </w:rPr>
      </w:pPr>
    </w:p>
    <w:p w14:paraId="054E67DC">
      <w:pPr>
        <w:spacing w:after="0"/>
        <w:jc w:val="both"/>
        <w:rPr>
          <w:rFonts w:ascii="微软雅黑" w:hAnsi="微软雅黑" w:eastAsia="微软雅黑"/>
          <w:b/>
          <w:color w:val="000000"/>
          <w:sz w:val="24"/>
        </w:rPr>
      </w:pPr>
      <w:r>
        <w:rPr>
          <w:rFonts w:hint="eastAsia" w:ascii="微软雅黑" w:hAnsi="微软雅黑" w:eastAsia="微软雅黑"/>
          <w:b/>
          <w:color w:val="000000"/>
          <w:sz w:val="24"/>
          <w:lang w:val="en-US" w:eastAsia="zh-CN"/>
        </w:rPr>
        <w:t>对照</w:t>
      </w:r>
      <w:r>
        <w:rPr>
          <w:rFonts w:ascii="微软雅黑" w:hAnsi="微软雅黑" w:eastAsia="微软雅黑"/>
          <w:b/>
          <w:color w:val="000000"/>
          <w:sz w:val="24"/>
        </w:rPr>
        <w:t>样本</w:t>
      </w:r>
    </w:p>
    <w:tbl>
      <w:tblPr>
        <w:tblStyle w:val="32"/>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A62A18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6600"/>
            <w:vAlign w:val="center"/>
          </w:tcPr>
          <w:p w14:paraId="21565BA6">
            <w:pPr>
              <w:widowControl w:val="0"/>
              <w:autoSpaceDE w:val="0"/>
              <w:spacing w:after="0" w:line="240" w:lineRule="auto"/>
              <w:ind w:left="110" w:leftChars="50"/>
              <w:jc w:val="center"/>
              <w:rPr>
                <w:rFonts w:hint="default" w:ascii="Times New Roman" w:hAnsi="Times New Roman" w:eastAsia="微软雅黑" w:cs="Times New Roman"/>
                <w:b/>
                <w:color w:val="FFFFFF"/>
                <w:sz w:val="21"/>
                <w:szCs w:val="21"/>
              </w:rPr>
            </w:pPr>
            <w:r>
              <w:rPr>
                <w:rFonts w:hint="default" w:ascii="Times New Roman" w:hAnsi="Times New Roman" w:eastAsia="微软雅黑" w:cs="Times New Roman"/>
                <w:b/>
                <w:color w:val="FFFFFF"/>
                <w:sz w:val="21"/>
                <w:szCs w:val="21"/>
                <w:lang w:eastAsia="zh-CN"/>
              </w:rPr>
              <w:t>质控环节</w:t>
            </w:r>
          </w:p>
        </w:tc>
        <w:tc>
          <w:tcPr>
            <w:tcW w:w="2717" w:type="dxa"/>
            <w:tcBorders>
              <w:top w:val="nil"/>
              <w:left w:val="single" w:color="FFFFFF" w:sz="18" w:space="0"/>
              <w:bottom w:val="nil"/>
              <w:right w:val="single" w:color="FFFFFF" w:sz="18" w:space="0"/>
            </w:tcBorders>
            <w:shd w:val="clear" w:color="auto" w:fill="006600"/>
            <w:vAlign w:val="center"/>
          </w:tcPr>
          <w:p w14:paraId="58A39A7E">
            <w:pPr>
              <w:widowControl w:val="0"/>
              <w:autoSpaceDE w:val="0"/>
              <w:spacing w:after="0" w:line="240" w:lineRule="auto"/>
              <w:ind w:left="110" w:leftChars="50"/>
              <w:jc w:val="center"/>
              <w:rPr>
                <w:rFonts w:hint="default" w:ascii="Times New Roman" w:hAnsi="Times New Roman" w:eastAsia="微软雅黑" w:cs="Times New Roman"/>
                <w:b/>
                <w:color w:val="FFFFFF"/>
                <w:sz w:val="21"/>
                <w:szCs w:val="21"/>
              </w:rPr>
            </w:pPr>
            <w:r>
              <w:rPr>
                <w:rFonts w:hint="default" w:ascii="Times New Roman" w:hAnsi="Times New Roman" w:eastAsia="微软雅黑" w:cs="Times New Roman"/>
                <w:b/>
                <w:color w:val="FFFFFF"/>
                <w:sz w:val="21"/>
                <w:szCs w:val="21"/>
                <w:lang w:eastAsia="zh-CN"/>
              </w:rPr>
              <w:t>质控参数</w:t>
            </w:r>
          </w:p>
        </w:tc>
        <w:tc>
          <w:tcPr>
            <w:tcW w:w="2378" w:type="dxa"/>
            <w:tcBorders>
              <w:top w:val="nil"/>
              <w:left w:val="single" w:color="FFFFFF" w:sz="18" w:space="0"/>
              <w:bottom w:val="nil"/>
              <w:right w:val="single" w:color="FFFFFF" w:sz="18" w:space="0"/>
            </w:tcBorders>
            <w:shd w:val="clear" w:color="auto" w:fill="006600"/>
            <w:vAlign w:val="center"/>
          </w:tcPr>
          <w:p w14:paraId="7E9D98A2">
            <w:pPr>
              <w:widowControl w:val="0"/>
              <w:autoSpaceDE w:val="0"/>
              <w:spacing w:after="0" w:line="240" w:lineRule="auto"/>
              <w:ind w:left="110" w:leftChars="50"/>
              <w:jc w:val="center"/>
              <w:rPr>
                <w:rFonts w:hint="default" w:ascii="Times New Roman" w:hAnsi="Times New Roman" w:eastAsia="微软雅黑" w:cs="Times New Roman"/>
                <w:b/>
                <w:color w:val="FFFFFF"/>
                <w:sz w:val="21"/>
                <w:szCs w:val="21"/>
              </w:rPr>
            </w:pPr>
            <w:r>
              <w:rPr>
                <w:rFonts w:hint="default" w:ascii="Times New Roman" w:hAnsi="Times New Roman" w:eastAsia="微软雅黑" w:cs="Times New Roman"/>
                <w:b/>
                <w:color w:val="FFFFFF"/>
                <w:sz w:val="21"/>
                <w:szCs w:val="21"/>
                <w:lang w:eastAsia="zh-CN"/>
              </w:rPr>
              <w:t>质控数值</w:t>
            </w:r>
          </w:p>
        </w:tc>
        <w:tc>
          <w:tcPr>
            <w:tcW w:w="2731" w:type="dxa"/>
            <w:gridSpan w:val="2"/>
            <w:tcBorders>
              <w:top w:val="nil"/>
              <w:left w:val="single" w:color="FFFFFF" w:sz="18" w:space="0"/>
              <w:bottom w:val="nil"/>
              <w:right w:val="nil"/>
            </w:tcBorders>
            <w:shd w:val="clear" w:color="auto" w:fill="006600"/>
            <w:vAlign w:val="center"/>
          </w:tcPr>
          <w:p w14:paraId="7E5DE9E4">
            <w:pPr>
              <w:widowControl w:val="0"/>
              <w:autoSpaceDE w:val="0"/>
              <w:spacing w:after="0" w:line="240" w:lineRule="auto"/>
              <w:ind w:left="110" w:leftChars="50"/>
              <w:jc w:val="center"/>
              <w:rPr>
                <w:rFonts w:hint="default" w:ascii="Times New Roman" w:hAnsi="Times New Roman" w:eastAsia="微软雅黑" w:cs="Times New Roman"/>
                <w:b/>
                <w:color w:val="FFFFFF"/>
                <w:sz w:val="21"/>
                <w:szCs w:val="21"/>
              </w:rPr>
            </w:pPr>
            <w:r>
              <w:rPr>
                <w:rFonts w:hint="default" w:ascii="Times New Roman" w:hAnsi="Times New Roman" w:eastAsia="微软雅黑" w:cs="Times New Roman"/>
                <w:b/>
                <w:color w:val="FFFFFF"/>
                <w:sz w:val="21"/>
                <w:szCs w:val="21"/>
                <w:lang w:eastAsia="zh-CN"/>
              </w:rPr>
              <w:t>质控标准</w:t>
            </w:r>
          </w:p>
        </w:tc>
      </w:tr>
      <w:tr w14:paraId="7867EF2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D816307">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eastAsia" w:ascii="Times New Roman" w:hAnsi="Times New Roman" w:eastAsia="微软雅黑" w:cs="Times New Roman"/>
                <w:b/>
                <w:bCs/>
                <w:sz w:val="18"/>
                <w:szCs w:val="18"/>
                <w:lang w:val="en-US" w:eastAsia="zh-CN" w:bidi="ar"/>
              </w:rPr>
            </w:pPr>
            <w:r>
              <w:rPr>
                <w:rFonts w:hint="eastAsia" w:ascii="Times New Roman" w:hAnsi="Times New Roman" w:eastAsia="微软雅黑" w:cs="Times New Roman"/>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8E29DD0">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2FE874">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1AB02F">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18"/>
                <w:szCs w:val="18"/>
                <w:lang w:eastAsia="zh-CN" w:bidi="ar"/>
              </w:rPr>
              <w:t>≥100</w:t>
            </w:r>
          </w:p>
        </w:tc>
      </w:tr>
      <w:tr w14:paraId="188FFBD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5F99603">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eastAsia" w:ascii="Times New Roman" w:hAnsi="Times New Roman" w:eastAsia="微软雅黑" w:cs="Times New Roman"/>
                <w:b/>
                <w:bCs/>
                <w:sz w:val="18"/>
                <w:szCs w:val="18"/>
                <w:lang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32B6CB">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D6E57F">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E647389">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微软雅黑" w:hAnsi="微软雅黑" w:eastAsia="微软雅黑" w:cs="微软雅黑"/>
                <w:sz w:val="18"/>
                <w:szCs w:val="18"/>
                <w:lang w:eastAsia="zh-CN" w:bidi="ar"/>
              </w:rPr>
            </w:pPr>
            <w:r>
              <w:rPr>
                <w:rFonts w:hint="default" w:ascii="Times New Roman" w:hAnsi="Times New Roman" w:eastAsia="微软雅黑" w:cs="Times New Roman"/>
                <w:sz w:val="18"/>
                <w:szCs w:val="18"/>
                <w:lang w:eastAsia="zh-CN" w:bidi="ar"/>
              </w:rPr>
              <w:t>A/B/C级</w:t>
            </w:r>
          </w:p>
        </w:tc>
      </w:tr>
      <w:tr w14:paraId="1D62DF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4FF0622">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eastAsia" w:ascii="Times New Roman" w:hAnsi="Times New Roman" w:eastAsia="微软雅黑" w:cs="Times New Roman"/>
                <w:b/>
                <w:bCs/>
                <w:sz w:val="18"/>
                <w:szCs w:val="18"/>
                <w:lang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8329D80">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62CCF7F">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FAEB00A">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方正兰亭大黑_GBK" w:cs="Times New Roman"/>
                <w:sz w:val="18"/>
                <w:szCs w:val="18"/>
                <w:lang w:eastAsia="zh-CN" w:bidi="ar"/>
              </w:rPr>
            </w:pPr>
            <w:r>
              <w:rPr>
                <w:rFonts w:hint="eastAsia" w:ascii="Times New Roman" w:hAnsi="Times New Roman" w:eastAsia="方正兰亭大黑_GBK" w:cs="Times New Roman"/>
                <w:sz w:val="18"/>
                <w:szCs w:val="18"/>
                <w:lang w:eastAsia="zh-CN" w:bidi="ar"/>
              </w:rPr>
              <w:t>≥</w:t>
            </w:r>
            <w:r>
              <w:rPr>
                <w:rFonts w:hint="eastAsia" w:ascii="Times New Roman" w:hAnsi="Times New Roman" w:eastAsia="方正兰亭大黑_GBK" w:cs="Times New Roman"/>
                <w:sz w:val="18"/>
                <w:szCs w:val="18"/>
                <w:lang w:val="en-US" w:eastAsia="zh-CN" w:bidi="ar"/>
              </w:rPr>
              <w:t>5</w:t>
            </w:r>
            <w:r>
              <w:rPr>
                <w:rFonts w:hint="eastAsia" w:ascii="Times New Roman" w:hAnsi="Times New Roman" w:eastAsia="方正兰亭大黑_GBK" w:cs="Times New Roman"/>
                <w:sz w:val="18"/>
                <w:szCs w:val="18"/>
                <w:lang w:eastAsia="zh-CN" w:bidi="ar"/>
              </w:rPr>
              <w:t>00</w:t>
            </w:r>
          </w:p>
        </w:tc>
      </w:tr>
      <w:tr w14:paraId="77184CA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1D3732E">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eastAsia"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F4015C">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val="en-US" w:eastAsia="zh-CN" w:bidi="ar"/>
              </w:rPr>
            </w:pPr>
            <w:r>
              <w:rPr>
                <w:rFonts w:hint="default" w:ascii="Times New Roman" w:hAnsi="Times New Roman" w:eastAsia="微软雅黑" w:cs="Times New Roman"/>
                <w:sz w:val="18"/>
                <w:szCs w:val="18"/>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EB89C4">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B281A7C">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方正兰亭大黑_GBK" w:cs="Times New Roman"/>
                <w:sz w:val="18"/>
                <w:szCs w:val="18"/>
                <w:lang w:val="en-US" w:eastAsia="zh-CN" w:bidi="ar"/>
              </w:rPr>
            </w:pPr>
            <w:r>
              <w:rPr>
                <w:rFonts w:hint="default" w:ascii="Times New Roman" w:hAnsi="Times New Roman" w:eastAsia="方正兰亭大黑_GBK" w:cs="Times New Roman"/>
                <w:sz w:val="18"/>
                <w:szCs w:val="18"/>
                <w:lang w:eastAsia="zh-CN" w:bidi="ar"/>
              </w:rPr>
              <w:t>≥</w:t>
            </w:r>
            <w:r>
              <w:rPr>
                <w:rFonts w:hint="eastAsia" w:ascii="Times New Roman" w:hAnsi="Times New Roman" w:eastAsia="方正兰亭大黑_GBK" w:cs="Times New Roman"/>
                <w:sz w:val="18"/>
                <w:szCs w:val="18"/>
                <w:lang w:val="en-US" w:eastAsia="zh-CN" w:bidi="ar"/>
              </w:rPr>
              <w:t>1</w:t>
            </w:r>
            <w:r>
              <w:rPr>
                <w:rFonts w:hint="default" w:ascii="Times New Roman" w:hAnsi="Times New Roman" w:eastAsia="方正兰亭大黑_GBK" w:cs="Times New Roman"/>
                <w:sz w:val="18"/>
                <w:szCs w:val="18"/>
                <w:lang w:eastAsia="zh-CN" w:bidi="ar"/>
              </w:rPr>
              <w:t>00</w:t>
            </w:r>
          </w:p>
        </w:tc>
      </w:tr>
      <w:tr w14:paraId="4D0EBB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C214E2A">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DB4CBC">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val="en-US" w:eastAsia="zh-CN" w:bidi="ar"/>
              </w:rPr>
            </w:pPr>
            <w:r>
              <w:rPr>
                <w:rFonts w:hint="default" w:ascii="Times New Roman" w:hAnsi="Times New Roman" w:eastAsia="微软雅黑" w:cs="Times New Roman"/>
                <w:sz w:val="18"/>
                <w:szCs w:val="18"/>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A64811">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91FDBE5">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方正兰亭大黑_GBK" w:cs="Times New Roman"/>
                <w:sz w:val="18"/>
                <w:szCs w:val="18"/>
                <w:lang w:val="en-US" w:eastAsia="zh-CN" w:bidi="ar"/>
              </w:rPr>
            </w:pPr>
            <w:r>
              <w:rPr>
                <w:rFonts w:hint="default" w:ascii="Times New Roman" w:hAnsi="Times New Roman" w:eastAsia="方正兰亭大黑_GBK" w:cs="Times New Roman"/>
                <w:sz w:val="18"/>
                <w:szCs w:val="18"/>
                <w:lang w:eastAsia="zh-CN" w:bidi="ar"/>
              </w:rPr>
              <w:t>≥90%</w:t>
            </w:r>
          </w:p>
        </w:tc>
      </w:tr>
      <w:tr w14:paraId="1FDCF1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35365F3">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6529BC2">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val="en-US" w:eastAsia="zh-CN" w:bidi="ar"/>
              </w:rPr>
            </w:pPr>
            <w:r>
              <w:rPr>
                <w:rFonts w:hint="default" w:ascii="Times New Roman" w:hAnsi="Times New Roman" w:eastAsia="微软雅黑" w:cs="Times New Roman"/>
                <w:sz w:val="18"/>
                <w:szCs w:val="18"/>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906085">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E634CA3">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方正兰亭大黑_GBK" w:cs="Times New Roman"/>
                <w:sz w:val="18"/>
                <w:szCs w:val="18"/>
                <w:lang w:val="en-US" w:eastAsia="zh-CN" w:bidi="ar"/>
              </w:rPr>
            </w:pPr>
            <w:r>
              <w:rPr>
                <w:rFonts w:hint="default" w:ascii="Times New Roman" w:hAnsi="Times New Roman" w:eastAsia="方正兰亭大黑_GBK" w:cs="Times New Roman"/>
                <w:sz w:val="18"/>
                <w:szCs w:val="18"/>
                <w:lang w:val="en-US" w:eastAsia="zh-CN" w:bidi="ar"/>
              </w:rPr>
              <w:t>≥95%</w:t>
            </w:r>
          </w:p>
        </w:tc>
      </w:tr>
      <w:tr w14:paraId="09EF1C9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BD58749">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3BBB92">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18"/>
                <w:szCs w:val="18"/>
                <w:lang w:val="en-US" w:eastAsia="zh-CN" w:bidi="ar"/>
              </w:rPr>
            </w:pPr>
            <w:r>
              <w:rPr>
                <w:rFonts w:hint="default" w:ascii="Times New Roman" w:hAnsi="Times New Roman" w:eastAsia="微软雅黑" w:cs="Times New Roman"/>
                <w:sz w:val="18"/>
                <w:szCs w:val="18"/>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015F93">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base_quality</w:t>
            </w:r>
            <w:r>
              <w:rPr>
                <w:rFonts w:hint="default"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CECF0AF">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hint="default" w:ascii="微软雅黑" w:hAnsi="微软雅黑" w:eastAsia="微软雅黑" w:cs="微软雅黑"/>
                <w:sz w:val="18"/>
                <w:szCs w:val="18"/>
                <w:lang w:val="en-US" w:eastAsia="zh-CN" w:bidi="ar"/>
              </w:rPr>
            </w:pPr>
            <w:r>
              <w:rPr>
                <w:rFonts w:hint="default" w:ascii="Times New Roman" w:hAnsi="Times New Roman" w:eastAsia="方正兰亭大黑_GBK" w:cs="Times New Roman"/>
                <w:sz w:val="18"/>
                <w:szCs w:val="18"/>
                <w:lang w:eastAsia="zh-CN" w:bidi="ar"/>
              </w:rPr>
              <w:t>≥80%</w:t>
            </w:r>
          </w:p>
        </w:tc>
      </w:tr>
      <w:tr w14:paraId="1DB5FA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EE0A668">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78DDD58">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hint="default"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2FD49B9">
      <w:pPr>
        <w:spacing w:after="0"/>
        <w:jc w:val="both"/>
        <w:rPr>
          <w:rFonts w:hint="eastAsia" w:ascii="微软雅黑" w:hAnsi="微软雅黑" w:eastAsia="微软雅黑"/>
          <w:b/>
          <w:color w:val="000000"/>
          <w:sz w:val="24"/>
          <w:lang w:eastAsia="zh-CN"/>
        </w:rPr>
      </w:pPr>
      <w:bookmarkStart w:id="13" w:name="_GoBack"/>
      <w:bookmarkEnd w:id="13"/>
    </w:p>
    <w:p w14:paraId="6765003E">
      <w:pPr>
        <w:widowControl w:val="0"/>
        <w:tabs>
          <w:tab w:val="left" w:pos="1317"/>
        </w:tabs>
        <w:kinsoku w:val="0"/>
        <w:overflowPunct w:val="0"/>
        <w:spacing w:before="40" w:after="0" w:line="187" w:lineRule="auto"/>
        <w:ind w:right="1128"/>
        <w:rPr>
          <w:rFonts w:hint="eastAsia" w:ascii="Times New Roman" w:hAnsi="Times New Roman" w:eastAsia="微软雅黑" w:cs="Times New Roman"/>
          <w:b/>
          <w:bCs/>
          <w:sz w:val="18"/>
          <w:lang w:eastAsia="zh-CN"/>
        </w:rPr>
      </w:pPr>
    </w:p>
    <w:p w14:paraId="06369D31">
      <w:pPr>
        <w:widowControl w:val="0"/>
        <w:tabs>
          <w:tab w:val="left" w:pos="1317"/>
        </w:tabs>
        <w:kinsoku w:val="0"/>
        <w:overflowPunct w:val="0"/>
        <w:spacing w:before="40" w:after="0" w:line="187" w:lineRule="auto"/>
        <w:ind w:right="1128"/>
        <w:rPr>
          <w:rFonts w:ascii="Times New Roman" w:hAnsi="Times New Roman" w:eastAsia="微软雅黑" w:cs="Times New Roman"/>
          <w:b/>
          <w:bCs/>
          <w:sz w:val="18"/>
          <w:lang w:eastAsia="zh-CN"/>
        </w:rPr>
      </w:pPr>
      <w:r>
        <w:rPr>
          <w:rFonts w:hint="eastAsia" w:ascii="Times New Roman" w:hAnsi="Times New Roman" w:eastAsia="微软雅黑" w:cs="Times New Roman"/>
          <w:b/>
          <w:bCs/>
          <w:sz w:val="18"/>
          <w:lang w:eastAsia="zh-CN"/>
        </w:rPr>
        <w:t>注：</w:t>
      </w:r>
    </w:p>
    <w:p w14:paraId="7839103A">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1.  </w:t>
      </w:r>
      <w:r>
        <w:rPr>
          <w:rFonts w:hint="eastAsia" w:ascii="Times New Roman" w:hAnsi="Times New Roman" w:eastAsia="微软雅黑" w:cs="Times New Roman"/>
          <w:sz w:val="15"/>
          <w:szCs w:val="15"/>
          <w:lang w:eastAsia="zh-CN"/>
        </w:rPr>
        <w:t>肿瘤细胞含量：送检样本经</w:t>
      </w:r>
      <w:r>
        <w:rPr>
          <w:rFonts w:ascii="Times New Roman" w:hAnsi="Times New Roman" w:eastAsia="微软雅黑" w:cs="Times New Roman"/>
          <w:sz w:val="15"/>
          <w:szCs w:val="15"/>
          <w:lang w:eastAsia="zh-CN"/>
        </w:rPr>
        <w:t>HE</w:t>
      </w:r>
      <w:r>
        <w:rPr>
          <w:rFonts w:hint="eastAsia" w:ascii="Times New Roman" w:hAnsi="Times New Roman" w:eastAsia="微软雅黑" w:cs="Times New Roman"/>
          <w:sz w:val="15"/>
          <w:szCs w:val="15"/>
          <w:lang w:eastAsia="zh-CN"/>
        </w:rPr>
        <w:t>染色评估的肿瘤细胞含量。如送检样本不满足病理评估所需条件，则不进行此项评估。</w:t>
      </w:r>
    </w:p>
    <w:p w14:paraId="40308073">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2.  DNA</w:t>
      </w:r>
      <w:r>
        <w:rPr>
          <w:rFonts w:hint="eastAsia" w:ascii="Times New Roman" w:hAnsi="Times New Roman" w:eastAsia="微软雅黑" w:cs="Times New Roman"/>
          <w:sz w:val="15"/>
          <w:szCs w:val="15"/>
          <w:lang w:eastAsia="zh-CN"/>
        </w:rPr>
        <w:t>总量：送检样本的</w:t>
      </w:r>
      <w:r>
        <w:rPr>
          <w:rFonts w:ascii="Times New Roman" w:hAnsi="Times New Roman" w:eastAsia="微软雅黑" w:cs="Times New Roman"/>
          <w:sz w:val="15"/>
          <w:szCs w:val="15"/>
          <w:lang w:eastAsia="zh-CN"/>
        </w:rPr>
        <w:t>DNA</w:t>
      </w:r>
      <w:r>
        <w:rPr>
          <w:rFonts w:hint="eastAsia" w:ascii="Times New Roman" w:hAnsi="Times New Roman" w:eastAsia="微软雅黑" w:cs="Times New Roman"/>
          <w:sz w:val="15"/>
          <w:szCs w:val="15"/>
          <w:lang w:eastAsia="zh-CN"/>
        </w:rPr>
        <w:t>提取总量。</w:t>
      </w:r>
    </w:p>
    <w:p w14:paraId="1FBC8D87">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3.  DNA</w:t>
      </w:r>
      <w:r>
        <w:rPr>
          <w:rFonts w:hint="eastAsia" w:ascii="Times New Roman" w:hAnsi="Times New Roman" w:eastAsia="微软雅黑" w:cs="Times New Roman"/>
          <w:sz w:val="15"/>
          <w:szCs w:val="15"/>
          <w:lang w:eastAsia="zh-CN"/>
        </w:rPr>
        <w:t>降解程度：</w:t>
      </w:r>
    </w:p>
    <w:p w14:paraId="1F8E2E0A">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A</w:t>
      </w:r>
      <w:r>
        <w:rPr>
          <w:rFonts w:hint="eastAsia" w:ascii="Times New Roman" w:hAnsi="Times New Roman" w:eastAsia="微软雅黑" w:cs="Times New Roman"/>
          <w:sz w:val="15"/>
          <w:szCs w:val="15"/>
          <w:lang w:eastAsia="zh-CN"/>
        </w:rPr>
        <w:t>级：有主带，或降解均匀且降解区域主要集中在</w:t>
      </w:r>
      <w:r>
        <w:rPr>
          <w:rFonts w:ascii="Times New Roman" w:hAnsi="Times New Roman" w:eastAsia="微软雅黑" w:cs="Times New Roman"/>
          <w:sz w:val="15"/>
          <w:szCs w:val="15"/>
          <w:lang w:eastAsia="zh-CN"/>
        </w:rPr>
        <w:t>5000bp</w:t>
      </w:r>
      <w:r>
        <w:rPr>
          <w:rFonts w:hint="eastAsia" w:ascii="Times New Roman" w:hAnsi="Times New Roman" w:eastAsia="微软雅黑" w:cs="Times New Roman"/>
          <w:sz w:val="15"/>
          <w:szCs w:val="15"/>
          <w:lang w:eastAsia="zh-CN"/>
        </w:rPr>
        <w:t>以上；</w:t>
      </w:r>
    </w:p>
    <w:p w14:paraId="2C88FFBD">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B</w:t>
      </w:r>
      <w:r>
        <w:rPr>
          <w:rFonts w:hint="eastAsia" w:ascii="Times New Roman" w:hAnsi="Times New Roman" w:eastAsia="微软雅黑" w:cs="Times New Roman"/>
          <w:sz w:val="15"/>
          <w:szCs w:val="15"/>
          <w:lang w:eastAsia="zh-CN"/>
        </w:rPr>
        <w:t>级：无主带，降解均匀且降解区域主要集中在</w:t>
      </w:r>
      <w:r>
        <w:rPr>
          <w:rFonts w:ascii="Times New Roman" w:hAnsi="Times New Roman" w:eastAsia="微软雅黑" w:cs="Times New Roman"/>
          <w:sz w:val="15"/>
          <w:szCs w:val="15"/>
          <w:lang w:eastAsia="zh-CN"/>
        </w:rPr>
        <w:t>1500-5000bp</w:t>
      </w:r>
      <w:r>
        <w:rPr>
          <w:rFonts w:hint="eastAsia" w:ascii="Times New Roman" w:hAnsi="Times New Roman" w:eastAsia="微软雅黑" w:cs="Times New Roman"/>
          <w:sz w:val="15"/>
          <w:szCs w:val="15"/>
          <w:lang w:eastAsia="zh-CN"/>
        </w:rPr>
        <w:t>之间；</w:t>
      </w:r>
    </w:p>
    <w:p w14:paraId="1EC7C1CA">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C</w:t>
      </w:r>
      <w:r>
        <w:rPr>
          <w:rFonts w:hint="eastAsia" w:ascii="Times New Roman" w:hAnsi="Times New Roman" w:eastAsia="微软雅黑" w:cs="Times New Roman"/>
          <w:sz w:val="15"/>
          <w:szCs w:val="15"/>
          <w:lang w:eastAsia="zh-CN"/>
        </w:rPr>
        <w:t>级：无主带，降解均匀且降解区域主要集中在</w:t>
      </w:r>
      <w:r>
        <w:rPr>
          <w:rFonts w:ascii="Times New Roman" w:hAnsi="Times New Roman" w:eastAsia="微软雅黑" w:cs="Times New Roman"/>
          <w:sz w:val="15"/>
          <w:szCs w:val="15"/>
          <w:lang w:eastAsia="zh-CN"/>
        </w:rPr>
        <w:t>500-1500bp</w:t>
      </w:r>
      <w:r>
        <w:rPr>
          <w:rFonts w:hint="eastAsia" w:ascii="Times New Roman" w:hAnsi="Times New Roman" w:eastAsia="微软雅黑" w:cs="Times New Roman"/>
          <w:sz w:val="15"/>
          <w:szCs w:val="15"/>
          <w:lang w:eastAsia="zh-CN"/>
        </w:rPr>
        <w:t>之间；</w:t>
      </w:r>
    </w:p>
    <w:p w14:paraId="70622AD6">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D</w:t>
      </w:r>
      <w:r>
        <w:rPr>
          <w:rFonts w:hint="eastAsia" w:ascii="Times New Roman" w:hAnsi="Times New Roman" w:eastAsia="微软雅黑" w:cs="Times New Roman"/>
          <w:sz w:val="15"/>
          <w:szCs w:val="15"/>
          <w:lang w:eastAsia="zh-CN"/>
        </w:rPr>
        <w:t>级（不合格）：无主带，降解均匀且降解区域主要集中在</w:t>
      </w:r>
      <w:r>
        <w:rPr>
          <w:rFonts w:ascii="Times New Roman" w:hAnsi="Times New Roman" w:eastAsia="微软雅黑" w:cs="Times New Roman"/>
          <w:sz w:val="15"/>
          <w:szCs w:val="15"/>
          <w:lang w:eastAsia="zh-CN"/>
        </w:rPr>
        <w:t>500-1500bp</w:t>
      </w:r>
      <w:r>
        <w:rPr>
          <w:rFonts w:hint="eastAsia" w:ascii="Times New Roman" w:hAnsi="Times New Roman" w:eastAsia="微软雅黑" w:cs="Times New Roman"/>
          <w:sz w:val="15"/>
          <w:szCs w:val="15"/>
          <w:lang w:eastAsia="zh-CN"/>
        </w:rPr>
        <w:t>之间，但总量介于</w:t>
      </w:r>
      <w:r>
        <w:rPr>
          <w:rFonts w:ascii="Times New Roman" w:hAnsi="Times New Roman" w:eastAsia="微软雅黑" w:cs="Times New Roman"/>
          <w:sz w:val="15"/>
          <w:szCs w:val="15"/>
          <w:lang w:eastAsia="zh-CN"/>
        </w:rPr>
        <w:t>100ng</w:t>
      </w:r>
      <w:r>
        <w:rPr>
          <w:rFonts w:hint="eastAsia" w:ascii="Times New Roman" w:hAnsi="Times New Roman" w:eastAsia="微软雅黑" w:cs="Times New Roman"/>
          <w:sz w:val="15"/>
          <w:szCs w:val="15"/>
          <w:lang w:eastAsia="zh-CN"/>
        </w:rPr>
        <w:t>到</w:t>
      </w:r>
      <w:r>
        <w:rPr>
          <w:rFonts w:ascii="Times New Roman" w:hAnsi="Times New Roman" w:eastAsia="微软雅黑" w:cs="Times New Roman"/>
          <w:sz w:val="15"/>
          <w:szCs w:val="15"/>
          <w:lang w:eastAsia="zh-CN"/>
        </w:rPr>
        <w:t>300ng</w:t>
      </w:r>
      <w:r>
        <w:rPr>
          <w:rFonts w:hint="eastAsia" w:ascii="Times New Roman" w:hAnsi="Times New Roman" w:eastAsia="微软雅黑" w:cs="Times New Roman"/>
          <w:sz w:val="15"/>
          <w:szCs w:val="15"/>
          <w:lang w:eastAsia="zh-CN"/>
        </w:rPr>
        <w:t>之间；或降解区域弥散在</w:t>
      </w:r>
      <w:r>
        <w:rPr>
          <w:rFonts w:ascii="Times New Roman" w:hAnsi="Times New Roman" w:eastAsia="微软雅黑" w:cs="Times New Roman"/>
          <w:sz w:val="15"/>
          <w:szCs w:val="15"/>
          <w:lang w:eastAsia="zh-CN"/>
        </w:rPr>
        <w:t>150-1000bp</w:t>
      </w:r>
      <w:r>
        <w:rPr>
          <w:rFonts w:hint="eastAsia" w:ascii="Times New Roman" w:hAnsi="Times New Roman" w:eastAsia="微软雅黑" w:cs="Times New Roman"/>
          <w:sz w:val="15"/>
          <w:szCs w:val="15"/>
          <w:lang w:eastAsia="zh-CN"/>
        </w:rPr>
        <w:t>，或集中在</w:t>
      </w:r>
      <w:r>
        <w:rPr>
          <w:rFonts w:ascii="Times New Roman" w:hAnsi="Times New Roman" w:eastAsia="微软雅黑" w:cs="Times New Roman"/>
          <w:sz w:val="15"/>
          <w:szCs w:val="15"/>
          <w:lang w:eastAsia="zh-CN"/>
        </w:rPr>
        <w:t>500bp</w:t>
      </w:r>
      <w:r>
        <w:rPr>
          <w:rFonts w:hint="eastAsia" w:ascii="Times New Roman" w:hAnsi="Times New Roman" w:eastAsia="微软雅黑" w:cs="Times New Roman"/>
          <w:sz w:val="15"/>
          <w:szCs w:val="15"/>
          <w:lang w:eastAsia="zh-CN"/>
        </w:rPr>
        <w:t>以下。</w:t>
      </w:r>
    </w:p>
    <w:p w14:paraId="01124663">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4.  </w:t>
      </w:r>
      <w:r>
        <w:rPr>
          <w:rFonts w:hint="eastAsia" w:ascii="Times New Roman" w:hAnsi="Times New Roman" w:eastAsia="微软雅黑" w:cs="Times New Roman"/>
          <w:sz w:val="15"/>
          <w:szCs w:val="15"/>
          <w:lang w:eastAsia="zh-CN"/>
        </w:rPr>
        <w:t>预文库总量：核酸片段经过接头连接和扩增纯化后中间产物的总量。</w:t>
      </w:r>
    </w:p>
    <w:p w14:paraId="3522F425">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5.  </w:t>
      </w:r>
      <w:r>
        <w:rPr>
          <w:rFonts w:hint="eastAsia" w:ascii="Times New Roman" w:hAnsi="Times New Roman" w:eastAsia="微软雅黑" w:cs="Times New Roman"/>
          <w:sz w:val="15"/>
          <w:szCs w:val="15"/>
          <w:lang w:eastAsia="zh-CN"/>
        </w:rPr>
        <w:t>平均测序深度：目标区域每个碱基被测到的平均次数。</w:t>
      </w:r>
    </w:p>
    <w:p w14:paraId="18FD016B">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6.  </w:t>
      </w:r>
      <w:r>
        <w:rPr>
          <w:rFonts w:hint="eastAsia" w:ascii="Times New Roman" w:hAnsi="Times New Roman" w:eastAsia="微软雅黑" w:cs="Times New Roman"/>
          <w:sz w:val="15"/>
          <w:szCs w:val="15"/>
          <w:lang w:eastAsia="zh-CN"/>
        </w:rPr>
        <w:t>覆盖均一性：测序深度达到平均测序深度</w:t>
      </w:r>
      <w:r>
        <w:rPr>
          <w:rFonts w:ascii="Times New Roman" w:hAnsi="Times New Roman" w:eastAsia="微软雅黑" w:cs="Times New Roman"/>
          <w:sz w:val="15"/>
          <w:szCs w:val="15"/>
          <w:lang w:eastAsia="zh-CN"/>
        </w:rPr>
        <w:t>20%</w:t>
      </w:r>
      <w:r>
        <w:rPr>
          <w:rFonts w:hint="eastAsia" w:ascii="Times New Roman" w:hAnsi="Times New Roman" w:eastAsia="微软雅黑" w:cs="Times New Roman"/>
          <w:sz w:val="15"/>
          <w:szCs w:val="15"/>
          <w:lang w:eastAsia="zh-CN"/>
        </w:rPr>
        <w:t>的碱基占比。</w:t>
      </w:r>
    </w:p>
    <w:p w14:paraId="3D2C19E9">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7.  </w:t>
      </w:r>
      <w:r>
        <w:rPr>
          <w:rFonts w:hint="eastAsia" w:ascii="Times New Roman" w:hAnsi="Times New Roman" w:eastAsia="微软雅黑" w:cs="Times New Roman"/>
          <w:sz w:val="15"/>
          <w:szCs w:val="15"/>
          <w:lang w:eastAsia="zh-CN"/>
        </w:rPr>
        <w:t>基因组比对率：比对到参考基因组上的</w:t>
      </w:r>
      <w:r>
        <w:rPr>
          <w:rFonts w:ascii="Times New Roman" w:hAnsi="Times New Roman" w:eastAsia="微软雅黑" w:cs="Times New Roman"/>
          <w:sz w:val="15"/>
          <w:szCs w:val="15"/>
          <w:lang w:eastAsia="zh-CN"/>
        </w:rPr>
        <w:t>reads</w:t>
      </w:r>
      <w:r>
        <w:rPr>
          <w:rFonts w:hint="eastAsia" w:ascii="Times New Roman" w:hAnsi="Times New Roman" w:eastAsia="微软雅黑" w:cs="Times New Roman"/>
          <w:sz w:val="15"/>
          <w:szCs w:val="15"/>
          <w:lang w:eastAsia="zh-CN"/>
        </w:rPr>
        <w:t>数目占比。</w:t>
      </w:r>
    </w:p>
    <w:p w14:paraId="5FEACC08">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8.  </w:t>
      </w:r>
      <w:r>
        <w:rPr>
          <w:rFonts w:hint="eastAsia" w:ascii="Times New Roman" w:hAnsi="Times New Roman" w:eastAsia="微软雅黑" w:cs="Times New Roman"/>
          <w:sz w:val="15"/>
          <w:szCs w:val="15"/>
          <w:lang w:eastAsia="zh-CN"/>
        </w:rPr>
        <w:t>碱基质量</w:t>
      </w:r>
      <w:r>
        <w:rPr>
          <w:rFonts w:ascii="Times New Roman" w:hAnsi="Times New Roman" w:eastAsia="微软雅黑" w:cs="Times New Roman"/>
          <w:sz w:val="15"/>
          <w:szCs w:val="15"/>
          <w:lang w:eastAsia="zh-CN"/>
        </w:rPr>
        <w:t>Q30</w:t>
      </w:r>
      <w:r>
        <w:rPr>
          <w:rFonts w:hint="eastAsia" w:ascii="Times New Roman" w:hAnsi="Times New Roman" w:eastAsia="微软雅黑" w:cs="Times New Roman"/>
          <w:sz w:val="15"/>
          <w:szCs w:val="15"/>
          <w:lang w:eastAsia="zh-CN"/>
        </w:rPr>
        <w:t>占比：测序数据中碱基质量在</w:t>
      </w:r>
      <w:r>
        <w:rPr>
          <w:rFonts w:ascii="Times New Roman" w:hAnsi="Times New Roman" w:eastAsia="微软雅黑" w:cs="Times New Roman"/>
          <w:sz w:val="15"/>
          <w:szCs w:val="15"/>
          <w:lang w:eastAsia="zh-CN"/>
        </w:rPr>
        <w:t>Q30</w:t>
      </w:r>
      <w:r>
        <w:rPr>
          <w:rFonts w:hint="eastAsia" w:ascii="Times New Roman" w:hAnsi="Times New Roman" w:eastAsia="微软雅黑" w:cs="Times New Roman"/>
          <w:sz w:val="15"/>
          <w:szCs w:val="15"/>
          <w:lang w:eastAsia="zh-CN"/>
        </w:rPr>
        <w:t>以上（即碱基识别错误率在千分之一以下）的占比。</w:t>
      </w:r>
    </w:p>
    <w:p w14:paraId="4DA242E5">
      <w:pPr>
        <w:widowControl w:val="0"/>
        <w:spacing w:after="0" w:line="24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9.  </w:t>
      </w:r>
      <w:r>
        <w:rPr>
          <w:rFonts w:hint="eastAsia" w:ascii="Times New Roman" w:hAnsi="Times New Roman" w:eastAsia="微软雅黑" w:cs="Times New Roman"/>
          <w:sz w:val="15"/>
          <w:szCs w:val="15"/>
          <w:lang w:eastAsia="zh-CN"/>
        </w:rPr>
        <w:t>总体质量评估：根据</w:t>
      </w:r>
      <w:r>
        <w:rPr>
          <w:rFonts w:ascii="Times New Roman" w:hAnsi="Times New Roman" w:eastAsia="微软雅黑" w:cs="Times New Roman"/>
          <w:sz w:val="15"/>
          <w:szCs w:val="15"/>
          <w:lang w:eastAsia="zh-CN"/>
        </w:rPr>
        <w:t xml:space="preserve"> DNA </w:t>
      </w:r>
      <w:r>
        <w:rPr>
          <w:rFonts w:hint="eastAsia" w:ascii="Times New Roman" w:hAnsi="Times New Roman" w:eastAsia="微软雅黑" w:cs="Times New Roman"/>
          <w:sz w:val="15"/>
          <w:szCs w:val="15"/>
          <w:lang w:eastAsia="zh-CN"/>
        </w:rPr>
        <w:t>平均测序深度进行评估，分为</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合格</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警戒</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不合格</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三个等级。总体质量评估为</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警戒</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或者</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不合格</w:t>
      </w:r>
      <w:r>
        <w:rPr>
          <w:rFonts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lang w:eastAsia="zh-CN"/>
        </w:rPr>
        <w:t>时，均会影响检测的准确性和敏感性。</w:t>
      </w:r>
    </w:p>
    <w:p w14:paraId="0626033D">
      <w:pPr>
        <w:rPr>
          <w:rFonts w:hint="eastAsia" w:eastAsia="宋体"/>
          <w:lang w:eastAsia="zh-CN"/>
        </w:rPr>
      </w:pPr>
      <w:r>
        <w:rPr>
          <w:rFonts w:hint="eastAsia" w:eastAsia="宋体"/>
          <w:lang w:eastAsia="zh-CN"/>
        </w:rPr>
        <w:br w:type="page"/>
      </w:r>
    </w:p>
    <w:p w14:paraId="3B7A24E0">
      <w:pPr>
        <w:spacing w:after="0"/>
        <w:outlineLvl w:val="1"/>
        <w:rPr>
          <w:rFonts w:hint="eastAsia" w:ascii="微软雅黑" w:hAnsi="微软雅黑" w:eastAsia="微软雅黑"/>
          <w:b/>
          <w:color w:val="000000"/>
          <w:sz w:val="32"/>
          <w:lang w:eastAsia="zh-CN"/>
        </w:rPr>
      </w:pPr>
      <w:bookmarkStart w:id="12" w:name="_Toc23686"/>
      <w:r>
        <w:rPr>
          <w:rFonts w:hint="eastAsia" w:ascii="微软雅黑" w:hAnsi="微软雅黑" w:eastAsia="微软雅黑"/>
          <w:b/>
          <w:color w:val="000000"/>
          <w:sz w:val="32"/>
          <w:lang w:eastAsia="zh-CN"/>
        </w:rPr>
        <w:t>检测</w:t>
      </w:r>
      <w:bookmarkEnd w:id="12"/>
      <w:r>
        <w:rPr>
          <w:rFonts w:hint="eastAsia" w:ascii="微软雅黑" w:hAnsi="微软雅黑" w:eastAsia="微软雅黑"/>
          <w:b/>
          <w:color w:val="000000"/>
          <w:sz w:val="32"/>
          <w:lang w:val="en-US" w:eastAsia="zh-CN"/>
        </w:rPr>
        <w:t>声明</w:t>
      </w:r>
    </w:p>
    <w:p w14:paraId="57E5861B">
      <w:pPr>
        <w:widowControl w:val="0"/>
        <w:spacing w:after="0" w:line="240" w:lineRule="auto"/>
        <w:rPr>
          <w:rFonts w:ascii="Times New Roman" w:hAnsi="Times New Roman" w:eastAsia="微软雅黑" w:cs="Times New Roman"/>
          <w:highlight w:val="yellow"/>
          <w:lang w:eastAsia="zh-CN"/>
        </w:rPr>
      </w:pPr>
    </w:p>
    <w:p w14:paraId="0745E955">
      <w:pPr>
        <w:widowControl w:val="0"/>
        <w:spacing w:after="0"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F738594">
      <w:pPr>
        <w:widowControl w:val="0"/>
        <w:spacing w:after="0"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本次检测采用目标区域探针捕获技术，基于Illumina测序平台的二代高通量测序技术(NGS)对样本进行检测。本机构已依据相关技术指导准则完成技术平台验证。</w:t>
      </w:r>
    </w:p>
    <w:p w14:paraId="637A29AC">
      <w:pPr>
        <w:widowControl w:val="0"/>
        <w:spacing w:after="0" w:line="240" w:lineRule="auto"/>
        <w:rPr>
          <w:rFonts w:ascii="Times New Roman" w:hAnsi="Times New Roman" w:eastAsia="微软雅黑" w:cs="Times New Roman"/>
          <w:bCs/>
          <w:sz w:val="21"/>
          <w:szCs w:val="21"/>
          <w:lang w:eastAsia="zh-CN"/>
        </w:rPr>
      </w:pPr>
    </w:p>
    <w:p w14:paraId="3D9483B4">
      <w:pPr>
        <w:widowControl w:val="0"/>
        <w:spacing w:after="0"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E1F01EE">
      <w:pPr>
        <w:widowControl w:val="0"/>
        <w:spacing w:after="0"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4B1B819">
      <w:pPr>
        <w:widowControl w:val="0"/>
        <w:spacing w:after="0" w:line="276" w:lineRule="auto"/>
        <w:ind w:firstLine="420" w:firstLineChars="200"/>
        <w:jc w:val="both"/>
        <w:rPr>
          <w:lang w:eastAsia="zh-CN"/>
        </w:rPr>
      </w:pPr>
      <w:r>
        <w:rPr>
          <w:rFonts w:hint="eastAsia" w:ascii="Times New Roman" w:hAnsi="Times New Roman" w:eastAsia="微软雅黑" w:cs="Times New Roman"/>
          <w:bCs/>
          <w:sz w:val="21"/>
          <w:szCs w:val="21"/>
          <w:lang w:eastAsia="zh-CN"/>
        </w:rPr>
        <w:t>{%endif%}{% endfor%}</w:t>
      </w:r>
    </w:p>
    <w:sectPr>
      <w:headerReference r:id="rId7" w:type="default"/>
      <w:pgSz w:w="11900" w:h="16840"/>
      <w:pgMar w:top="1440" w:right="1134" w:bottom="144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93" w:csb1="00000000"/>
  </w:font>
  <w:font w:name="微软雅黑">
    <w:panose1 w:val="020B0503020204020204"/>
    <w:charset w:val="86"/>
    <w:family w:val="swiss"/>
    <w:pitch w:val="default"/>
    <w:sig w:usb0="80000287" w:usb1="2ACF3C50" w:usb2="00000016" w:usb3="00000000" w:csb0="0004001F"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方正兰亭大黑_GBK">
    <w:panose1 w:val="02000000000000000000"/>
    <w:charset w:val="86"/>
    <w:family w:val="auto"/>
    <w:pitch w:val="default"/>
    <w:sig w:usb0="A00002BF" w:usb1="3BCF7CFA" w:usb2="00042016" w:usb3="0000001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29DAF">
    <w:pPr>
      <w:jc w:val="center"/>
    </w:pPr>
    <w:r>
      <w:rPr>
        <w:rFonts w:ascii="微软雅黑" w:hAnsi="微软雅黑" w:eastAsia="微软雅黑"/>
        <w:b/>
        <w:sz w:val="20"/>
      </w:rPr>
      <w:fldChar w:fldCharType="begin"/>
    </w:r>
    <w:r>
      <w:rPr>
        <w:rFonts w:ascii="微软雅黑" w:hAnsi="微软雅黑" w:eastAsia="微软雅黑"/>
        <w:b/>
        <w:sz w:val="20"/>
      </w:rPr>
      <w:instrText xml:space="preserve">PAGE</w:instrText>
    </w:r>
    <w:r>
      <w:rPr>
        <w:rFonts w:ascii="微软雅黑" w:hAnsi="微软雅黑" w:eastAsia="微软雅黑"/>
        <w:b/>
        <w:sz w:val="20"/>
      </w:rPr>
      <w:fldChar w:fldCharType="separate"/>
    </w:r>
    <w:r>
      <w:rPr>
        <w:rFonts w:hint="eastAsia" w:ascii="微软雅黑" w:hAnsi="微软雅黑" w:eastAsia="微软雅黑"/>
        <w:b/>
        <w:sz w:val="20"/>
      </w:rPr>
      <w:t>1</w:t>
    </w:r>
    <w:r>
      <w:rPr>
        <w:rFonts w:ascii="微软雅黑" w:hAnsi="微软雅黑" w:eastAsia="微软雅黑"/>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CC01F">
    <w:pPr>
      <w:jc w:val="center"/>
    </w:pPr>
    <w:r>
      <w:drawing>
        <wp:inline distT="0" distB="0" distL="114300" distR="114300">
          <wp:extent cx="3700780" cy="719455"/>
          <wp:effectExtent l="0" t="0" r="139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5EE33416">
    <w:pPr>
      <w:jc w:val="center"/>
    </w:pPr>
    <w:r>
      <w:rPr>
        <w:rFonts w:hint="eastAsia" w:ascii="宋体" w:hAnsi="宋体" w:eastAsia="宋体"/>
        <w:b/>
        <w:sz w:val="28"/>
      </w:rPr>
      <w:t>分子病理基因检测报告单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B1EA3">
    <w:pPr>
      <w:jc w:val="center"/>
    </w:pPr>
    <w:r>
      <w:drawing>
        <wp:inline distT="0" distB="0" distL="114300" distR="114300">
          <wp:extent cx="3700780" cy="719455"/>
          <wp:effectExtent l="0" t="0" r="7620" b="171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C7D6809"/>
    <w:multiLevelType w:val="singleLevel"/>
    <w:tmpl w:val="1C7D6809"/>
    <w:lvl w:ilvl="0" w:tentative="0">
      <w:start w:val="1"/>
      <w:numFmt w:val="bullet"/>
      <w:lvlText w:val=""/>
      <w:lvlJc w:val="left"/>
      <w:pPr>
        <w:ind w:left="420" w:hanging="420"/>
      </w:pPr>
      <w:rPr>
        <w:rFonts w:hint="default" w:ascii="Wingdings" w:hAnsi="Wingdings"/>
      </w:rPr>
    </w:lvl>
  </w:abstractNum>
  <w:abstractNum w:abstractNumId="7">
    <w:nsid w:val="29BFB0FD"/>
    <w:multiLevelType w:val="multilevel"/>
    <w:tmpl w:val="29BFB0F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default" w:ascii="Times New Roman" w:hAnsi="Times New Roman" w:cs="Times New Roman"/>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8">
    <w:nsid w:val="479030E4"/>
    <w:multiLevelType w:val="singleLevel"/>
    <w:tmpl w:val="479030E4"/>
    <w:lvl w:ilvl="0" w:tentative="0">
      <w:start w:val="1"/>
      <w:numFmt w:val="decimal"/>
      <w:lvlText w:val="%1."/>
      <w:lvlJc w:val="left"/>
      <w:pPr>
        <w:ind w:left="425" w:hanging="425"/>
      </w:pPr>
      <w:rPr>
        <w:rFonts w:hint="default"/>
        <w:sz w:val="18"/>
        <w:szCs w:val="18"/>
      </w:rPr>
    </w:lvl>
  </w:abstractNum>
  <w:abstractNum w:abstractNumId="9">
    <w:nsid w:val="4C0A1103"/>
    <w:multiLevelType w:val="singleLevel"/>
    <w:tmpl w:val="4C0A1103"/>
    <w:lvl w:ilvl="0" w:tentative="0">
      <w:start w:val="1"/>
      <w:numFmt w:val="decimal"/>
      <w:lvlText w:val="%1."/>
      <w:lvlJc w:val="left"/>
      <w:pPr>
        <w:ind w:left="425" w:hanging="425"/>
      </w:pPr>
      <w:rPr>
        <w:rFonts w:hint="default"/>
        <w:sz w:val="18"/>
        <w:szCs w:val="18"/>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9"/>
    <w:lvlOverride w:ilvl="0">
      <w:startOverride w:val="1"/>
    </w:lvlOverride>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EEC"/>
    <w:rsid w:val="00034616"/>
    <w:rsid w:val="0006063C"/>
    <w:rsid w:val="00064CC5"/>
    <w:rsid w:val="000B63EA"/>
    <w:rsid w:val="00111B52"/>
    <w:rsid w:val="0015074B"/>
    <w:rsid w:val="002366AB"/>
    <w:rsid w:val="0029639D"/>
    <w:rsid w:val="00326F90"/>
    <w:rsid w:val="00331C7A"/>
    <w:rsid w:val="0033272F"/>
    <w:rsid w:val="006A331F"/>
    <w:rsid w:val="00906583"/>
    <w:rsid w:val="00AA1D8D"/>
    <w:rsid w:val="00AD6C03"/>
    <w:rsid w:val="00B47730"/>
    <w:rsid w:val="00CB0664"/>
    <w:rsid w:val="00D82770"/>
    <w:rsid w:val="00FC693F"/>
    <w:rsid w:val="01C26E13"/>
    <w:rsid w:val="03AA5DB1"/>
    <w:rsid w:val="057D69E2"/>
    <w:rsid w:val="07AF3996"/>
    <w:rsid w:val="097F1A8E"/>
    <w:rsid w:val="098F309D"/>
    <w:rsid w:val="0D35493D"/>
    <w:rsid w:val="0D705975"/>
    <w:rsid w:val="0DB26A52"/>
    <w:rsid w:val="0F4E1541"/>
    <w:rsid w:val="120B4A09"/>
    <w:rsid w:val="12A43147"/>
    <w:rsid w:val="13313C85"/>
    <w:rsid w:val="13A66595"/>
    <w:rsid w:val="14F41496"/>
    <w:rsid w:val="15C90318"/>
    <w:rsid w:val="16D74CB7"/>
    <w:rsid w:val="18AD4FC2"/>
    <w:rsid w:val="1A1C2B2A"/>
    <w:rsid w:val="1DA16221"/>
    <w:rsid w:val="227B30DE"/>
    <w:rsid w:val="25143F95"/>
    <w:rsid w:val="2705317A"/>
    <w:rsid w:val="27C941A8"/>
    <w:rsid w:val="28D265E4"/>
    <w:rsid w:val="29344BC9"/>
    <w:rsid w:val="2AA36F32"/>
    <w:rsid w:val="2B8054C5"/>
    <w:rsid w:val="2C974875"/>
    <w:rsid w:val="2CC82C80"/>
    <w:rsid w:val="2D5269E7"/>
    <w:rsid w:val="2F4D6084"/>
    <w:rsid w:val="331365F3"/>
    <w:rsid w:val="333F2E0A"/>
    <w:rsid w:val="33784CD4"/>
    <w:rsid w:val="34207080"/>
    <w:rsid w:val="34C463DA"/>
    <w:rsid w:val="357E3635"/>
    <w:rsid w:val="3AD4138A"/>
    <w:rsid w:val="3DBA42C7"/>
    <w:rsid w:val="3E6B5B61"/>
    <w:rsid w:val="3E7F6402"/>
    <w:rsid w:val="3FA62446"/>
    <w:rsid w:val="416A109C"/>
    <w:rsid w:val="43B379E8"/>
    <w:rsid w:val="46496210"/>
    <w:rsid w:val="4B0B4954"/>
    <w:rsid w:val="4B6A3DF6"/>
    <w:rsid w:val="4C7351BF"/>
    <w:rsid w:val="4D330192"/>
    <w:rsid w:val="4E0423C2"/>
    <w:rsid w:val="4E8C1402"/>
    <w:rsid w:val="4ED5661F"/>
    <w:rsid w:val="52625E45"/>
    <w:rsid w:val="5A126225"/>
    <w:rsid w:val="5A350349"/>
    <w:rsid w:val="5ADF54B5"/>
    <w:rsid w:val="5EF94460"/>
    <w:rsid w:val="5F031561"/>
    <w:rsid w:val="5FAA46BE"/>
    <w:rsid w:val="61B60AA8"/>
    <w:rsid w:val="61FE4473"/>
    <w:rsid w:val="627F0373"/>
    <w:rsid w:val="66D37220"/>
    <w:rsid w:val="67080B97"/>
    <w:rsid w:val="687D7161"/>
    <w:rsid w:val="68B731E7"/>
    <w:rsid w:val="6907473B"/>
    <w:rsid w:val="6AD279A3"/>
    <w:rsid w:val="6B80239C"/>
    <w:rsid w:val="6D1A412B"/>
    <w:rsid w:val="6E324C1E"/>
    <w:rsid w:val="6EB8541A"/>
    <w:rsid w:val="6FA84DB7"/>
    <w:rsid w:val="70730F3D"/>
    <w:rsid w:val="70BA0DD5"/>
    <w:rsid w:val="723B701D"/>
    <w:rsid w:val="751F38D5"/>
    <w:rsid w:val="757E7D94"/>
    <w:rsid w:val="76DF4B3E"/>
    <w:rsid w:val="798C015E"/>
    <w:rsid w:val="7BF053B7"/>
    <w:rsid w:val="FFFB23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 w:type="table" w:customStyle="1" w:styleId="164">
    <w:name w:val="Table Normal1"/>
    <w:autoRedefine/>
    <w:qFormat/>
    <w:uiPriority w:val="2"/>
    <w:rPr>
      <w:rFonts w:ascii="Times New Roman" w:hAnsi="Times New Roman" w:eastAsia="宋体" w:cs="Times New Roman"/>
    </w:rPr>
    <w:tblPr>
      <w:tblCellMar>
        <w:top w:w="0" w:type="dxa"/>
        <w:left w:w="0" w:type="dxa"/>
        <w:bottom w:w="0" w:type="dxa"/>
        <w:right w:w="0" w:type="dxa"/>
      </w:tblCellMar>
    </w:tblPr>
  </w:style>
  <w:style w:type="table" w:customStyle="1" w:styleId="165">
    <w:name w:val="网格型1"/>
    <w:basedOn w:val="32"/>
    <w:autoRedefine/>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6">
    <w:name w:val="Table Paragraph"/>
    <w:basedOn w:val="1"/>
    <w:autoRedefine/>
    <w:qFormat/>
    <w:uiPriority w:val="1"/>
  </w:style>
  <w:style w:type="paragraph" w:customStyle="1" w:styleId="167">
    <w:name w:val="样式1"/>
    <w:basedOn w:val="19"/>
    <w:autoRedefine/>
    <w:qFormat/>
    <w:uiPriority w:val="1"/>
    <w:pPr>
      <w:spacing w:line="276" w:lineRule="auto"/>
    </w:pPr>
    <w:rPr>
      <w:rFonts w:ascii="Times New Roman" w:hAnsi="Times New Roman" w:eastAsia="微软雅黑" w:cs="Times New Roman"/>
      <w:b/>
      <w:color w:val="45A3A7"/>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3346</Words>
  <Characters>8633</Characters>
  <Lines>40</Lines>
  <Paragraphs>11</Paragraphs>
  <TotalTime>0</TotalTime>
  <ScaleCrop>false</ScaleCrop>
  <LinksUpToDate>false</LinksUpToDate>
  <CharactersWithSpaces>9284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fengyy</dc:creator>
  <cp:lastModifiedBy>levi</cp:lastModifiedBy>
  <dcterms:modified xsi:type="dcterms:W3CDTF">2026-05-22T09:22:34Z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eyJoZGlkIjoiY2Y2NjU5MGIzZGFmM2M5NTIxMmI2NjdmNGQ0NDdjMDUiLCJ1c2VySWQiOiI2MjE3NDUxNTQifQ==</vt:lpwstr>
  </property>
  <property fmtid="{D5CDD505-2E9C-101B-9397-08002B2CF9AE}" pid="3" name="KSOProductBuildVer">
    <vt:lpwstr>2052-12.8.2.18205</vt:lpwstr>
  </property>
  <property fmtid="{D5CDD505-2E9C-101B-9397-08002B2CF9AE}" pid="4" name="ICV">
    <vt:lpwstr>77C7F60402E9466795C27868484F6D22_43</vt:lpwstr>
  </property>
</Properties>
</file>