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D65AB21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576" w:lineRule="exact"/>
        <w:ind w:left="2668" w:right="2557"/>
        <w:jc w:val="center"/>
        <w:textAlignment w:val="auto"/>
        <w:rPr>
          <w:color w:val="000000"/>
          <w:sz w:val="52"/>
        </w:rPr>
      </w:pPr>
      <w:bookmarkStart w:id="0" w:name="_GoBack"/>
      <w:bookmarkEnd w:id="0"/>
      <w:r>
        <w:rPr>
          <w:rFonts w:hint="default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page">
                  <wp:posOffset>6002020</wp:posOffset>
                </wp:positionH>
                <wp:positionV relativeFrom="paragraph">
                  <wp:posOffset>171450</wp:posOffset>
                </wp:positionV>
                <wp:extent cx="419100" cy="393700"/>
                <wp:effectExtent l="0" t="0" r="0" b="0"/>
                <wp:wrapNone/>
                <wp:docPr id="5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93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B5D5600">
                            <w:pPr>
                              <w:widowControl/>
                              <w:autoSpaceDE/>
                              <w:autoSpaceDN/>
                              <w:adjustRightInd/>
                              <w:spacing w:line="620" w:lineRule="atLeast"/>
                            </w:pPr>
                            <w:r>
                              <w:drawing>
                                <wp:inline distT="0" distB="0" distL="114300" distR="114300">
                                  <wp:extent cx="424180" cy="400050"/>
                                  <wp:effectExtent l="0" t="0" r="7620" b="6350"/>
                                  <wp:docPr id="6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4180" cy="4000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B91092"/>
                        </w:txbxContent>
                      </wps:txbx>
                      <wps:bodyPr wrap="square"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rect id="矩形 2" o:spid="_x0000_s1026" o:spt="1" style="position:absolute;left:0pt;margin-left:472.6pt;margin-top:13.5pt;height:31pt;width:33pt;mso-position-horizontal-relative:page;z-index:-251655168;mso-width-relative:page;mso-height-relative:page;" filled="f" stroked="f" coordsize="21600,21600" o:gfxdata="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1B5D5600">
                      <w:pPr>
                        <w:widowControl/>
                        <w:autoSpaceDE/>
                        <w:autoSpaceDN/>
                        <w:adjustRightInd/>
                        <w:spacing w:line="620" w:lineRule="atLeast"/>
                      </w:pPr>
                      <w:r>
                        <w:drawing>
                          <wp:inline distT="0" distB="0" distL="114300" distR="114300">
                            <wp:extent cx="424180" cy="400050"/>
                            <wp:effectExtent l="0" t="0" r="7620" b="6350"/>
                            <wp:docPr id="6" name="图片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图片 1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4180" cy="4000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B91092"/>
                  </w:txbxContent>
                </v:textbox>
              </v:rect>
            </w:pict>
          </mc:Fallback>
        </mc:AlternateContent>
      </w:r>
      <w:r>
        <w:rPr>
          <w:color w:val="FF0000"/>
          <w:sz w:val="52"/>
        </w:rPr>
        <w:t>河南省人民医院病理科</w:t>
      </w:r>
    </w:p>
    <w:p w14:paraId="1062C5D1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40" w:line="415" w:lineRule="exact"/>
        <w:ind w:left="2657" w:right="2557"/>
        <w:jc w:val="center"/>
        <w:textAlignment w:val="auto"/>
        <w:rPr>
          <w:color w:val="000000"/>
          <w:sz w:val="40"/>
        </w:rPr>
      </w:pPr>
      <w:r>
        <w:rPr>
          <w:color w:val="0000FF"/>
          <w:sz w:val="40"/>
        </w:rPr>
        <w:t>肺癌相关基因检测报告</w:t>
      </w:r>
    </w:p>
    <w:p w14:paraId="3ACAD29C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40" w:line="415" w:lineRule="exact"/>
        <w:ind w:left="2657" w:right="2557"/>
        <w:jc w:val="center"/>
        <w:textAlignment w:val="auto"/>
        <w:rPr>
          <w:color w:val="000000"/>
          <w:sz w:val="40"/>
        </w:rPr>
        <w:sectPr>
          <w:footerReference r:id="rId3" w:type="default"/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47291B57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15" w:lineRule="exact"/>
        <w:ind w:left="0"/>
        <w:jc w:val="right"/>
        <w:textAlignment w:val="auto"/>
      </w:pPr>
      <w:r>
        <w:t>分子号:</w:t>
      </w:r>
    </w:p>
    <w:p w14:paraId="0F0AAD9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99" w:lineRule="exact"/>
        <w:ind w:left="0"/>
        <w:jc w:val="right"/>
        <w:textAlignment w:val="auto"/>
      </w:pPr>
      <w:r>
        <w:t>病理号:</w:t>
      </w:r>
    </w:p>
    <w:p w14:paraId="5DE0F04E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47" w:lineRule="auto"/>
        <w:ind w:left="75"/>
        <w:textAlignment w:val="auto"/>
        <w:rPr>
          <w:rFonts w:hint="default" w:ascii="Times New Roman" w:hAnsi="Times New Roman" w:eastAsia="Times New Roman"/>
          <w:color w:val="FF0000"/>
          <w:spacing w:val="-1"/>
        </w:rPr>
      </w:pPr>
      <w:r>
        <w:rPr>
          <w:rFonts w:hint="default"/>
          <w:spacing w:val="-1"/>
        </w:rPr>
        <w:br w:type="column"/>
      </w:r>
    </w:p>
    <w:p w14:paraId="27B1B97E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47" w:lineRule="auto"/>
        <w:ind w:left="75"/>
        <w:textAlignment w:val="auto"/>
        <w:rPr>
          <w:rFonts w:hint="default" w:ascii="Times New Roman" w:hAnsi="Times New Roman" w:eastAsia="宋体"/>
          <w:color w:val="000000"/>
          <w:w w:val="105"/>
          <w:lang w:val="en-US" w:eastAsia="zh-CN"/>
        </w:rPr>
      </w:pPr>
      <w:r>
        <w:rPr>
          <w:rFonts w:hint="eastAsia" w:ascii="Times New Roman" w:hAnsi="Times New Roman" w:eastAsia="宋体"/>
          <w:color w:val="FF0000"/>
          <w:w w:val="105"/>
          <w:lang w:val="en-US" w:eastAsia="zh-CN"/>
        </w:rPr>
        <w:t>{{template_subbarcode}}</w:t>
      </w:r>
    </w:p>
    <w:p w14:paraId="7B2A37CC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47" w:lineRule="auto"/>
        <w:ind w:left="75"/>
        <w:textAlignment w:val="auto"/>
        <w:rPr>
          <w:rFonts w:hint="default" w:ascii="Times New Roman" w:hAnsi="Times New Roman" w:eastAsia="Times New Roman"/>
          <w:color w:val="000000"/>
          <w:w w:val="105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equalWidth="0" w:num="2">
            <w:col w:w="8341" w:space="40"/>
            <w:col w:w="2089"/>
          </w:cols>
        </w:sectPr>
      </w:pPr>
    </w:p>
    <w:p w14:paraId="12616AA6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0"/>
        <w:textAlignment w:val="auto"/>
        <w:rPr>
          <w:rFonts w:hint="default" w:ascii="Times New Roman" w:hAnsi="Times New Roman" w:eastAsia="Times New Roman"/>
          <w:sz w:val="13"/>
        </w:rPr>
      </w:pPr>
    </w:p>
    <w:p w14:paraId="3E452CC9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0" w:lineRule="exact"/>
        <w:ind w:left="149"/>
        <w:textAlignment w:val="auto"/>
        <w:rPr>
          <w:rFonts w:hint="default" w:ascii="Times New Roman" w:hAnsi="Times New Roman" w:eastAsia="Times New Roman"/>
          <w:sz w:val="2"/>
        </w:rPr>
      </w:pPr>
      <w:r>
        <w:rPr>
          <w:rFonts w:hint="default" w:ascii="Times New Roman" w:hAnsi="Times New Roman" w:eastAsia="Times New Roman"/>
          <w:sz w:val="2"/>
        </w:rPr>
        <mc:AlternateContent>
          <mc:Choice Requires="wpg">
            <w:drawing>
              <wp:inline distT="0" distB="0" distL="114300" distR="114300">
                <wp:extent cx="6480810" cy="12700"/>
                <wp:effectExtent l="0" t="0" r="0" b="0"/>
                <wp:docPr id="2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810" cy="12700"/>
                          <a:chOff x="7" y="7"/>
                          <a:chExt cx="10191" cy="20"/>
                        </a:xfrm>
                      </wpg:grpSpPr>
                      <wps:wsp>
                        <wps:cNvPr id="1" name="任意多边形 4"/>
                        <wps:cNvSpPr/>
                        <wps:spPr>
                          <a:xfrm>
                            <a:off x="7" y="7"/>
                            <a:ext cx="10191" cy="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91" h="20">
                                <a:moveTo>
                                  <a:pt x="0" y="0"/>
                                </a:moveTo>
                                <a:lnTo>
                                  <a:pt x="10190" y="0"/>
                                </a:lnTo>
                              </a:path>
                            </a:pathLst>
                          </a:custGeom>
                          <a:noFill/>
                          <a:ln w="9144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wrap="square"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3" o:spid="_x0000_s1026" o:spt="203" style="height:1pt;width:510.3pt;" coordorigin="7,7" coordsize="10191,20" o:gfxdata="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">
                <o:lock v:ext="edit" aspectratio="f"/>
                <v:shape id="任意多边形 4" o:spid="_x0000_s1026" o:spt="100" style="position:absolute;left:7;top:7;height:20;width:10191;" filled="f" stroked="t" coordsize="10191,20" o:gfxdata="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0yaUrugAAANoA&#10;AAAPAAAAAAAAAAEAIAAAACIAAABkcnMvZG93bnJldi54bWxQSwECFAAUAAAACACHTuJAMy8FnjsA&#10;AAA5AAAAEAAAAAAAAAABACAAAAAJAQAAZHJzL3NoYXBleG1sLnhtbFBLBQYAAAAABgAGAFsBAACz&#10;AwAAAAA=&#10;" path="m0,0l10190,0e">
                  <v:fill on="f" focussize="0,0"/>
                  <v:stroke weight="0.72pt" color="#000000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4DE093BB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0" w:lineRule="exact"/>
        <w:ind w:left="149"/>
        <w:textAlignment w:val="auto"/>
        <w:rPr>
          <w:rFonts w:hint="default" w:ascii="Times New Roman" w:hAnsi="Times New Roman" w:eastAsia="Times New Roman"/>
          <w:sz w:val="2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equalWidth="0" w:num="1">
            <w:col w:w="10470"/>
          </w:cols>
        </w:sectPr>
      </w:pPr>
    </w:p>
    <w:tbl>
      <w:tblPr>
        <w:tblStyle w:val="9"/>
        <w:tblW w:w="0" w:type="auto"/>
        <w:tblInd w:w="16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1"/>
        <w:gridCol w:w="1690"/>
        <w:gridCol w:w="1419"/>
        <w:gridCol w:w="1824"/>
        <w:gridCol w:w="2010"/>
        <w:gridCol w:w="1607"/>
      </w:tblGrid>
      <w:tr w14:paraId="4B498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741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FED83E4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240" w:firstLineChars="10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姓    名：</w:t>
            </w:r>
          </w:p>
        </w:tc>
        <w:tc>
          <w:tcPr>
            <w:tcW w:w="169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348F9BFE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{{client}}</w:t>
            </w:r>
          </w:p>
        </w:tc>
        <w:tc>
          <w:tcPr>
            <w:tcW w:w="1419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5A61DE2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    别：</w:t>
            </w:r>
          </w:p>
        </w:tc>
        <w:tc>
          <w:tcPr>
            <w:tcW w:w="1824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20DDAFF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both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{{sex}}</w:t>
            </w:r>
          </w:p>
        </w:tc>
        <w:tc>
          <w:tcPr>
            <w:tcW w:w="201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2410D4B8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年  龄</w:t>
            </w:r>
            <w:r>
              <w:rPr>
                <w:rFonts w:hint="eastAsia"/>
                <w:vertAlign w:val="baseline"/>
                <w:lang w:val="en-US" w:eastAsia="zh-CN"/>
              </w:rPr>
              <w:t>：</w:t>
            </w:r>
          </w:p>
        </w:tc>
        <w:tc>
          <w:tcPr>
            <w:tcW w:w="1607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01E06ECB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{{age}}</w:t>
            </w:r>
          </w:p>
        </w:tc>
      </w:tr>
      <w:tr w14:paraId="65168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741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1C183E9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240" w:firstLineChars="10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送检医院：</w:t>
            </w:r>
          </w:p>
        </w:tc>
        <w:tc>
          <w:tcPr>
            <w:tcW w:w="169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33D8C27D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{{hospital}}</w:t>
            </w:r>
          </w:p>
        </w:tc>
        <w:tc>
          <w:tcPr>
            <w:tcW w:w="1419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1A699121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科    别：</w:t>
            </w:r>
          </w:p>
        </w:tc>
        <w:tc>
          <w:tcPr>
            <w:tcW w:w="1824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62740219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both"/>
              <w:textAlignment w:val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vertAlign w:val="baseline"/>
                <w:lang w:val="en-US" w:eastAsia="zh-CN"/>
              </w:rPr>
              <w:t>{{locationname}}</w:t>
            </w:r>
          </w:p>
        </w:tc>
        <w:tc>
          <w:tcPr>
            <w:tcW w:w="201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301DDD8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住院号</w:t>
            </w:r>
            <w:r>
              <w:rPr>
                <w:rFonts w:hint="eastAsia"/>
                <w:vertAlign w:val="baseline"/>
                <w:lang w:val="en-US" w:eastAsia="zh-CN"/>
              </w:rPr>
              <w:t>：</w:t>
            </w:r>
          </w:p>
        </w:tc>
        <w:tc>
          <w:tcPr>
            <w:tcW w:w="1607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15BDC3D8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{{room}}</w:t>
            </w:r>
          </w:p>
        </w:tc>
      </w:tr>
      <w:tr w14:paraId="6F160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741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7FB82254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240" w:firstLineChars="10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检测部位：</w:t>
            </w:r>
          </w:p>
        </w:tc>
        <w:tc>
          <w:tcPr>
            <w:tcW w:w="169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6FB6945D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jc w:val="left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19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281D763E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标本类型：</w:t>
            </w:r>
          </w:p>
        </w:tc>
        <w:tc>
          <w:tcPr>
            <w:tcW w:w="1824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2A3192DB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both"/>
              <w:textAlignment w:val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vertAlign w:val="baseline"/>
                <w:lang w:val="en-US" w:eastAsia="zh-CN"/>
              </w:rPr>
              <w:t>{{specimentype}}</w:t>
            </w:r>
          </w:p>
        </w:tc>
        <w:tc>
          <w:tcPr>
            <w:tcW w:w="201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5F7AA216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肿瘤细胞比例：</w:t>
            </w:r>
          </w:p>
        </w:tc>
        <w:tc>
          <w:tcPr>
            <w:tcW w:w="1607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75CC38FB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{{tumorcellcontent}}</w:t>
            </w:r>
          </w:p>
        </w:tc>
      </w:tr>
      <w:tr w14:paraId="0ADB1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741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12024E7F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240" w:firstLineChars="10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申请医师：</w:t>
            </w:r>
          </w:p>
        </w:tc>
        <w:tc>
          <w:tcPr>
            <w:tcW w:w="169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AB2A95E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{{doctorname}}</w:t>
            </w:r>
          </w:p>
        </w:tc>
        <w:tc>
          <w:tcPr>
            <w:tcW w:w="1419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7BA4E0C6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送检日期：</w:t>
            </w:r>
          </w:p>
        </w:tc>
        <w:tc>
          <w:tcPr>
            <w:tcW w:w="1824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6892F2FF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both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 w:ascii="宋体" w:hAnsi="宋体" w:eastAsia="宋体" w:cs="Times New Roman"/>
                <w:vertAlign w:val="baseline"/>
                <w:lang w:val="en-US" w:eastAsia="zh-CN"/>
              </w:rPr>
              <w:t>commission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_</w:t>
            </w:r>
            <w:r>
              <w:rPr>
                <w:rFonts w:hint="eastAsia" w:ascii="宋体" w:hAnsi="宋体" w:eastAsia="宋体" w:cs="Times New Roman"/>
                <w:vertAlign w:val="baseline"/>
                <w:lang w:val="en-US" w:eastAsia="zh-CN"/>
              </w:rPr>
              <w:t>date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  <w:tc>
          <w:tcPr>
            <w:tcW w:w="201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5B116FD8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报告日期：</w:t>
            </w:r>
          </w:p>
        </w:tc>
        <w:tc>
          <w:tcPr>
            <w:tcW w:w="1607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189B2A96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{{reportdate}}</w:t>
            </w:r>
          </w:p>
        </w:tc>
      </w:tr>
    </w:tbl>
    <w:p w14:paraId="28E81CF5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textAlignment w:val="auto"/>
        <w:rPr>
          <w:sz w:val="2"/>
        </w:rPr>
      </w:pPr>
      <w:r>
        <w:rPr>
          <w:rFonts w:hint="eastAsia"/>
          <w:lang w:val="en-US" w:eastAsia="zh-CN"/>
        </w:rPr>
        <w:t>️</w:t>
      </w:r>
      <w:r>
        <w:rPr>
          <w:sz w:val="2"/>
        </w:rPr>
        <mc:AlternateContent>
          <mc:Choice Requires="wpg">
            <w:drawing>
              <wp:inline distT="0" distB="0" distL="114300" distR="114300">
                <wp:extent cx="6422390" cy="76200"/>
                <wp:effectExtent l="0" t="0" r="0" b="0"/>
                <wp:docPr id="4" name="组合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2390" cy="76200"/>
                          <a:chOff x="7" y="7"/>
                          <a:chExt cx="10191" cy="20"/>
                        </a:xfrm>
                      </wpg:grpSpPr>
                      <wps:wsp>
                        <wps:cNvPr id="3" name="任意多边形 6"/>
                        <wps:cNvSpPr/>
                        <wps:spPr>
                          <a:xfrm>
                            <a:off x="7" y="7"/>
                            <a:ext cx="10191" cy="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91" h="20">
                                <a:moveTo>
                                  <a:pt x="0" y="0"/>
                                </a:moveTo>
                                <a:lnTo>
                                  <a:pt x="10190" y="0"/>
                                </a:lnTo>
                              </a:path>
                            </a:pathLst>
                          </a:custGeom>
                          <a:noFill/>
                          <a:ln w="9144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wrap="square"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5" o:spid="_x0000_s1026" o:spt="203" style="height:6pt;width:505.7pt;" coordorigin="7,7" coordsize="10191,20" o:gfxdata="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">
                <o:lock v:ext="edit" aspectratio="f"/>
                <v:shape id="任意多边形 6" o:spid="_x0000_s1026" o:spt="100" style="position:absolute;left:7;top:7;height:20;width:10191;" filled="f" stroked="t" coordsize="10191,20" o:gfxdata="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tXnse8AAAA&#10;2gAAAA8AAAAAAAAAAQAgAAAAIgAAAGRycy9kb3ducmV2LnhtbFBLAQIUABQAAAAIAIdO4kAzLwWe&#10;OwAAADkAAAAQAAAAAAAAAAEAIAAAAAsBAABkcnMvc2hhcGV4bWwueG1sUEsFBgAAAAAGAAYAWwEA&#10;ALUDAAAAAA==&#10;" path="m0,0l10190,0e">
                  <v:fill on="f" focussize="0,0"/>
                  <v:stroke weight="0.72pt" color="#000000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6BAB992D">
      <w:pPr>
        <w:pStyle w:val="4"/>
        <w:keepNext w:val="0"/>
        <w:keepLines w:val="0"/>
        <w:pageBreakBefore w:val="0"/>
        <w:tabs>
          <w:tab w:val="left" w:pos="1654"/>
          <w:tab w:val="left" w:pos="3920"/>
        </w:tabs>
        <w:kinsoku w:val="0"/>
        <w:wordWrap w:val="0"/>
        <w:overflowPunct w:val="0"/>
        <w:topLinePunct w:val="0"/>
        <w:bidi w:val="0"/>
        <w:adjustRightInd w:val="0"/>
        <w:spacing w:before="43"/>
        <w:ind w:right="123"/>
        <w:textAlignment w:val="auto"/>
      </w:pPr>
      <w:r>
        <w:t>检测项目:</w:t>
      </w:r>
      <w:r>
        <w:tab/>
      </w:r>
      <w:r>
        <w:t>肺癌相关基因检测</w:t>
      </w:r>
      <w:r>
        <w:tab/>
      </w:r>
      <w:r>
        <w:t>EGFR、ALK、KRAS、BRAF、ROS1、PIK3CA</w:t>
      </w:r>
    </w:p>
    <w:p w14:paraId="312039B3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7"/>
        <w:ind w:left="0"/>
        <w:textAlignment w:val="auto"/>
        <w:rPr>
          <w:sz w:val="8"/>
        </w:rPr>
      </w:pPr>
    </w:p>
    <w:p w14:paraId="1E7E6BA3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7"/>
        <w:ind w:left="0"/>
        <w:textAlignment w:val="auto"/>
        <w:rPr>
          <w:sz w:val="8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equalWidth="0" w:num="1">
            <w:col w:w="10470"/>
          </w:cols>
        </w:sectPr>
      </w:pPr>
    </w:p>
    <w:p w14:paraId="0C710C9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2"/>
        <w:ind w:right="123"/>
        <w:textAlignment w:val="auto"/>
      </w:pPr>
      <w:r>
        <w:t>检测方法与仪器:</w:t>
      </w:r>
      <w:r>
        <w:rPr>
          <w:spacing w:val="-48"/>
        </w:rPr>
        <w:t xml:space="preserve"> </w:t>
      </w:r>
      <w:r>
        <w:rPr>
          <w:rFonts w:hint="default"/>
          <w:spacing w:val="-48"/>
          <w:lang w:val="en-US"/>
        </w:rPr>
        <w:t xml:space="preserve"> </w:t>
      </w:r>
      <w:r>
        <w:t>多重PCR捕获和半导体测序技术，基因测序仪。</w:t>
      </w:r>
    </w:p>
    <w:p w14:paraId="67FC4927">
      <w:pPr>
        <w:pStyle w:val="4"/>
        <w:keepNext w:val="0"/>
        <w:keepLines w:val="0"/>
        <w:pageBreakBefore w:val="0"/>
        <w:tabs>
          <w:tab w:val="left" w:pos="2900"/>
        </w:tabs>
        <w:kinsoku w:val="0"/>
        <w:wordWrap w:val="0"/>
        <w:overflowPunct w:val="0"/>
        <w:topLinePunct w:val="0"/>
        <w:bidi w:val="0"/>
        <w:adjustRightInd w:val="0"/>
        <w:spacing w:before="36" w:line="360" w:lineRule="atLeast"/>
        <w:ind w:left="2900" w:right="123" w:hanging="2552"/>
        <w:textAlignment w:val="auto"/>
      </w:pPr>
      <w:r>
        <w:t>检测灵敏度与局限性:</w:t>
      </w:r>
      <w:r>
        <w:tab/>
      </w:r>
      <w:r>
        <w:t>≥1%突变DNA，测序深度≥3000X；NDF≥-2.8且Reads&gt;1000的融合RNA， RNA Total reads&gt;5000。</w:t>
      </w:r>
    </w:p>
    <w:p w14:paraId="548F50A2">
      <w:pPr>
        <w:pStyle w:val="2"/>
        <w:keepNext w:val="0"/>
        <w:keepLines w:val="0"/>
        <w:pageBreakBefore w:val="0"/>
        <w:widowControl w:val="0"/>
        <w:kinsoku w:val="0"/>
        <w:wordWrap w:val="0"/>
        <w:overflowPunct w:val="0"/>
        <w:topLinePunct w:val="0"/>
        <w:autoSpaceDE w:val="0"/>
        <w:autoSpaceDN w:val="0"/>
        <w:bidi w:val="0"/>
        <w:adjustRightInd w:val="0"/>
        <w:snapToGrid/>
        <w:spacing w:after="13" w:line="240" w:lineRule="auto"/>
        <w:ind w:left="346" w:right="125"/>
        <w:textAlignment w:val="auto"/>
        <w:rPr>
          <w:color w:val="000000"/>
        </w:rPr>
      </w:pPr>
      <w:r>
        <w:rPr>
          <w:color w:val="FF0000"/>
        </w:rPr>
        <w:t>检测结果1:</w:t>
      </w:r>
    </w:p>
    <w:tbl>
      <w:tblPr>
        <w:tblStyle w:val="8"/>
        <w:tblW w:w="0" w:type="auto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2155"/>
        <w:gridCol w:w="6293"/>
      </w:tblGrid>
      <w:tr w14:paraId="7050BB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19152D2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EGFR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C72AE0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突变/拷贝数变异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1CB8504">
            <w:pPr>
              <w:keepNext w:val="0"/>
              <w:keepLines w:val="0"/>
              <w:pageBreakBefore w:val="0"/>
              <w:widowControl/>
              <w:suppressLineNumbers w:val="0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if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/>
              </w:rPr>
              <w:t>EGFR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== []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else 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/>
              </w:rPr>
              <w:t>EGFR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 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75ACF8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6443BC4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KRAS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159A525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6734F522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 w:val="0"/>
              <w:overflowPunct w:val="0"/>
              <w:topLinePunct w:val="0"/>
              <w:autoSpaceDE w:val="0"/>
              <w:autoSpaceDN w:val="0"/>
              <w:bidi w:val="0"/>
              <w:adjustRightInd w:val="0"/>
              <w:snapToGrid/>
              <w:spacing w:line="293" w:lineRule="exact"/>
              <w:ind w:left="57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KRAS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KRAS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4BA6C2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07D7C68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BRAF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7BE7850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7BE6430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0" w:line="272" w:lineRule="exact"/>
              <w:ind w:right="112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 xml:space="preserve">.BRAF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 xml:space="preserve">BRAF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379DEB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773452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PIK3CA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7C31EEF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22A88FB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9"/>
              <w:ind w:left="55"/>
              <w:jc w:val="both"/>
              <w:textAlignment w:val="auto"/>
              <w:rPr>
                <w:rFonts w:hint="eastAsia" w:eastAsia="宋体"/>
                <w:lang w:eastAsia="zh-CN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PIK3CA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PIK3CA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67A100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406D962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ALK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4727655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突变/融合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6F2B351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 w:val="0"/>
              <w:overflowPunct w:val="0"/>
              <w:topLinePunct w:val="0"/>
              <w:autoSpaceDE w:val="0"/>
              <w:autoSpaceDN w:val="0"/>
              <w:bidi w:val="0"/>
              <w:adjustRightInd w:val="0"/>
              <w:snapToGrid/>
              <w:spacing w:line="239" w:lineRule="exact"/>
              <w:ind w:left="51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if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ALK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ALK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28A71E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26A3218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ROS1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B4ABCA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突变/融合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D33D60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6"/>
              <w:ind w:left="50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.ROS1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ROS1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0E14CE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2E3C231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MET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41C202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突变/拷贝数变异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CBB075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93" w:lineRule="exact"/>
              <w:ind w:left="55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if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MET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MET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4301B9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4F4A70C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</w:pPr>
            <w:r>
              <w:rPr>
                <w:rFonts w:hint="eastAsia"/>
              </w:rPr>
              <w:t>RET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75D68F7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突变/融合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434B838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5" w:line="272" w:lineRule="exact"/>
              <w:ind w:right="112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.RET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RET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2CADA1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3425B80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</w:pPr>
            <w:r>
              <w:rPr>
                <w:rFonts w:hint="eastAsia"/>
              </w:rPr>
              <w:t>ERBB2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2611281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突变/拷贝数变异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7B3B4AB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55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.ERBB2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ERBB2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5DDADA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1C0C0CD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</w:pPr>
            <w:r>
              <w:rPr>
                <w:rFonts w:hint="eastAsia"/>
              </w:rPr>
              <w:t>TP53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15556C6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突变/拷贝数变异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092B514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55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.TP53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TP53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</w:tbl>
    <w:p w14:paraId="2FF0DD12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1" w:line="206" w:lineRule="auto"/>
        <w:ind w:left="1255" w:right="188" w:hanging="908"/>
        <w:jc w:val="both"/>
        <w:textAlignment w:val="auto"/>
        <w:rPr>
          <w:color w:val="000000"/>
        </w:rPr>
      </w:pPr>
      <w:r>
        <w:rPr>
          <w:color w:val="FF0000"/>
        </w:rPr>
        <w:t xml:space="preserve">结论: </w:t>
      </w:r>
    </w:p>
    <w:p w14:paraId="465DC485">
      <w:pPr>
        <w:pStyle w:val="13"/>
        <w:keepNext w:val="0"/>
        <w:keepLines w:val="0"/>
        <w:pageBreakBefore w:val="0"/>
        <w:numPr>
          <w:ilvl w:val="0"/>
          <w:numId w:val="1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变异丰度：在某位点产生突变的等位基因在该位点全部等位基因中所占比率。本试剂的检测下限为1%变异丰度，对于低于1%丰度的突变位点，验证后报出。</w:t>
      </w:r>
    </w:p>
    <w:p w14:paraId="1648F903">
      <w:pPr>
        <w:pStyle w:val="13"/>
        <w:keepNext w:val="0"/>
        <w:keepLines w:val="0"/>
        <w:pageBreakBefore w:val="0"/>
        <w:numPr>
          <w:ilvl w:val="0"/>
          <w:numId w:val="1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拷贝数：是指某</w:t>
      </w:r>
      <w:r>
        <w:rPr>
          <w:rFonts w:ascii="Heiti SC" w:hAnsi="Heiti SC" w:eastAsia="Heiti SC" w:cs="Heiti SC"/>
          <w:color w:val="000000"/>
          <w:sz w:val="18"/>
          <w:szCs w:val="18"/>
        </w:rPr>
        <w:t>⼀</w:t>
      </w:r>
      <w:r>
        <w:rPr>
          <w:rFonts w:ascii="宋体" w:hAnsi="宋体"/>
          <w:color w:val="000000"/>
          <w:sz w:val="18"/>
          <w:szCs w:val="18"/>
        </w:rPr>
        <w:t>种基因或某</w:t>
      </w:r>
      <w:r>
        <w:rPr>
          <w:rFonts w:ascii="Heiti SC" w:hAnsi="Heiti SC" w:eastAsia="Heiti SC" w:cs="Heiti SC"/>
          <w:color w:val="000000"/>
          <w:sz w:val="18"/>
          <w:szCs w:val="18"/>
        </w:rPr>
        <w:t>⼀</w:t>
      </w:r>
      <w:r>
        <w:rPr>
          <w:rFonts w:ascii="宋体" w:hAnsi="宋体"/>
          <w:color w:val="000000"/>
          <w:sz w:val="18"/>
          <w:szCs w:val="18"/>
        </w:rPr>
        <w:t>段特定的DNA序列在单倍体基因组中出现的数目</w:t>
      </w:r>
      <w:r>
        <w:rPr>
          <w:rFonts w:hint="eastAsia" w:ascii="宋体" w:hAnsi="宋体"/>
          <w:color w:val="000000"/>
          <w:sz w:val="18"/>
          <w:szCs w:val="18"/>
        </w:rPr>
        <w:t>；</w:t>
      </w:r>
    </w:p>
    <w:p w14:paraId="0885A1A3">
      <w:pPr>
        <w:pStyle w:val="13"/>
        <w:keepNext w:val="0"/>
        <w:keepLines w:val="0"/>
        <w:pageBreakBefore w:val="0"/>
        <w:numPr>
          <w:ilvl w:val="0"/>
          <w:numId w:val="1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检测结果与采集的标本病变（靶组织）比例有关，靶组织含量过低可能出现假阴性；</w:t>
      </w:r>
    </w:p>
    <w:p w14:paraId="0996B0E0">
      <w:pPr>
        <w:pStyle w:val="13"/>
        <w:keepNext w:val="0"/>
        <w:keepLines w:val="0"/>
        <w:pageBreakBefore w:val="0"/>
        <w:numPr>
          <w:ilvl w:val="0"/>
          <w:numId w:val="1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本报告仅对所检测标本负责，检测结果的解释及建议基于当前的科学研究水平，仅供临床医师参考，勿作他用；</w:t>
      </w:r>
    </w:p>
    <w:p w14:paraId="750C3FDD">
      <w:pPr>
        <w:pStyle w:val="13"/>
        <w:keepNext w:val="0"/>
        <w:keepLines w:val="0"/>
        <w:pageBreakBefore w:val="0"/>
        <w:numPr>
          <w:ilvl w:val="0"/>
          <w:numId w:val="1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本检测只检测60个肺癌个体化基因的特定突变，不排除受检者携带检测列表以外的突变位点；</w:t>
      </w:r>
    </w:p>
    <w:p w14:paraId="4283CC0A">
      <w:pPr>
        <w:pStyle w:val="4"/>
        <w:keepNext w:val="0"/>
        <w:keepLines w:val="0"/>
        <w:pageBreakBefore w:val="0"/>
        <w:tabs>
          <w:tab w:val="left" w:pos="2105"/>
          <w:tab w:val="left" w:pos="10347"/>
        </w:tabs>
        <w:kinsoku w:val="0"/>
        <w:wordWrap w:val="0"/>
        <w:overflowPunct w:val="0"/>
        <w:topLinePunct w:val="0"/>
        <w:bidi w:val="0"/>
        <w:adjustRightInd w:val="0"/>
        <w:spacing w:before="11"/>
        <w:ind w:left="156" w:right="123"/>
        <w:textAlignment w:val="auto"/>
        <w:rPr>
          <w:color w:val="000000"/>
          <w:sz w:val="22"/>
        </w:rPr>
      </w:pPr>
      <w:r>
        <w:rPr>
          <w:rFonts w:hint="default" w:ascii="Times New Roman" w:hAnsi="Times New Roman" w:eastAsia="Times New Roman"/>
          <w:color w:val="FF8000"/>
          <w:sz w:val="22"/>
          <w:u w:val="single" w:color="000000"/>
        </w:rPr>
        <w:t xml:space="preserve"> </w:t>
      </w:r>
      <w:r>
        <w:rPr>
          <w:rFonts w:hint="default" w:ascii="Times New Roman" w:hAnsi="Times New Roman" w:eastAsia="Times New Roman"/>
          <w:color w:val="FF8000"/>
          <w:sz w:val="22"/>
          <w:u w:val="single" w:color="000000"/>
        </w:rPr>
        <w:tab/>
      </w:r>
      <w:r>
        <w:rPr>
          <w:color w:val="FF8000"/>
          <w:sz w:val="22"/>
          <w:u w:val="single" w:color="000000"/>
        </w:rPr>
        <w:t>本报告只对本次送检标本负责，如有疑问，请速与病理科联系。</w:t>
      </w:r>
      <w:r>
        <w:rPr>
          <w:color w:val="FF8000"/>
          <w:sz w:val="22"/>
          <w:u w:val="single" w:color="000000"/>
        </w:rPr>
        <w:tab/>
      </w:r>
    </w:p>
    <w:p w14:paraId="3E09F06D">
      <w:pPr>
        <w:pStyle w:val="4"/>
        <w:keepNext w:val="0"/>
        <w:keepLines w:val="0"/>
        <w:pageBreakBefore w:val="0"/>
        <w:tabs>
          <w:tab w:val="left" w:pos="2105"/>
          <w:tab w:val="left" w:pos="10347"/>
        </w:tabs>
        <w:kinsoku w:val="0"/>
        <w:wordWrap w:val="0"/>
        <w:overflowPunct w:val="0"/>
        <w:topLinePunct w:val="0"/>
        <w:bidi w:val="0"/>
        <w:adjustRightInd w:val="0"/>
        <w:spacing w:before="11"/>
        <w:ind w:left="156" w:right="123"/>
        <w:textAlignment w:val="auto"/>
        <w:rPr>
          <w:color w:val="000000"/>
          <w:sz w:val="22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equalWidth="0" w:num="1">
            <w:col w:w="10470"/>
          </w:cols>
        </w:sectPr>
      </w:pPr>
    </w:p>
    <w:p w14:paraId="4D741FAD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72" w:lineRule="exact"/>
        <w:ind w:left="747" w:right="-9"/>
        <w:textAlignment w:val="auto"/>
        <w:rPr>
          <w:sz w:val="22"/>
        </w:rPr>
      </w:pPr>
      <w:r>
        <w:rPr>
          <w:sz w:val="22"/>
        </w:rPr>
        <w:t>TEL：0371-87160297(内线7297)</w:t>
      </w:r>
    </w:p>
    <w:p w14:paraId="7AF02029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8" w:line="284" w:lineRule="exact"/>
        <w:ind w:left="1258" w:right="212" w:hanging="512"/>
        <w:textAlignment w:val="auto"/>
        <w:rPr>
          <w:sz w:val="22"/>
        </w:rPr>
      </w:pPr>
      <w:r>
        <w:rPr>
          <w:sz w:val="22"/>
        </w:rPr>
        <w:t>地址：河南省人民医院西住院 部2号病房楼4楼病理科</w:t>
      </w:r>
    </w:p>
    <w:p w14:paraId="690ECFCF">
      <w:pPr>
        <w:pStyle w:val="2"/>
        <w:keepNext w:val="0"/>
        <w:keepLines w:val="0"/>
        <w:pageBreakBefore w:val="0"/>
        <w:tabs>
          <w:tab w:val="left" w:pos="3613"/>
        </w:tabs>
        <w:kinsoku w:val="0"/>
        <w:wordWrap w:val="0"/>
        <w:overflowPunct w:val="0"/>
        <w:topLinePunct w:val="0"/>
        <w:bidi w:val="0"/>
        <w:adjustRightInd w:val="0"/>
        <w:spacing w:line="335" w:lineRule="exact"/>
        <w:ind w:left="155"/>
        <w:textAlignment w:val="auto"/>
      </w:pPr>
      <w:r>
        <w:rPr>
          <w:rFonts w:hint="default"/>
          <w:sz w:val="24"/>
        </w:rPr>
        <w:br w:type="column"/>
      </w:r>
      <w:r>
        <w:t>检测者:</w:t>
      </w:r>
      <w:r>
        <w:tab/>
      </w:r>
      <w:r>
        <w:t>审核医师:</w:t>
      </w:r>
    </w:p>
    <w:p w14:paraId="78472F68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6"/>
        <w:ind w:left="0"/>
        <w:textAlignment w:val="auto"/>
        <w:rPr>
          <w:sz w:val="33"/>
        </w:rPr>
      </w:pPr>
    </w:p>
    <w:p w14:paraId="5926D5DF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/>
        <w:ind w:left="1231"/>
        <w:textAlignment w:val="auto"/>
        <w:rPr>
          <w:sz w:val="20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equalWidth="0" w:num="2">
            <w:col w:w="3839" w:space="40"/>
            <w:col w:w="6591"/>
          </w:cols>
        </w:sectPr>
      </w:pPr>
    </w:p>
    <w:p w14:paraId="18C6F506">
      <w:pPr>
        <w:pStyle w:val="2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line="348" w:lineRule="exact"/>
        <w:ind w:left="0" w:right="123"/>
        <w:textAlignment w:val="auto"/>
      </w:pPr>
      <w:r>
        <w:rPr>
          <w:color w:val="FF0000"/>
        </w:rPr>
        <w:t>检测结果2</w:t>
      </w:r>
      <w:r>
        <w:t>：基因组变异检测结果汇总</w:t>
      </w:r>
    </w:p>
    <w:p w14:paraId="23B2AB4B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rPr>
          <w:sz w:val="28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62"/>
        <w:gridCol w:w="3562"/>
        <w:gridCol w:w="3562"/>
      </w:tblGrid>
      <w:tr w14:paraId="49D8E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62" w:type="dxa"/>
            <w:vAlign w:val="center"/>
          </w:tcPr>
          <w:p w14:paraId="186213F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sz w:val="28"/>
              </w:rPr>
            </w:pPr>
            <w:r>
              <w:rPr>
                <w:rFonts w:hint="eastAsia"/>
                <w:sz w:val="28"/>
              </w:rPr>
              <w:t>基因</w:t>
            </w:r>
          </w:p>
        </w:tc>
        <w:tc>
          <w:tcPr>
            <w:tcW w:w="3562" w:type="dxa"/>
            <w:vAlign w:val="center"/>
          </w:tcPr>
          <w:p w14:paraId="05A5D68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sz w:val="28"/>
              </w:rPr>
            </w:pPr>
            <w:r>
              <w:rPr>
                <w:rFonts w:hint="eastAsia"/>
                <w:sz w:val="28"/>
              </w:rPr>
              <w:t>检测结果</w:t>
            </w:r>
          </w:p>
        </w:tc>
        <w:tc>
          <w:tcPr>
            <w:tcW w:w="3562" w:type="dxa"/>
            <w:vAlign w:val="center"/>
          </w:tcPr>
          <w:p w14:paraId="46230DE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sz w:val="28"/>
              </w:rPr>
            </w:pPr>
            <w:r>
              <w:rPr>
                <w:rFonts w:hint="eastAsia"/>
                <w:sz w:val="28"/>
              </w:rPr>
              <w:t>变异解读</w:t>
            </w:r>
          </w:p>
        </w:tc>
      </w:tr>
      <w:tr w14:paraId="4EEAE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</w:tcPr>
          <w:p w14:paraId="762CD657">
            <w:pPr>
              <w:keepNext w:val="0"/>
              <w:keepLines w:val="0"/>
              <w:pageBreakBefore w:val="0"/>
              <w:widowControl/>
              <w:suppressLineNumbers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if HenanPeopleCustomInfo.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BodyDrugTipList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-SA"/>
              </w:rPr>
              <w:t>!= []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-SA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%}</w:t>
            </w:r>
          </w:p>
        </w:tc>
      </w:tr>
      <w:tr w14:paraId="516A2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</w:tcPr>
          <w:p w14:paraId="054A3810">
            <w:pPr>
              <w:pStyle w:val="7"/>
              <w:keepNext w:val="0"/>
              <w:keepLines w:val="0"/>
              <w:pageBreakBefore w:val="0"/>
              <w:widowControl/>
              <w:suppressLineNumbers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 w:eastAsia="宋体"/>
                <w:sz w:val="28"/>
                <w:lang w:val="en-US" w:eastAsia="zh-CN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for</w:t>
            </w:r>
            <w:r>
              <w:rPr>
                <w:rFonts w:hint="default"/>
                <w:sz w:val="28"/>
                <w:lang w:val="en-US" w:eastAsia="zh-CN"/>
              </w:rPr>
              <w:t xml:space="preserve"> 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i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 xml:space="preserve"> in</w:t>
            </w:r>
            <w:r>
              <w:rPr>
                <w:rFonts w:hint="default"/>
                <w:sz w:val="28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BodyDrugTipList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%}</w:t>
            </w:r>
          </w:p>
        </w:tc>
      </w:tr>
      <w:tr w14:paraId="3F4E5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62" w:type="dxa"/>
            <w:vAlign w:val="center"/>
          </w:tcPr>
          <w:p w14:paraId="2219C39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shd w:val="clear" w:color="auto" w:fill="auto"/>
                <w:lang w:val="en-US"/>
              </w:rPr>
              <w:t>{{i.gene}}</w:t>
            </w:r>
          </w:p>
        </w:tc>
        <w:tc>
          <w:tcPr>
            <w:tcW w:w="3562" w:type="dxa"/>
            <w:vAlign w:val="center"/>
          </w:tcPr>
          <w:p w14:paraId="13A47E2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lang w:val="en-US"/>
              </w:rPr>
              <w:t>{{i.ori_variant}}</w:t>
            </w:r>
          </w:p>
        </w:tc>
        <w:tc>
          <w:tcPr>
            <w:tcW w:w="3562" w:type="dxa"/>
            <w:vAlign w:val="center"/>
          </w:tcPr>
          <w:p w14:paraId="22C9D8B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lang w:val="en-US"/>
              </w:rPr>
              <w:t>{{</w:t>
            </w:r>
            <w:r>
              <w:rPr>
                <w:rFonts w:hint="eastAsia"/>
                <w:sz w:val="28"/>
                <w:lang w:val="en-US" w:eastAsia="zh-CN"/>
              </w:rPr>
              <w:t>i</w:t>
            </w:r>
            <w:r>
              <w:rPr>
                <w:rFonts w:hint="default"/>
                <w:sz w:val="28"/>
                <w:lang w:val="en-US"/>
              </w:rPr>
              <w:t>.variationClass}}</w:t>
            </w:r>
          </w:p>
        </w:tc>
      </w:tr>
      <w:tr w14:paraId="63724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</w:tcPr>
          <w:p w14:paraId="24B0D94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endfor %}</w:t>
            </w:r>
          </w:p>
        </w:tc>
      </w:tr>
      <w:tr w14:paraId="67FA7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</w:tcPr>
          <w:p w14:paraId="1174AEC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else %}</w:t>
            </w:r>
          </w:p>
        </w:tc>
      </w:tr>
      <w:tr w14:paraId="292C8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62" w:type="dxa"/>
          </w:tcPr>
          <w:p w14:paraId="40CFFA7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lang w:val="en-US"/>
              </w:rPr>
              <w:t>/</w:t>
            </w:r>
          </w:p>
        </w:tc>
        <w:tc>
          <w:tcPr>
            <w:tcW w:w="3562" w:type="dxa"/>
          </w:tcPr>
          <w:p w14:paraId="6141FD8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lang w:val="en-US"/>
              </w:rPr>
              <w:t>/</w:t>
            </w:r>
          </w:p>
        </w:tc>
        <w:tc>
          <w:tcPr>
            <w:tcW w:w="3562" w:type="dxa"/>
          </w:tcPr>
          <w:p w14:paraId="5BA37B7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lang w:val="en-US"/>
              </w:rPr>
              <w:t>/</w:t>
            </w:r>
          </w:p>
        </w:tc>
      </w:tr>
      <w:tr w14:paraId="2D3B9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  <w:vAlign w:val="top"/>
          </w:tcPr>
          <w:p w14:paraId="27DD1E6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sz w:val="28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endif %}</w:t>
            </w:r>
          </w:p>
        </w:tc>
      </w:tr>
    </w:tbl>
    <w:p w14:paraId="3513EAE0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rPr>
          <w:sz w:val="28"/>
        </w:rPr>
      </w:pPr>
    </w:p>
    <w:p w14:paraId="686C70D8">
      <w:pPr>
        <w:pStyle w:val="2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line="348" w:lineRule="exact"/>
        <w:ind w:left="0" w:right="123"/>
        <w:textAlignment w:val="auto"/>
      </w:pPr>
      <w:r>
        <w:rPr>
          <w:color w:val="FF0000"/>
        </w:rPr>
        <w:t xml:space="preserve">检测结果3： </w:t>
      </w:r>
      <w:r>
        <w:t>临床意义明确的靶向用药提示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15"/>
        <w:gridCol w:w="1278"/>
        <w:gridCol w:w="6893"/>
      </w:tblGrid>
      <w:tr w14:paraId="4F5A4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5" w:type="dxa"/>
          </w:tcPr>
          <w:p w14:paraId="23320BE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both"/>
              <w:textAlignment w:val="auto"/>
            </w:pPr>
            <w:r>
              <w:rPr>
                <w:rFonts w:hint="eastAsia"/>
              </w:rPr>
              <w:t>基因组变异</w:t>
            </w:r>
          </w:p>
        </w:tc>
        <w:tc>
          <w:tcPr>
            <w:tcW w:w="1278" w:type="dxa"/>
          </w:tcPr>
          <w:p w14:paraId="51FF52F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both"/>
              <w:textAlignment w:val="auto"/>
            </w:pPr>
            <w:r>
              <w:rPr>
                <w:rFonts w:hint="eastAsia"/>
              </w:rPr>
              <w:t>丰度/拷贝数/基因型</w:t>
            </w:r>
          </w:p>
        </w:tc>
        <w:tc>
          <w:tcPr>
            <w:tcW w:w="6893" w:type="dxa"/>
          </w:tcPr>
          <w:p w14:paraId="4B1DBFF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both"/>
              <w:textAlignment w:val="auto"/>
            </w:pPr>
            <w:r>
              <w:rPr>
                <w:rFonts w:hint="eastAsia"/>
              </w:rPr>
              <w:t>靶向药物（敏感性、证据等级、证据来源）</w:t>
            </w:r>
          </w:p>
        </w:tc>
      </w:tr>
      <w:tr w14:paraId="384E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  <w:vAlign w:val="top"/>
          </w:tcPr>
          <w:p w14:paraId="5B4A4DC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{%tr if </w:t>
            </w:r>
            <w:r>
              <w:rPr>
                <w:rFonts w:hint="default" w:eastAsia="宋体"/>
                <w:lang w:val="en-US" w:eastAsia="zh-CN"/>
              </w:rPr>
              <w:t>HenanPeopleCustomInfo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</w:t>
            </w:r>
            <w:r>
              <w:rPr>
                <w:rFonts w:hint="eastAsia"/>
                <w:lang w:val="en-US" w:eastAsia="zh-CN"/>
              </w:rPr>
              <w:t>BodyDrugTipList != []%}</w:t>
            </w:r>
          </w:p>
        </w:tc>
      </w:tr>
      <w:tr w14:paraId="7B74F5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  <w:vAlign w:val="top"/>
          </w:tcPr>
          <w:p w14:paraId="1E51C3A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</w:pPr>
            <w:r>
              <w:rPr>
                <w:rFonts w:hint="eastAsia"/>
                <w:lang w:val="en-US" w:eastAsia="zh-CN"/>
              </w:rPr>
              <w:t xml:space="preserve">{%tr for tip in </w:t>
            </w:r>
            <w:r>
              <w:rPr>
                <w:rFonts w:hint="default" w:eastAsia="宋体"/>
                <w:lang w:val="en-US" w:eastAsia="zh-CN"/>
              </w:rPr>
              <w:t>HenanPeopleCustomInfo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</w:t>
            </w:r>
            <w:r>
              <w:rPr>
                <w:rFonts w:hint="eastAsia"/>
                <w:lang w:val="en-US" w:eastAsia="zh-CN"/>
              </w:rPr>
              <w:t>BodyDrugTipList %}</w:t>
            </w:r>
          </w:p>
        </w:tc>
      </w:tr>
      <w:tr w14:paraId="68D5D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5" w:type="dxa"/>
            <w:vAlign w:val="center"/>
          </w:tcPr>
          <w:p w14:paraId="136DF35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60" w:lineRule="auto"/>
              <w:jc w:val="center"/>
              <w:textAlignment w:val="auto"/>
            </w:pPr>
            <w:r>
              <w:rPr>
                <w:rFonts w:hint="default"/>
                <w:sz w:val="28"/>
                <w:shd w:val="clear" w:color="auto" w:fill="auto"/>
                <w:lang w:val="en-US"/>
              </w:rPr>
              <w:t>{{</w:t>
            </w:r>
            <w:r>
              <w:rPr>
                <w:rFonts w:hint="eastAsia"/>
                <w:sz w:val="28"/>
                <w:shd w:val="clear" w:color="auto" w:fill="auto"/>
                <w:lang w:val="en-US" w:eastAsia="zh-CN"/>
              </w:rPr>
              <w:t>tip</w:t>
            </w:r>
            <w:r>
              <w:rPr>
                <w:rFonts w:hint="default"/>
                <w:sz w:val="28"/>
                <w:shd w:val="clear" w:color="auto" w:fill="auto"/>
                <w:lang w:val="en-US"/>
              </w:rPr>
              <w:t>.gene}}</w:t>
            </w:r>
            <w:r>
              <w:rPr>
                <w:rFonts w:hint="eastAsia"/>
                <w:sz w:val="28"/>
                <w:shd w:val="clear" w:color="auto" w:fill="auto"/>
                <w:lang w:val="en-US" w:eastAsia="zh-CN"/>
              </w:rPr>
              <w:t xml:space="preserve">  </w:t>
            </w:r>
            <w:r>
              <w:rPr>
                <w:rFonts w:hint="default"/>
                <w:sz w:val="28"/>
                <w:lang w:val="en-US"/>
              </w:rPr>
              <w:t>{{</w:t>
            </w:r>
            <w:r>
              <w:rPr>
                <w:rFonts w:hint="eastAsia"/>
                <w:sz w:val="28"/>
                <w:shd w:val="clear" w:color="auto" w:fill="auto"/>
                <w:lang w:val="en-US" w:eastAsia="zh-CN"/>
              </w:rPr>
              <w:t>tip</w:t>
            </w:r>
            <w:r>
              <w:rPr>
                <w:rFonts w:hint="default"/>
                <w:sz w:val="28"/>
                <w:lang w:val="en-US"/>
              </w:rPr>
              <w:t>.ori_variant}}</w:t>
            </w:r>
          </w:p>
        </w:tc>
        <w:tc>
          <w:tcPr>
            <w:tcW w:w="1278" w:type="dxa"/>
            <w:vAlign w:val="center"/>
          </w:tcPr>
          <w:p w14:paraId="58FC833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60" w:lineRule="auto"/>
              <w:jc w:val="center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z w:val="28"/>
                <w:shd w:val="clear" w:color="auto" w:fill="auto"/>
                <w:lang w:val="en-US" w:eastAsia="zh-CN"/>
              </w:rPr>
              <w:t>{{tip.mutFreq}}</w:t>
            </w:r>
          </w:p>
        </w:tc>
        <w:tc>
          <w:tcPr>
            <w:tcW w:w="6893" w:type="dxa"/>
          </w:tcPr>
          <w:p w14:paraId="6CDE0D7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可能受益</w:t>
            </w:r>
            <w:r>
              <w:rPr>
                <w:rFonts w:hint="eastAsia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A级</w:t>
            </w:r>
            <w:r>
              <w:rPr>
                <w:rFonts w:hint="eastAsia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FDA/NMPA/NCCN/</w:t>
            </w:r>
            <w:r>
              <w:rPr>
                <w:rFonts w:hint="eastAsia" w:eastAsia="微软雅黑" w:cs="Times New Roman"/>
                <w:sz w:val="21"/>
                <w:szCs w:val="21"/>
                <w:lang w:eastAsia="zh-CN"/>
              </w:rPr>
              <w:t>CSCO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推荐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可能受益</w:t>
            </w:r>
            <w:r>
              <w:rPr>
                <w:rFonts w:hint="eastAsia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A级</w:t>
            </w:r>
            <w:r>
              <w:rPr>
                <w:rFonts w:hint="eastAsia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FDA/NMPA/NCCN/CSC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O推荐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，{%endif%}</w:t>
            </w:r>
          </w:p>
          <w:p w14:paraId="196B64D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可能受益</w:t>
            </w:r>
            <w:r>
              <w:rPr>
                <w:rFonts w:hint="eastAsia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可能受益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，{%endif%}</w:t>
            </w:r>
          </w:p>
          <w:p w14:paraId="7D64661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可能受益</w:t>
            </w:r>
            <w:r>
              <w:rPr>
                <w:rFonts w:hint="eastAsia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可能受益</w:t>
            </w:r>
            <w:r>
              <w:rPr>
                <w:rFonts w:hint="eastAsia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，{%endif%}</w:t>
            </w:r>
          </w:p>
          <w:p w14:paraId="3BD2B4B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可能受益</w:t>
            </w:r>
            <w:r>
              <w:rPr>
                <w:rFonts w:hint="eastAsia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可能受益</w:t>
            </w:r>
            <w:r>
              <w:rPr>
                <w:rFonts w:hint="eastAsia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，{%endif%}</w:t>
            </w:r>
          </w:p>
          <w:p w14:paraId="6879927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  <w:p w14:paraId="5E062A0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可能耐药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、A级、FDA/NMPA/NCCN/CSCO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推荐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可能耐药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、A级、FDA/NMPA/NCCN/CSCO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推荐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，{%endif%}</w:t>
            </w:r>
          </w:p>
          <w:p w14:paraId="4118C17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可能耐药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、B级）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可能耐药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、B级）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，{%endif%}</w:t>
            </w:r>
          </w:p>
          <w:p w14:paraId="6CBA0816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可能耐药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、C级）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，{%endif%}</w:t>
            </w:r>
          </w:p>
          <w:p w14:paraId="1BD5E41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可能耐药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、D级）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可能耐药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、D级）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，{%endif%}</w:t>
            </w:r>
          </w:p>
          <w:p w14:paraId="53A2504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3B2422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2" w:hRule="atLeast"/>
        </w:trPr>
        <w:tc>
          <w:tcPr>
            <w:tcW w:w="10686" w:type="dxa"/>
            <w:gridSpan w:val="3"/>
            <w:vAlign w:val="top"/>
          </w:tcPr>
          <w:p w14:paraId="123B131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{%tr endfor  %}</w:t>
            </w:r>
          </w:p>
        </w:tc>
      </w:tr>
      <w:tr w14:paraId="3F3DA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2" w:hRule="atLeast"/>
        </w:trPr>
        <w:tc>
          <w:tcPr>
            <w:tcW w:w="10686" w:type="dxa"/>
            <w:gridSpan w:val="3"/>
            <w:vAlign w:val="top"/>
          </w:tcPr>
          <w:p w14:paraId="565C540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{%tr else %}</w:t>
            </w:r>
          </w:p>
        </w:tc>
      </w:tr>
      <w:tr w14:paraId="2D899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5" w:type="dxa"/>
            <w:vAlign w:val="center"/>
          </w:tcPr>
          <w:p w14:paraId="19A9508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</w:t>
            </w:r>
          </w:p>
        </w:tc>
        <w:tc>
          <w:tcPr>
            <w:tcW w:w="1278" w:type="dxa"/>
            <w:vAlign w:val="center"/>
          </w:tcPr>
          <w:p w14:paraId="46D64B6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</w:t>
            </w:r>
          </w:p>
        </w:tc>
        <w:tc>
          <w:tcPr>
            <w:tcW w:w="6893" w:type="dxa"/>
            <w:vAlign w:val="center"/>
          </w:tcPr>
          <w:p w14:paraId="6F30CCF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</w:t>
            </w:r>
          </w:p>
        </w:tc>
      </w:tr>
      <w:tr w14:paraId="6A722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  <w:vAlign w:val="top"/>
          </w:tcPr>
          <w:p w14:paraId="157EF49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</w:pPr>
            <w:r>
              <w:rPr>
                <w:rFonts w:hint="eastAsia"/>
                <w:lang w:val="en-US" w:eastAsia="zh-CN"/>
              </w:rPr>
              <w:t>{%tr endif %}</w:t>
            </w:r>
          </w:p>
        </w:tc>
      </w:tr>
    </w:tbl>
    <w:p w14:paraId="7B284276">
      <w:pPr>
        <w:keepNext w:val="0"/>
        <w:keepLines w:val="0"/>
        <w:pageBreakBefore w:val="0"/>
        <w:wordWrap w:val="0"/>
        <w:topLinePunct w:val="0"/>
        <w:bidi w:val="0"/>
        <w:adjustRightInd w:val="0"/>
        <w:spacing w:before="26"/>
        <w:textAlignment w:val="auto"/>
        <w:rPr>
          <w:rFonts w:hint="eastAsia" w:ascii="宋体" w:hAnsi="宋体"/>
          <w:b/>
          <w:color w:val="000000"/>
          <w:lang w:val="en-US" w:eastAsia="zh-CN"/>
        </w:rPr>
      </w:pPr>
    </w:p>
    <w:p w14:paraId="7007CA0E">
      <w:pPr>
        <w:keepNext w:val="0"/>
        <w:keepLines w:val="0"/>
        <w:pageBreakBefore w:val="0"/>
        <w:wordWrap w:val="0"/>
        <w:topLinePunct w:val="0"/>
        <w:bidi w:val="0"/>
        <w:adjustRightInd w:val="0"/>
        <w:spacing w:before="26"/>
        <w:textAlignment w:val="auto"/>
        <w:rPr>
          <w:rFonts w:hint="default" w:ascii="宋体" w:hAnsi="宋体"/>
          <w:b/>
          <w:color w:val="000000"/>
          <w:lang w:val="en-US" w:eastAsia="zh-CN"/>
        </w:rPr>
      </w:pPr>
    </w:p>
    <w:p w14:paraId="09D66EB1">
      <w:pPr>
        <w:keepNext w:val="0"/>
        <w:keepLines w:val="0"/>
        <w:pageBreakBefore w:val="0"/>
        <w:wordWrap w:val="0"/>
        <w:topLinePunct w:val="0"/>
        <w:bidi w:val="0"/>
        <w:adjustRightInd w:val="0"/>
        <w:spacing w:before="26"/>
        <w:textAlignment w:val="auto"/>
        <w:rPr>
          <w:rFonts w:hint="eastAsia" w:ascii="宋体" w:hAnsi="宋体"/>
          <w:b/>
          <w:color w:val="000000"/>
        </w:rPr>
      </w:pPr>
    </w:p>
    <w:p w14:paraId="1DDB154C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rPr>
          <w:rFonts w:hint="eastAsia" w:ascii="宋体" w:hAnsi="宋体"/>
          <w:b/>
          <w:color w:val="000000"/>
          <w:sz w:val="18"/>
        </w:rPr>
      </w:pPr>
      <w:r>
        <w:rPr>
          <w:rFonts w:ascii="宋体" w:hAnsi="宋体"/>
          <w:b/>
          <w:color w:val="000000"/>
          <w:sz w:val="18"/>
        </w:rPr>
        <w:t>注：</w:t>
      </w:r>
    </w:p>
    <w:p w14:paraId="6A54669C">
      <w:pPr>
        <w:pStyle w:val="13"/>
        <w:keepNext w:val="0"/>
        <w:keepLines w:val="0"/>
        <w:pageBreakBefore w:val="0"/>
        <w:numPr>
          <w:ilvl w:val="0"/>
          <w:numId w:val="2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获批上市指靶向药物已被批准用于表格中对应的相关疾病，包含FDA或NMPA获批上市，在“基因变异信息及用药指导”表格中标注* 的靶向药物为NMPA 批准的药物。获批上市药物的循证医学证据为该靶向药物的批文等相关信息。</w:t>
      </w:r>
    </w:p>
    <w:p w14:paraId="42F14C8F">
      <w:pPr>
        <w:pStyle w:val="13"/>
        <w:keepNext w:val="0"/>
        <w:keepLines w:val="0"/>
        <w:pageBreakBefore w:val="0"/>
        <w:numPr>
          <w:ilvl w:val="0"/>
          <w:numId w:val="2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指南推荐指在NCCN\CSCO\ASCO\ESMO指南中有明确的表格或文字说明，有本癌种该位点突变可获益的靶向药。</w:t>
      </w:r>
    </w:p>
    <w:p w14:paraId="736688D3">
      <w:pPr>
        <w:pStyle w:val="13"/>
        <w:keepNext w:val="0"/>
        <w:keepLines w:val="0"/>
        <w:pageBreakBefore w:val="0"/>
        <w:numPr>
          <w:ilvl w:val="0"/>
          <w:numId w:val="2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潜在受益药物：根据AMP/ASCO/CAP相关指南[PMID: 27993330]共分为ABCD四个等级。A级：FDA/NMPA已经批准、或专业临床指南推荐在本癌种该靶点上可用的药物；B级：较大规模的临床试验证实、且取得临床专家共识在本癌种该靶点可用的药物；</w:t>
      </w:r>
    </w:p>
    <w:p w14:paraId="7437316F">
      <w:pPr>
        <w:pStyle w:val="13"/>
        <w:keepNext w:val="0"/>
        <w:keepLines w:val="0"/>
        <w:pageBreakBefore w:val="0"/>
        <w:numPr>
          <w:ilvl w:val="0"/>
          <w:numId w:val="2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潜在耐药信息：FDA/NMPA已经批准的、NCCN指南推荐的、临床试验或者临床研究有明确结果的、药物敏感性可能降低或产生耐药的靶向药物。</w:t>
      </w:r>
    </w:p>
    <w:p w14:paraId="412DE70A">
      <w:pPr>
        <w:pStyle w:val="13"/>
        <w:keepNext w:val="0"/>
        <w:keepLines w:val="0"/>
        <w:pageBreakBefore w:val="0"/>
        <w:numPr>
          <w:ilvl w:val="0"/>
          <w:numId w:val="0"/>
        </w:numPr>
        <w:wordWrap w:val="0"/>
        <w:topLinePunct w:val="0"/>
        <w:bidi w:val="0"/>
        <w:adjustRightInd w:val="0"/>
        <w:snapToGrid w:val="0"/>
        <w:ind w:leftChars="0"/>
        <w:textAlignment w:val="auto"/>
      </w:pPr>
      <w:r>
        <w:rPr>
          <w:rFonts w:hint="eastAsia" w:ascii="宋体" w:hAnsi="宋体"/>
          <w:color w:val="000000"/>
          <w:sz w:val="18"/>
          <w:szCs w:val="18"/>
          <w:lang w:val="en-US" w:eastAsia="zh-CN"/>
        </w:rPr>
        <w:t xml:space="preserve">5.   </w:t>
      </w:r>
      <w:r>
        <w:rPr>
          <w:rFonts w:ascii="宋体" w:hAnsi="宋体"/>
          <w:color w:val="000000"/>
          <w:sz w:val="18"/>
          <w:szCs w:val="18"/>
        </w:rPr>
        <w:t>基因变异按照临床意义的重要性分为四个等级：I类变异（具有A级或B级证据），II类变异（具有C级或D级证据）。</w:t>
      </w:r>
    </w:p>
    <w:p w14:paraId="6BDE8421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</w:pPr>
      <w:r>
        <w:rPr>
          <w:rFonts w:ascii="宋体" w:hAnsi="宋体"/>
          <w:color w:val="000000"/>
          <w:sz w:val="18"/>
          <w:szCs w:val="18"/>
        </w:rPr>
        <w:br w:type="page"/>
      </w:r>
      <w:r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  <w:t>附录一：样本主要质控信息</w:t>
      </w:r>
    </w:p>
    <w:p w14:paraId="3173D37B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04528D11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27529BEF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34423514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default" w:ascii="宋体" w:hAnsi="宋体"/>
          <w:color w:val="000000"/>
          <w:sz w:val="28"/>
          <w:szCs w:val="28"/>
          <w:highlight w:val="none"/>
          <w:vertAlign w:val="baseline"/>
          <w:lang w:val="en-US" w:eastAsia="zh-CN"/>
        </w:rPr>
      </w:pPr>
      <w:r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  <w:t xml:space="preserve"> </w:t>
      </w: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7"/>
        <w:gridCol w:w="3706"/>
        <w:gridCol w:w="1445"/>
        <w:gridCol w:w="3438"/>
      </w:tblGrid>
      <w:tr w14:paraId="3E72E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Align w:val="top"/>
          </w:tcPr>
          <w:p w14:paraId="79EB5FA4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FFFFFF" w:themeColor="background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检测项目</w:t>
            </w:r>
          </w:p>
        </w:tc>
        <w:tc>
          <w:tcPr>
            <w:tcW w:w="3706" w:type="dxa"/>
            <w:vAlign w:val="top"/>
          </w:tcPr>
          <w:p w14:paraId="644B617B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FFFFFF" w:themeColor="background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宋体" w:hAnsi="宋体"/>
                <w:color w:val="auto"/>
                <w:sz w:val="28"/>
                <w:szCs w:val="28"/>
                <w:highlight w:val="none"/>
                <w:vertAlign w:val="baseline"/>
                <w:lang w:val="en-US" w:eastAsia="zh-CN"/>
              </w:rPr>
              <w:t>质量参数</w:t>
            </w:r>
          </w:p>
        </w:tc>
        <w:tc>
          <w:tcPr>
            <w:tcW w:w="1445" w:type="dxa"/>
            <w:vAlign w:val="top"/>
          </w:tcPr>
          <w:p w14:paraId="329D3BED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FFFFFF" w:themeColor="background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宋体" w:hAnsi="宋体"/>
                <w:color w:val="auto"/>
                <w:sz w:val="28"/>
                <w:szCs w:val="28"/>
                <w:highlight w:val="none"/>
                <w:vertAlign w:val="baseline"/>
                <w:lang w:val="en-US" w:eastAsia="zh-CN"/>
              </w:rPr>
              <w:t>数值</w:t>
            </w:r>
          </w:p>
        </w:tc>
        <w:tc>
          <w:tcPr>
            <w:tcW w:w="3438" w:type="dxa"/>
            <w:vAlign w:val="top"/>
          </w:tcPr>
          <w:p w14:paraId="284C3060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FFFFFF" w:themeColor="background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宋体" w:hAnsi="宋体"/>
                <w:color w:val="auto"/>
                <w:sz w:val="28"/>
                <w:szCs w:val="28"/>
                <w:highlight w:val="none"/>
                <w:vertAlign w:val="baseline"/>
                <w:lang w:val="en-US" w:eastAsia="zh-CN"/>
              </w:rPr>
              <w:t>质控标准</w:t>
            </w:r>
          </w:p>
        </w:tc>
      </w:tr>
      <w:tr w14:paraId="60A7C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Align w:val="center"/>
          </w:tcPr>
          <w:p w14:paraId="69E1D9B6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 w:themeColor="text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样本质量评估</w:t>
            </w:r>
          </w:p>
        </w:tc>
        <w:tc>
          <w:tcPr>
            <w:tcW w:w="3706" w:type="dxa"/>
            <w:vAlign w:val="center"/>
          </w:tcPr>
          <w:p w14:paraId="13034772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肿瘤细胞比例（%）</w:t>
            </w:r>
          </w:p>
        </w:tc>
        <w:tc>
          <w:tcPr>
            <w:tcW w:w="1445" w:type="dxa"/>
            <w:vAlign w:val="center"/>
          </w:tcPr>
          <w:p w14:paraId="5252D2D7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{{tumorcellcontent}}</w:t>
            </w:r>
          </w:p>
        </w:tc>
        <w:tc>
          <w:tcPr>
            <w:tcW w:w="3438" w:type="dxa"/>
            <w:vAlign w:val="center"/>
          </w:tcPr>
          <w:p w14:paraId="55DCD3F5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20</w:t>
            </w:r>
          </w:p>
        </w:tc>
      </w:tr>
      <w:tr w14:paraId="03D13A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restart"/>
            <w:vAlign w:val="center"/>
          </w:tcPr>
          <w:p w14:paraId="1CC62A44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核酸质量评估</w:t>
            </w:r>
          </w:p>
        </w:tc>
        <w:tc>
          <w:tcPr>
            <w:tcW w:w="3706" w:type="dxa"/>
            <w:vAlign w:val="center"/>
          </w:tcPr>
          <w:p w14:paraId="7671FBAD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DNA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核酸总量（ng）</w:t>
            </w:r>
          </w:p>
        </w:tc>
        <w:tc>
          <w:tcPr>
            <w:tcW w:w="1445" w:type="dxa"/>
            <w:vAlign w:val="center"/>
          </w:tcPr>
          <w:p w14:paraId="2C32D647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</w:t>
            </w:r>
            <w:r>
              <w:rPr>
                <w:rFonts w:hint="eastAsia" w:ascii="宋体" w:hAnsi="宋体" w:eastAsia="宋体" w:cs="Times New Roman"/>
                <w:color w:val="000000"/>
                <w:kern w:val="0"/>
                <w:sz w:val="28"/>
                <w:szCs w:val="28"/>
                <w:highlight w:val="none"/>
                <w:vertAlign w:val="baseline"/>
                <w:lang w:val="en-US" w:eastAsia="zh-CN" w:bidi="ar-SA"/>
              </w:rPr>
              <w:t>D</w:t>
            </w:r>
            <w:r>
              <w:rPr>
                <w:rFonts w:hint="default" w:ascii="宋体" w:hAnsi="宋体" w:eastAsia="宋体" w:cs="Times New Roman"/>
                <w:color w:val="000000"/>
                <w:kern w:val="0"/>
                <w:sz w:val="28"/>
                <w:szCs w:val="28"/>
                <w:highlight w:val="none"/>
                <w:vertAlign w:val="baseline"/>
                <w:lang w:val="en-US" w:eastAsia="zh-CN" w:bidi="ar-SA"/>
              </w:rPr>
              <w:t>NANucleic</w:t>
            </w:r>
            <w:r>
              <w:rPr>
                <w:rFonts w:hint="eastAsia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center"/>
          </w:tcPr>
          <w:p w14:paraId="09F3EB64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10</w:t>
            </w:r>
          </w:p>
        </w:tc>
      </w:tr>
      <w:tr w14:paraId="4E4D0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continue"/>
            <w:vAlign w:val="center"/>
          </w:tcPr>
          <w:p w14:paraId="29FC5DDC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706" w:type="dxa"/>
            <w:vAlign w:val="center"/>
          </w:tcPr>
          <w:p w14:paraId="56FB4C12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RNA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核酸总量（ng）</w:t>
            </w:r>
          </w:p>
        </w:tc>
        <w:tc>
          <w:tcPr>
            <w:tcW w:w="1445" w:type="dxa"/>
            <w:vAlign w:val="center"/>
          </w:tcPr>
          <w:p w14:paraId="53CACE13">
            <w:pPr>
              <w:pStyle w:val="7"/>
              <w:keepNext w:val="0"/>
              <w:keepLines w:val="0"/>
              <w:widowControl/>
              <w:suppressLineNumbers w:val="0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{{R</w:t>
            </w:r>
            <w:r>
              <w:rPr>
                <w:rFonts w:hint="default" w:ascii="宋体" w:hAnsi="宋体" w:eastAsia="宋体" w:cs="Times New Roman"/>
                <w:color w:val="000000"/>
                <w:kern w:val="0"/>
                <w:sz w:val="28"/>
                <w:szCs w:val="28"/>
                <w:highlight w:val="none"/>
                <w:vertAlign w:val="baseline"/>
                <w:lang w:val="en-US" w:eastAsia="zh-CN" w:bidi="ar-SA"/>
              </w:rPr>
              <w:t>NANucleic</w:t>
            </w:r>
            <w:r>
              <w:rPr>
                <w:rFonts w:hint="eastAsia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center"/>
          </w:tcPr>
          <w:p w14:paraId="367D3A35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30</w:t>
            </w:r>
          </w:p>
        </w:tc>
      </w:tr>
      <w:tr w14:paraId="636CC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restart"/>
            <w:vAlign w:val="center"/>
          </w:tcPr>
          <w:p w14:paraId="78E22282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文库质量评估</w:t>
            </w:r>
          </w:p>
        </w:tc>
        <w:tc>
          <w:tcPr>
            <w:tcW w:w="3706" w:type="dxa"/>
            <w:vAlign w:val="center"/>
          </w:tcPr>
          <w:p w14:paraId="5610A603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DNA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文库浓度（p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M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）</w:t>
            </w:r>
          </w:p>
        </w:tc>
        <w:tc>
          <w:tcPr>
            <w:tcW w:w="1445" w:type="dxa"/>
            <w:vAlign w:val="center"/>
          </w:tcPr>
          <w:p w14:paraId="2235A6A4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</w:t>
            </w:r>
            <w:r>
              <w:rPr>
                <w:rFonts w:hint="default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DNALibrary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center"/>
          </w:tcPr>
          <w:p w14:paraId="7FCD4216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20</w:t>
            </w:r>
          </w:p>
        </w:tc>
      </w:tr>
      <w:tr w14:paraId="42657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continue"/>
            <w:vAlign w:val="center"/>
          </w:tcPr>
          <w:p w14:paraId="563D6AE2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706" w:type="dxa"/>
            <w:vAlign w:val="center"/>
          </w:tcPr>
          <w:p w14:paraId="317C7ADA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RNA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文库浓度（p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M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）</w:t>
            </w:r>
          </w:p>
        </w:tc>
        <w:tc>
          <w:tcPr>
            <w:tcW w:w="1445" w:type="dxa"/>
            <w:vAlign w:val="center"/>
          </w:tcPr>
          <w:p w14:paraId="773D0427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</w:t>
            </w:r>
            <w:r>
              <w:rPr>
                <w:rFonts w:hint="default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RNALibrary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center"/>
          </w:tcPr>
          <w:p w14:paraId="32AD460F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20</w:t>
            </w:r>
          </w:p>
        </w:tc>
      </w:tr>
      <w:tr w14:paraId="13C22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continue"/>
            <w:vAlign w:val="center"/>
          </w:tcPr>
          <w:p w14:paraId="34047376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706" w:type="dxa"/>
            <w:vAlign w:val="center"/>
          </w:tcPr>
          <w:p w14:paraId="40A1A576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DNA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文库平均测序深度（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X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）</w:t>
            </w:r>
          </w:p>
        </w:tc>
        <w:tc>
          <w:tcPr>
            <w:tcW w:w="1445" w:type="dxa"/>
            <w:vAlign w:val="center"/>
          </w:tcPr>
          <w:p w14:paraId="3D0C64C2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</w:t>
            </w:r>
            <w:r>
              <w:rPr>
                <w:rFonts w:hint="default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sequencing_depth</w:t>
            </w:r>
            <w:r>
              <w:rPr>
                <w:rFonts w:hint="eastAsia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center"/>
          </w:tcPr>
          <w:p w14:paraId="7AE947F4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2000</w:t>
            </w:r>
          </w:p>
        </w:tc>
      </w:tr>
      <w:tr w14:paraId="652BC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continue"/>
            <w:vAlign w:val="center"/>
          </w:tcPr>
          <w:p w14:paraId="573C3976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706" w:type="dxa"/>
            <w:vAlign w:val="center"/>
          </w:tcPr>
          <w:p w14:paraId="26A82D51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RNA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文库序列数（条）</w:t>
            </w:r>
          </w:p>
        </w:tc>
        <w:tc>
          <w:tcPr>
            <w:tcW w:w="1445" w:type="dxa"/>
            <w:vAlign w:val="center"/>
          </w:tcPr>
          <w:p w14:paraId="697EE9BA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{{ReadsNumber}}</w:t>
            </w:r>
          </w:p>
        </w:tc>
        <w:tc>
          <w:tcPr>
            <w:tcW w:w="3438" w:type="dxa"/>
            <w:vAlign w:val="center"/>
          </w:tcPr>
          <w:p w14:paraId="49CD1764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60000</w:t>
            </w:r>
          </w:p>
        </w:tc>
      </w:tr>
    </w:tbl>
    <w:p w14:paraId="31EDCC64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default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27029CCF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default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516C2240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eastAsia" w:ascii="宋体" w:hAnsi="宋体"/>
          <w:b/>
          <w:color w:val="000000"/>
          <w:sz w:val="18"/>
          <w:highlight w:val="none"/>
        </w:rPr>
      </w:pPr>
      <w:r>
        <w:rPr>
          <w:rFonts w:ascii="宋体" w:hAnsi="宋体"/>
          <w:b/>
          <w:color w:val="000000"/>
          <w:sz w:val="18"/>
          <w:highlight w:val="none"/>
        </w:rPr>
        <w:t>注：</w:t>
      </w:r>
    </w:p>
    <w:p w14:paraId="21AACAE7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肿瘤细胞比例（%）：送检样本含有肿瘤细胞的占比。</w:t>
      </w:r>
    </w:p>
    <w:p w14:paraId="55E88749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核酸总量（ng）：送检样本提取的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核酸总量。</w:t>
      </w:r>
    </w:p>
    <w:p w14:paraId="7D9F31FA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核酸总量（ng）：送检样本提取的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核酸总量。</w:t>
      </w:r>
    </w:p>
    <w:p w14:paraId="04B69FC6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文库浓度（p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M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）：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测序文库的浓度。</w:t>
      </w:r>
    </w:p>
    <w:p w14:paraId="711EC445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文库浓度（p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M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）：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测序文库的浓度。</w:t>
      </w:r>
    </w:p>
    <w:p w14:paraId="6BB971E8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文库平均测序深度（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X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）：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文库目标基因每个碱基被测到的平均次数。</w:t>
      </w:r>
    </w:p>
    <w:p w14:paraId="6E2CB65E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文库序列数（条）：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文库测序数据总序列数。</w:t>
      </w:r>
    </w:p>
    <w:p w14:paraId="0927479E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rPr>
          <w:rFonts w:hint="eastAsia" w:eastAsia="宋体"/>
          <w:sz w:val="40"/>
          <w:szCs w:val="40"/>
          <w:highlight w:val="yellow"/>
          <w:lang w:val="en-US" w:eastAsia="zh-CN"/>
        </w:rPr>
      </w:pPr>
    </w:p>
    <w:p w14:paraId="639BE9F8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</w:pPr>
      <w:r>
        <w:br w:type="page"/>
      </w:r>
    </w:p>
    <w:p w14:paraId="10B15FF3">
      <w:pPr>
        <w:pStyle w:val="13"/>
        <w:keepNext w:val="0"/>
        <w:keepLines w:val="0"/>
        <w:pageBreakBefore w:val="0"/>
        <w:numPr>
          <w:ilvl w:val="0"/>
          <w:numId w:val="0"/>
        </w:numPr>
        <w:wordWrap w:val="0"/>
        <w:topLinePunct w:val="0"/>
        <w:bidi w:val="0"/>
        <w:adjustRightInd w:val="0"/>
        <w:snapToGrid w:val="0"/>
        <w:ind w:leftChars="0"/>
        <w:textAlignment w:val="auto"/>
      </w:pPr>
    </w:p>
    <w:p w14:paraId="7C4E1ADF">
      <w:pPr>
        <w:pStyle w:val="13"/>
        <w:keepNext w:val="0"/>
        <w:keepLines w:val="0"/>
        <w:pageBreakBefore w:val="0"/>
        <w:numPr>
          <w:ilvl w:val="0"/>
          <w:numId w:val="0"/>
        </w:numPr>
        <w:wordWrap w:val="0"/>
        <w:topLinePunct w:val="0"/>
        <w:bidi w:val="0"/>
        <w:adjustRightInd w:val="0"/>
        <w:snapToGrid w:val="0"/>
        <w:ind w:leftChars="0"/>
        <w:textAlignment w:val="auto"/>
      </w:pPr>
    </w:p>
    <w:p w14:paraId="2349E92A">
      <w:pPr>
        <w:pStyle w:val="2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line="348" w:lineRule="exact"/>
        <w:ind w:left="0" w:right="123" w:firstLine="560" w:firstLineChars="200"/>
        <w:textAlignment w:val="auto"/>
      </w:pPr>
      <w:r>
        <w:t>附录</w:t>
      </w:r>
      <w:r>
        <w:rPr>
          <w:rFonts w:hint="eastAsia"/>
          <w:lang w:val="en-US" w:eastAsia="zh-CN"/>
        </w:rPr>
        <w:t>二</w:t>
      </w:r>
      <w:r>
        <w:t>：常见靶向药物相关基因检测说明</w:t>
      </w:r>
    </w:p>
    <w:p w14:paraId="6582A767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8"/>
        <w:ind w:left="0"/>
        <w:textAlignment w:val="auto"/>
        <w:rPr>
          <w:sz w:val="15"/>
        </w:rPr>
      </w:pPr>
    </w:p>
    <w:tbl>
      <w:tblPr>
        <w:tblStyle w:val="8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3175"/>
        <w:gridCol w:w="1361"/>
        <w:gridCol w:w="4251"/>
      </w:tblGrid>
      <w:tr w14:paraId="66CBED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62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C4D140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53" w:line="284" w:lineRule="exact"/>
              <w:ind w:left="442" w:right="469"/>
              <w:textAlignment w:val="auto"/>
            </w:pPr>
            <w:r>
              <w:rPr>
                <w:rFonts w:hint="eastAsia" w:ascii="宋体" w:hAnsi="宋体"/>
              </w:rPr>
              <w:t>检测 基因</w:t>
            </w: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4973D1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"/>
              <w:textAlignment w:val="auto"/>
              <w:rPr>
                <w:rFonts w:hint="eastAsia" w:ascii="宋体" w:hAnsi="宋体"/>
                <w:sz w:val="20"/>
              </w:rPr>
            </w:pPr>
          </w:p>
          <w:p w14:paraId="29E6DF5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4"/>
              <w:jc w:val="center"/>
              <w:textAlignment w:val="auto"/>
            </w:pPr>
            <w:r>
              <w:rPr>
                <w:rFonts w:hint="eastAsia" w:ascii="宋体" w:hAnsi="宋体"/>
              </w:rPr>
              <w:t>基因说明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16E94A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53" w:line="284" w:lineRule="exact"/>
              <w:ind w:left="414" w:right="440"/>
              <w:textAlignment w:val="auto"/>
            </w:pPr>
            <w:r>
              <w:rPr>
                <w:rFonts w:hint="eastAsia" w:ascii="宋体" w:hAnsi="宋体"/>
              </w:rPr>
              <w:t>靶向 药物</w:t>
            </w: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A83FF1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"/>
              <w:textAlignment w:val="auto"/>
              <w:rPr>
                <w:rFonts w:hint="eastAsia" w:ascii="宋体" w:hAnsi="宋体"/>
                <w:sz w:val="20"/>
              </w:rPr>
            </w:pPr>
          </w:p>
          <w:p w14:paraId="0D5A8AD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896"/>
              <w:textAlignment w:val="auto"/>
            </w:pPr>
            <w:r>
              <w:rPr>
                <w:rFonts w:hint="eastAsia" w:ascii="宋体" w:hAnsi="宋体"/>
              </w:rPr>
              <w:t>用药提示（仅供参考）</w:t>
            </w:r>
          </w:p>
        </w:tc>
      </w:tr>
      <w:tr w14:paraId="7CACF6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F13847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EBF157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"/>
              <w:textAlignment w:val="auto"/>
              <w:rPr>
                <w:rFonts w:hint="eastAsia" w:ascii="宋体" w:hAnsi="宋体"/>
                <w:sz w:val="25"/>
              </w:rPr>
            </w:pPr>
          </w:p>
          <w:p w14:paraId="3A758E2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ALK位于染色体2p23位点，是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FD01E4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5F536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"/>
              <w:textAlignment w:val="auto"/>
              <w:rPr>
                <w:rFonts w:hint="eastAsia" w:ascii="宋体" w:hAnsi="宋体"/>
                <w:sz w:val="25"/>
              </w:rPr>
            </w:pPr>
          </w:p>
          <w:p w14:paraId="5E3B219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FDA批准克唑替尼、阿来替尼、塞瑞替</w:t>
            </w:r>
          </w:p>
        </w:tc>
      </w:tr>
      <w:tr w14:paraId="18EDC1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12D43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4257F0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致癌驱动基因，ALK基因发生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F4C5A3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532FD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尼、布格替尼、恩沙替尼、洛拉替尼用</w:t>
            </w:r>
          </w:p>
        </w:tc>
      </w:tr>
      <w:tr w14:paraId="3E18AB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08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8E8CB0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hint="eastAsia" w:ascii="宋体" w:hAnsi="宋体"/>
              </w:rPr>
            </w:pPr>
          </w:p>
          <w:p w14:paraId="0C138DE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hint="eastAsia" w:ascii="宋体" w:hAnsi="宋体"/>
              </w:rPr>
            </w:pPr>
          </w:p>
          <w:p w14:paraId="698AD97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hint="eastAsia" w:ascii="宋体" w:hAnsi="宋体"/>
              </w:rPr>
            </w:pPr>
          </w:p>
          <w:p w14:paraId="57C1429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"/>
              <w:textAlignment w:val="auto"/>
              <w:rPr>
                <w:rFonts w:hint="eastAsia" w:ascii="宋体" w:hAnsi="宋体"/>
                <w:sz w:val="23"/>
              </w:rPr>
            </w:pPr>
          </w:p>
          <w:p w14:paraId="290E118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534"/>
              <w:jc w:val="right"/>
              <w:textAlignment w:val="auto"/>
            </w:pPr>
            <w:r>
              <w:rPr>
                <w:rFonts w:hint="eastAsia" w:ascii="宋体" w:hAnsi="宋体"/>
              </w:rPr>
              <w:t>ALK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2FD31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2" w:lineRule="exact"/>
              <w:ind w:left="75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重排如拷贝数增加或基因突变</w:t>
            </w:r>
          </w:p>
          <w:p w14:paraId="3F1CEAE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3" w:line="189" w:lineRule="auto"/>
              <w:ind w:left="75" w:right="-14"/>
              <w:textAlignment w:val="auto"/>
            </w:pPr>
            <w:r>
              <w:rPr>
                <w:rFonts w:hint="eastAsia" w:ascii="宋体" w:hAnsi="宋体"/>
                <w:sz w:val="22"/>
              </w:rPr>
              <w:t>会导致癌症发生，致癌机理为 ALK融合到核磷蛋白的N-末端 部分（NPM-ALK）导致组成性 激活。正常情况下人源的ALK 可转录产生大小6222bp的mRNA， 由29个外显子构成，编码1620 个氨基酸序列200KDa的I型穿 膜蛋白，该蛋白为一种跨膜 受体酪氨酸激酶，是胰岛素受 体超家族的一员。该蛋白可激 活下游信号通路，与细胞存活、 血管生成及细胞增殖相关。与 ALK相关的疾病包括非小细胞 肺癌、结直肠癌、卵巢癌、 横纹肌肉瘤等。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33E3E9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hint="eastAsia" w:ascii="宋体" w:hAnsi="宋体"/>
                <w:sz w:val="22"/>
              </w:rPr>
            </w:pPr>
          </w:p>
          <w:p w14:paraId="4495A3A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hint="eastAsia" w:ascii="宋体" w:hAnsi="宋体"/>
                <w:sz w:val="22"/>
              </w:rPr>
            </w:pPr>
          </w:p>
          <w:p w14:paraId="2CDF00E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"/>
              <w:textAlignment w:val="auto"/>
              <w:rPr>
                <w:rFonts w:hint="eastAsia" w:ascii="宋体" w:hAnsi="宋体"/>
                <w:sz w:val="22"/>
              </w:rPr>
            </w:pPr>
          </w:p>
          <w:p w14:paraId="7541A25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08" w:lineRule="auto"/>
              <w:ind w:left="229" w:right="224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阿来替尼 布格替尼 恩沙替尼 克唑替尼 洛拉替尼 塞瑞替尼 伊鲁阿克 依奉阿克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07B168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" w:line="230" w:lineRule="exact"/>
              <w:ind w:left="130" w:right="1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于ALK阳性非小细胞肺癌患者的治疗。NMPA 批准克唑替尼、塞瑞替尼、恩沙替尼、 阿来替尼、布格替尼、洛拉替尼、伊鲁</w:t>
            </w:r>
          </w:p>
          <w:p w14:paraId="60DC906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 w:line="230" w:lineRule="exact"/>
              <w:ind w:left="130" w:right="12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阿克、依奉阿克用于ALK阳性非小细胞肺 癌患者的治疗。NCCN指南推荐克唑替尼、</w:t>
            </w:r>
          </w:p>
          <w:p w14:paraId="5586FEE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 w:line="230" w:lineRule="exact"/>
              <w:ind w:left="130" w:right="12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阿来替尼、塞瑞替尼、布格替尼、洛拉 替尼用于ALK阳性非小细胞肺癌患者的治</w:t>
            </w:r>
          </w:p>
          <w:p w14:paraId="0418DAE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 w:line="230" w:lineRule="exact"/>
              <w:ind w:left="130" w:right="12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疗。CSCO指南推荐克唑替尼、阿来替尼、 塞瑞替尼、布格替尼、洛拉替尼、恩沙</w:t>
            </w:r>
          </w:p>
          <w:p w14:paraId="45CAEF5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 w:line="230" w:lineRule="exact"/>
              <w:ind w:left="130" w:right="23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替尼、伊鲁阿克用于ALK阳性非小细胞肺 癌患者的治疗。在非小细胞肺癌中，ALK</w:t>
            </w:r>
          </w:p>
          <w:p w14:paraId="1233E39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" w:line="230" w:lineRule="exact"/>
              <w:ind w:left="130" w:right="12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融合对EGFR TKIs药物埃克替尼、厄洛替 尼、吉非替尼、阿法替尼、奥希替尼、达 可替尼、伏美替尼、阿美替尼和贝福替</w:t>
            </w:r>
          </w:p>
          <w:p w14:paraId="702C7F9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 w:line="230" w:lineRule="exact"/>
              <w:ind w:left="130" w:right="231"/>
              <w:textAlignment w:val="auto"/>
            </w:pPr>
            <w:r>
              <w:rPr>
                <w:rFonts w:hint="eastAsia" w:ascii="宋体" w:hAnsi="宋体"/>
                <w:sz w:val="22"/>
              </w:rPr>
              <w:t>尼产生耐药性盼【NCCN_Non一Small Cel Lung Cancer_2024_V6; PMID: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1966726</w:t>
            </w:r>
          </w:p>
        </w:tc>
      </w:tr>
      <w:tr w14:paraId="3CE391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662363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CC466F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8D8DAA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BF0EDE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4】；ALK酪氨酸激酶结构域关键位点（</w:t>
            </w:r>
          </w:p>
        </w:tc>
      </w:tr>
      <w:tr w14:paraId="13FC5A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E92E42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20EB80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C92BE8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2730F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C1156Y、L1196M）发生突变会导致对一</w:t>
            </w:r>
          </w:p>
        </w:tc>
      </w:tr>
      <w:tr w14:paraId="7B4508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BCEFA5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5AD4B0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B242CE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D2D813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代ALK抑制剂克唑替尼产生耐药性{CSCO_</w:t>
            </w:r>
          </w:p>
        </w:tc>
      </w:tr>
      <w:tr w14:paraId="02214D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FB2207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E5F0E1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CF0EFD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2FE515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非小细胞肺癌_2024; PMID: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22277784}</w:t>
            </w:r>
          </w:p>
        </w:tc>
      </w:tr>
      <w:tr w14:paraId="48FB3A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299F40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B8D8AE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78C27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8DA4E2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ALK扩增对会导致对一代ALK抑制剂克唑</w:t>
            </w:r>
          </w:p>
        </w:tc>
      </w:tr>
      <w:tr w14:paraId="1C9F13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99F878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DF89E8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F425D1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D08767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替尼产生耐药性{CSCO_非小细胞肺癌_</w:t>
            </w:r>
          </w:p>
        </w:tc>
      </w:tr>
      <w:tr w14:paraId="5C0161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07BC94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8FCD4C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2EEB6E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719D21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2024}。</w:t>
            </w:r>
          </w:p>
        </w:tc>
      </w:tr>
      <w:tr w14:paraId="21AB27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7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3FBFF9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3DA262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95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BRAF基因位于染色体7q34，有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D0CA1E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0A70D7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95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FDA批准曲美替尼+达拉非尼、康奈非尼+</w:t>
            </w:r>
          </w:p>
        </w:tc>
      </w:tr>
      <w:tr w14:paraId="76C171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7EE370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247654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18个外显子，编码67~99kDa的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EBBA08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5587F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贝美替尼用于携带BRAF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V600E的非小细胞</w:t>
            </w:r>
          </w:p>
        </w:tc>
      </w:tr>
      <w:tr w14:paraId="30B1BB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371BEE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B5A3F4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丝氨酸/苏氨酸激酶，有3个保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C5E33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54CF48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肺癌患者。FDA批准曲美替尼+达拉非尼用</w:t>
            </w:r>
          </w:p>
        </w:tc>
      </w:tr>
      <w:tr w14:paraId="08F772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9F7B93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F1C16B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守结构域，CR1、CR2和激酶域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E97FA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223A30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于携带BRAF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V600E的实体瘤患者。NMPA批</w:t>
            </w:r>
          </w:p>
        </w:tc>
      </w:tr>
      <w:tr w14:paraId="61CB5C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38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D03548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"/>
              <w:textAlignment w:val="auto"/>
              <w:rPr>
                <w:rFonts w:hint="eastAsia" w:ascii="宋体" w:hAnsi="宋体"/>
                <w:sz w:val="26"/>
              </w:rPr>
            </w:pPr>
          </w:p>
          <w:p w14:paraId="507234E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473"/>
              <w:jc w:val="right"/>
              <w:textAlignment w:val="auto"/>
            </w:pPr>
            <w:r>
              <w:rPr>
                <w:rFonts w:hint="eastAsia" w:ascii="宋体" w:hAnsi="宋体"/>
              </w:rPr>
              <w:t>BRAF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C95F52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4" w:lineRule="exact"/>
              <w:ind w:left="75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CR3。该蛋白质通过调节MAP/</w:t>
            </w:r>
          </w:p>
          <w:p w14:paraId="6682FB5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4" w:line="189" w:lineRule="auto"/>
              <w:ind w:left="75" w:right="-14"/>
              <w:textAlignment w:val="auto"/>
            </w:pPr>
            <w:r>
              <w:rPr>
                <w:rFonts w:hint="eastAsia" w:ascii="宋体" w:hAnsi="宋体"/>
                <w:sz w:val="22"/>
              </w:rPr>
              <w:t>ERK的信号传导途径，从而影 响细胞分裂、分化和分泌的作 用。BRAF的激活突变或扩增会 引起细胞增殖不受控制，进而 导致肿瘤发生。与BRAF相关的 疾病包括黑色素瘤、结直肠癌、 肺癌、非霍奇金淋巴瘤等。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5499F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5" w:line="192" w:lineRule="auto"/>
              <w:ind w:left="159" w:right="183"/>
              <w:textAlignment w:val="auto"/>
            </w:pPr>
            <w:r>
              <w:rPr>
                <w:rFonts w:hint="eastAsia" w:ascii="宋体" w:hAnsi="宋体"/>
                <w:sz w:val="22"/>
              </w:rPr>
              <w:t>曲美替尼+ 达拉非尼 康奈非尼+ 贝美替尼 维莫非尼 达拉非尼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9E9E1B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4" w:lineRule="exact"/>
              <w:ind w:left="130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准曲美替尼+达拉非尼用于BRAF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V600突变</w:t>
            </w:r>
          </w:p>
          <w:p w14:paraId="366E2BE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1" w:line="192" w:lineRule="auto"/>
              <w:ind w:left="130" w:right="121"/>
              <w:textAlignment w:val="auto"/>
            </w:pPr>
            <w:r>
              <w:rPr>
                <w:rFonts w:hint="eastAsia" w:ascii="宋体" w:hAnsi="宋体"/>
                <w:sz w:val="22"/>
              </w:rPr>
              <w:t>阳性的非小细胞肺癌患者。NCCN指南推荐 曲美替尼+达拉非尼、康奈非尼+贝美替 尼、维莫非尼、达拉非尼用于携带BRAF V600E突变的非小细胞肺癌患者的治疗。 CSCO指南推荐曲美替尼+达拉非尼、康奈 非尼+贝美替尼用于携带BRAF V600突变的 非小细胞肺癌患者的一线治疗。BRAF</w:t>
            </w:r>
          </w:p>
        </w:tc>
      </w:tr>
      <w:tr w14:paraId="18F25F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C81136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42C78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6A1EA7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F3852B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V600E突变通常被认为是第一代和第三代</w:t>
            </w:r>
          </w:p>
        </w:tc>
      </w:tr>
      <w:tr w14:paraId="66A7A8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93EEEA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6C75F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539BF9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17D2AE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EGFR-TKI获得性耐药的独立驱动突变【</w:t>
            </w:r>
          </w:p>
        </w:tc>
      </w:tr>
      <w:tr w14:paraId="2C57FB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67E129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814E7B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CACFC1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4ECBEC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PMID:</w:t>
            </w:r>
            <w:r>
              <w:rPr>
                <w:rFonts w:hint="eastAsia" w:ascii="宋体" w:hAnsi="宋体"/>
                <w:spacing w:val="6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29626621】。</w:t>
            </w:r>
          </w:p>
        </w:tc>
      </w:tr>
    </w:tbl>
    <w:p w14:paraId="5BC06149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sectPr>
          <w:footerReference r:id="rId4" w:type="default"/>
          <w:pgSz w:w="11910" w:h="16840"/>
          <w:pgMar w:top="1120" w:right="720" w:bottom="82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equalWidth="0" w:num="1">
            <w:col w:w="10470"/>
          </w:cols>
        </w:sectPr>
      </w:pPr>
    </w:p>
    <w:p w14:paraId="61BC3893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10"/>
        <w:ind w:left="0"/>
        <w:textAlignment w:val="auto"/>
        <w:rPr>
          <w:rFonts w:hint="default" w:ascii="Times New Roman" w:hAnsi="Times New Roman" w:eastAsia="Times New Roman"/>
          <w:sz w:val="12"/>
        </w:rPr>
      </w:pPr>
    </w:p>
    <w:tbl>
      <w:tblPr>
        <w:tblStyle w:val="8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8"/>
        <w:gridCol w:w="3190"/>
        <w:gridCol w:w="1406"/>
        <w:gridCol w:w="4251"/>
      </w:tblGrid>
      <w:tr w14:paraId="11394B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03" w:hRule="exact"/>
        </w:trPr>
        <w:tc>
          <w:tcPr>
            <w:tcW w:w="135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61100A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1170913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28D380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79D464D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3905D6B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3F4768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ECF3C2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6E7F383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06FACBA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80D764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2324965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03"/>
              <w:ind w:left="442"/>
              <w:textAlignment w:val="auto"/>
            </w:pPr>
            <w:r>
              <w:rPr>
                <w:rFonts w:hint="eastAsia" w:ascii="宋体" w:hAnsi="宋体"/>
              </w:rPr>
              <w:t>EGFR</w:t>
            </w:r>
          </w:p>
        </w:tc>
        <w:tc>
          <w:tcPr>
            <w:tcW w:w="3190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EBCE8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5C4C72B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"/>
              <w:textAlignment w:val="auto"/>
              <w:rPr>
                <w:rFonts w:eastAsia="Times New Roman"/>
                <w:sz w:val="21"/>
              </w:rPr>
            </w:pPr>
          </w:p>
          <w:p w14:paraId="721A48B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7" w:lineRule="auto"/>
              <w:ind w:left="75" w:right="219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EGFR是原癌基因c-erbB1的表 达产物，是表皮生长因子受体</w:t>
            </w:r>
          </w:p>
          <w:p w14:paraId="651A6E9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" w:line="189" w:lineRule="auto"/>
              <w:ind w:left="75" w:right="1"/>
              <w:textAlignment w:val="auto"/>
            </w:pPr>
            <w:r>
              <w:rPr>
                <w:rFonts w:hint="eastAsia" w:ascii="宋体" w:hAnsi="宋体"/>
                <w:sz w:val="22"/>
              </w:rPr>
              <w:t>（HER）家族的跨膜受体酪氨 酸激酶之一。该蛋白由胞外的 结合区、跨膜区及胞内区（包 含酪氨酸激酶结构域）组成， 通过与多种表皮生长因子结合， 其自身发生二聚化并磷酸化， 进而引发细胞内信号通路，影 响细胞增殖等生物学过程。 EGFR基因突变、扩增或过表达 会导致EGFR蛋白的表达量过高 或活性过强，引起细胞的过度 增殖。与EGFR相关的疾病包括 肺癌、头颈部实体瘤、结直肠 癌、鼻咽癌等。</w:t>
            </w:r>
          </w:p>
        </w:tc>
        <w:tc>
          <w:tcPr>
            <w:tcW w:w="1406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69901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05CC994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50EC06F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22BB2B2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0D18402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56" w:line="192" w:lineRule="auto"/>
              <w:ind w:left="51" w:right="6" w:hanging="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阿法替尼 阿美替尼 Amivantamab 贝福替尼 达可替尼 厄洛替尼 厄洛替尼+ 雷莫西尤单抗 厄洛替尼+ 贝伐珠单抗 伏美替尼 吉非替尼 埃克替尼 依沃西单抗 奥希替尼 瑞齐替尼 瑞厄替尼 舒沃替尼</w:t>
            </w: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2A4084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1"/>
              <w:textAlignment w:val="auto"/>
              <w:rPr>
                <w:rFonts w:eastAsia="Times New Roman"/>
              </w:rPr>
            </w:pPr>
          </w:p>
          <w:p w14:paraId="3B5A4FA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96" w:lineRule="auto"/>
              <w:ind w:left="130" w:right="231"/>
              <w:textAlignment w:val="auto"/>
            </w:pPr>
            <w:r>
              <w:rPr>
                <w:rFonts w:hint="eastAsia" w:ascii="宋体" w:hAnsi="宋体"/>
                <w:sz w:val="22"/>
              </w:rPr>
              <w:t>在非小细胞肺癌中，FDA批准达可替尼、 厄洛替尼、厄洛替尼+雷莫西尤单抗、吉 非替尼、奥希替尼用于携带EGFR 19号外 显子缺失或21号外显子L858R突变的患 者；批准阿法替尼用于非耐药性EGFR突 变的患者；批准奥希替尼用于携带EGFR T790M突变的患者；批准Amivantamab用 于携带EGFR 20号外显子插入突变的患 者。NMPA批准阿美替尼、贝福替尼、达 可替尼、伏美替尼、奥希替尼用于携带 EGFR 19号外显子缺失或21号外显子L858 突变的患者；批准阿法替尼、厄洛替尼 吉非替尼、埃克替尼用于携带EGFR敏感 突变的患者；批准奥希替尼、阿美替尼 贝福替尼、伏美替尼、瑞齐替尼、瑞厄 替尼用于携带EGFR T790M突变的患者； 批准舒沃替尼用于携带EGFR 20号外显子 插入突变的患者；批准依沃西单抗用于 携带EGFR突变的非鳞状非小细胞肺癌患 者的治疗。NCCN指南推荐阿法替尼、 Amivantamab、达可替尼、厄洛替尼、吉 非替尼、奥希替尼用于携带EGFR敏感突</w:t>
            </w:r>
          </w:p>
        </w:tc>
      </w:tr>
      <w:tr w14:paraId="38E1DF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2D7C98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8E496D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24330C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AE5E88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变的患者；推荐厄洛替尼+雷莫西尤单抗</w:t>
            </w:r>
          </w:p>
        </w:tc>
      </w:tr>
      <w:tr w14:paraId="18E7CE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2FB1C3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3AEC8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E22633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C1DED5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厄洛替尼+贝伐珠单抗用于19号外显子缺</w:t>
            </w:r>
          </w:p>
        </w:tc>
      </w:tr>
      <w:tr w14:paraId="1C27E5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2E4C9C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06F91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228A9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2E22DA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失或21号外显子L858R突变的患者；推荐</w:t>
            </w:r>
          </w:p>
        </w:tc>
      </w:tr>
      <w:tr w14:paraId="688369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CAB3E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83EF5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FFA108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B5E3C7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0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Amivantamab用于携带EGFR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20号外显子</w:t>
            </w:r>
          </w:p>
        </w:tc>
      </w:tr>
      <w:tr w14:paraId="1F54C2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2D4EC2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62FE4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95DB67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80CD2C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插入突变的患者；推荐奥希替尼用于携</w:t>
            </w:r>
          </w:p>
        </w:tc>
      </w:tr>
      <w:tr w14:paraId="61DDC4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859131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5AB240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D80732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9118C2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带EGFR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T790M突变的患者。CSCO指南推</w:t>
            </w:r>
          </w:p>
        </w:tc>
      </w:tr>
      <w:tr w14:paraId="5F5170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BC61EA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5751A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BFCDF7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739940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荐阿法替尼、阿美替尼、贝福替尼、埃</w:t>
            </w:r>
          </w:p>
        </w:tc>
      </w:tr>
      <w:tr w14:paraId="7AABAC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14D08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321313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26F9B4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5C2A98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替尼、达可替尼、厄洛替尼、厄洛替尼+</w:t>
            </w:r>
          </w:p>
        </w:tc>
      </w:tr>
      <w:tr w14:paraId="0A3A6D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781FA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6E5D1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F9857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EA1814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贝伐珠单抗、伏美替尼、吉非替尼、奥</w:t>
            </w:r>
          </w:p>
        </w:tc>
      </w:tr>
      <w:tr w14:paraId="2AC063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7F203D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7C2CA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A06D22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7C834C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希替尼用于携带EGFR敏感突变的患者；</w:t>
            </w:r>
          </w:p>
        </w:tc>
      </w:tr>
      <w:tr w14:paraId="7B315E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0DDD70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67C10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25CFF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CDE3F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推荐阿美替尼、伏美替尼、贝福替尼、</w:t>
            </w:r>
          </w:p>
        </w:tc>
      </w:tr>
      <w:tr w14:paraId="546494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5080EC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9C1A10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2BC5DC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C0AAED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0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希替尼用于携带EGFR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T790M突变的患</w:t>
            </w:r>
          </w:p>
        </w:tc>
      </w:tr>
      <w:tr w14:paraId="10FE21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252A2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F41BCE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B88BAE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EA85BC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者；推荐Amivantamab、舒沃替尼用于携</w:t>
            </w:r>
          </w:p>
        </w:tc>
      </w:tr>
      <w:tr w14:paraId="7AC8D5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D0E17C4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6AF9B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F9494A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7023BD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带EGFR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20号外显子插入突变的患者。</w:t>
            </w:r>
          </w:p>
        </w:tc>
      </w:tr>
      <w:tr w14:paraId="209C78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4C57D4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BCB6EF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957265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40100E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NCCN指南和CSCO指南指出，EGFR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T790M</w:t>
            </w:r>
          </w:p>
        </w:tc>
      </w:tr>
      <w:tr w14:paraId="3A37E9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B56F52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80D8FF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0A2605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A4687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与第一、二代EGFR-TKI获得性耐药相关</w:t>
            </w:r>
          </w:p>
        </w:tc>
      </w:tr>
      <w:tr w14:paraId="36202D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A73CA6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117C00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6E7A1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84B30B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NCCN_Non-Small Cell Lung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Cancer_</w:t>
            </w:r>
          </w:p>
        </w:tc>
      </w:tr>
      <w:tr w14:paraId="15C281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F5634D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FA9FE9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31420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49DAC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2024_V6;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CSCO_非小细胞肺癌_2024】。</w:t>
            </w:r>
          </w:p>
        </w:tc>
      </w:tr>
      <w:tr w14:paraId="5EF7C3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9F8F4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51B3B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E56B80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4E7F5B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NCCN指南指出，多数EGFR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20号外显子插</w:t>
            </w:r>
          </w:p>
        </w:tc>
      </w:tr>
      <w:tr w14:paraId="6760DD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4CC7F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C89A14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9AA65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B9D40E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入突变对早期EGFR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TKIs治疗缺乏应答有</w:t>
            </w:r>
          </w:p>
        </w:tc>
      </w:tr>
      <w:tr w14:paraId="5D152F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3446C6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A5C22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63CE2D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30BC2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0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关【NCCN_Non-Small Cell Lung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Cancer</w:t>
            </w:r>
          </w:p>
        </w:tc>
      </w:tr>
      <w:tr w14:paraId="33F11B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CC36A3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852C63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1905D2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D21AB1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2024_V6】。</w:t>
            </w:r>
          </w:p>
        </w:tc>
      </w:tr>
    </w:tbl>
    <w:p w14:paraId="29D9FDAC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sectPr>
          <w:pgSz w:w="11910" w:h="16840"/>
          <w:pgMar w:top="15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160BAF7A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/>
        <w:ind w:left="0"/>
        <w:textAlignment w:val="auto"/>
        <w:rPr>
          <w:rFonts w:hint="default" w:ascii="Times New Roman" w:hAnsi="Times New Roman" w:eastAsia="Times New Roman"/>
          <w:sz w:val="8"/>
        </w:rPr>
      </w:pPr>
    </w:p>
    <w:tbl>
      <w:tblPr>
        <w:tblStyle w:val="8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3175"/>
        <w:gridCol w:w="1361"/>
        <w:gridCol w:w="4251"/>
      </w:tblGrid>
      <w:tr w14:paraId="437F4F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0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656B80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ACC7E0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00121C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1164730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1AB401F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"/>
              <w:textAlignment w:val="auto"/>
              <w:rPr>
                <w:rFonts w:eastAsia="Times New Roman"/>
                <w:sz w:val="19"/>
              </w:rPr>
            </w:pPr>
          </w:p>
          <w:p w14:paraId="547966A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387"/>
              <w:textAlignment w:val="auto"/>
            </w:pPr>
            <w:r>
              <w:rPr>
                <w:rFonts w:hint="eastAsia" w:ascii="宋体" w:hAnsi="宋体"/>
              </w:rPr>
              <w:t>ERBB2</w:t>
            </w: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8DEB42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17" w:line="189" w:lineRule="auto"/>
              <w:ind w:left="75" w:right="-14"/>
              <w:textAlignment w:val="auto"/>
            </w:pPr>
            <w:r>
              <w:rPr>
                <w:rFonts w:hint="eastAsia" w:ascii="宋体" w:hAnsi="宋体"/>
                <w:sz w:val="22"/>
              </w:rPr>
              <w:t>ERBB2又称HER2，是原癌基因， 编码蛋白属于EGFR家族。HER2 是跨膜酪氨酸激酶受体，由胞 外的结合结构域和胞内的激酶 结构域构成，结合配体后发生 二聚化，并激活下游信号通路， 在细胞增殖、凋亡、细胞骨架 重排等生物学过程中具有重要 作用。ERBB2突变或扩增导致 HER2激活，引起细胞过度增殖 进而诱发肿瘤形成。与HER2相 关的疾病包括乳腺癌、非小细 胞肺癌等。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CE7C89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224DAC9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625E2BF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"/>
              <w:textAlignment w:val="auto"/>
              <w:rPr>
                <w:rFonts w:eastAsia="Times New Roman"/>
                <w:sz w:val="32"/>
              </w:rPr>
            </w:pPr>
          </w:p>
          <w:p w14:paraId="369B4E6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3" w:lineRule="auto"/>
              <w:ind w:left="116" w:right="11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德曲妥珠 单抗 恩美曲妥珠 单抗 吡咯替尼</w:t>
            </w: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933FAB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0" w:line="192" w:lineRule="auto"/>
              <w:ind w:left="130" w:right="121"/>
              <w:textAlignment w:val="auto"/>
            </w:pPr>
            <w:r>
              <w:rPr>
                <w:rFonts w:hint="eastAsia" w:ascii="宋体" w:hAnsi="宋体"/>
                <w:sz w:val="22"/>
              </w:rPr>
              <w:t>FDA批准德曲妥珠单抗用于携带ERBB2激活 突变的非小细胞肺癌患者的治疗。FDA批 准德曲妥珠单抗用于携带HER2阳性的实体 瘤患者。NCCN指南推荐恩美曲妥珠单抗、 德曲妥珠单抗用于携带ERBB2突变的非小 细胞肺癌患者的治疗。NCCN指南推荐德曲 妥珠单抗用于HER2过表达（IHC 3+）的非 小细胞肺癌患者的治疗。CSCO指南推荐德 曲妥珠单抗、吡咯替尼用于携带ERBB2突 变的非小细胞肺癌患者的治疗。NCCN指南 指出ERBB2扩增是非小细胞肺癌对EGFR TKI耐药的机制【NCCN_Non-Small Cell Lung Cancer_2024_V6</w:t>
            </w:r>
            <w:r>
              <w:rPr>
                <w:rFonts w:hint="eastAsia" w:ascii="宋体" w:hAnsi="宋体"/>
                <w:spacing w:val="8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】。</w:t>
            </w:r>
          </w:p>
        </w:tc>
      </w:tr>
      <w:tr w14:paraId="7F58D5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3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18912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C480B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7456F4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3F0D09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2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FDA批准Sotorasib、Adagrasib用于携带</w:t>
            </w:r>
          </w:p>
        </w:tc>
      </w:tr>
      <w:tr w14:paraId="6B5389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1EAB34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0955F9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K-ras因其编码21kD的ras蛋白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14579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B0E531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KRAS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G12C突变的非小细胞肺癌患者的治</w:t>
            </w:r>
          </w:p>
        </w:tc>
      </w:tr>
      <w:tr w14:paraId="1893E8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943E90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5CB41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又名p21基因，是一种原癌基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E9D4FE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9BBAB0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疗。NCCN指南和CSCO指南推荐Sotorasib、</w:t>
            </w:r>
          </w:p>
        </w:tc>
      </w:tr>
      <w:tr w14:paraId="28D2D3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AF0CA9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D96B71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因，它是信号传导通路中EGFR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9DE1A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AA394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Adagrasib用于携带KRAS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G12C突变的非</w:t>
            </w:r>
          </w:p>
        </w:tc>
      </w:tr>
      <w:tr w14:paraId="2FC270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ABF24E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DAF9BE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下游的关键调节因子，发生突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447C10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96245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小细胞肺癌患者的治疗。KRAS突变与非</w:t>
            </w:r>
          </w:p>
        </w:tc>
      </w:tr>
      <w:tr w14:paraId="3CFA86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D132C7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18"/>
              <w:ind w:left="387"/>
              <w:textAlignment w:val="auto"/>
            </w:pPr>
            <w:r>
              <w:rPr>
                <w:rFonts w:hint="eastAsia" w:ascii="宋体" w:hAnsi="宋体"/>
              </w:rPr>
              <w:t>KRAS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F683F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4" w:lineRule="exact"/>
              <w:ind w:left="75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变后导致自身的持续活化，进</w:t>
            </w:r>
          </w:p>
          <w:p w14:paraId="7B6A85B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4" w:line="189" w:lineRule="auto"/>
              <w:ind w:left="75" w:right="205"/>
              <w:textAlignment w:val="auto"/>
            </w:pPr>
            <w:r>
              <w:rPr>
                <w:rFonts w:hint="eastAsia" w:ascii="宋体" w:hAnsi="宋体"/>
                <w:sz w:val="22"/>
              </w:rPr>
              <w:t>而持续激活下游Ras/Raf/MEK 和PI3K/Akt信号通路，从而不 受上游EGFR信号的调控，使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88BD9C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7" w:line="189" w:lineRule="auto"/>
              <w:ind w:left="101" w:right="241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Sotorasib Adagrasib 氟泽雷赛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EA4CC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4" w:lineRule="exact"/>
              <w:ind w:left="130"/>
              <w:jc w:val="both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小细胞肺癌中EGFR-TKIs的耐药相关，12、</w:t>
            </w:r>
          </w:p>
          <w:p w14:paraId="4FA604E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4" w:line="189" w:lineRule="auto"/>
              <w:ind w:left="130" w:right="342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13、61密码子突变对EGFR TKI（吉非替 尼、厄洛替尼、埃克替尼、阿法替尼、 奥希替尼等）的敏感性降低【PMID:</w:t>
            </w:r>
          </w:p>
        </w:tc>
      </w:tr>
      <w:tr w14:paraId="12298E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4DAB21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3A439F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EGFR靶向药物无效。在人类恶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584FB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27B04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18349398; PMID: 23401440;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PMID:</w:t>
            </w:r>
          </w:p>
        </w:tc>
      </w:tr>
      <w:tr w14:paraId="276B81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DABE7D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85FF4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性肿瘤中KRAS基因是最常见的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70627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A5D822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18024870; PMID: 23154547;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PMID:</w:t>
            </w:r>
          </w:p>
        </w:tc>
      </w:tr>
      <w:tr w14:paraId="356CAB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DD3B45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88417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突变基因，在胰腺癌，结直肠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B7BB84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C100CA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27040858】。KRAS突变也与ALK阳性非小</w:t>
            </w:r>
          </w:p>
        </w:tc>
      </w:tr>
      <w:tr w14:paraId="30C9AB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944263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449D03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癌和肺癌中突变频率很高。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7ECAF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C7CC5E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细胞肺癌中对克唑替尼的获得性耐药有</w:t>
            </w:r>
          </w:p>
        </w:tc>
      </w:tr>
      <w:tr w14:paraId="1A93C2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61C52C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B1A0FD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6DD645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CCDA3D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关【PMID:</w:t>
            </w:r>
            <w:r>
              <w:rPr>
                <w:rFonts w:hint="eastAsia" w:ascii="宋体" w:hAnsi="宋体"/>
                <w:spacing w:val="8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28601386】。</w:t>
            </w:r>
          </w:p>
        </w:tc>
      </w:tr>
      <w:tr w14:paraId="46635C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B8FDD7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6A1D2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2"/>
              <w:ind w:left="58"/>
              <w:textAlignment w:val="auto"/>
            </w:pPr>
            <w:r>
              <w:rPr>
                <w:rFonts w:hint="eastAsia" w:ascii="宋体" w:hAnsi="宋体"/>
                <w:sz w:val="22"/>
              </w:rPr>
              <w:t>MET是原癌基因，位于7号染色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B17E0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70F56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2"/>
              <w:ind w:left="114"/>
              <w:textAlignment w:val="auto"/>
            </w:pPr>
            <w:r>
              <w:rPr>
                <w:rFonts w:hint="eastAsia" w:ascii="宋体" w:hAnsi="宋体"/>
                <w:sz w:val="22"/>
              </w:rPr>
              <w:t>FDA批准卡马替尼和特泊替尼用于MET外显</w:t>
            </w:r>
          </w:p>
        </w:tc>
      </w:tr>
      <w:tr w14:paraId="46C978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3270BF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1A6CAB7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796BCDE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"/>
              <w:textAlignment w:val="auto"/>
              <w:rPr>
                <w:rFonts w:eastAsia="Times New Roman"/>
                <w:sz w:val="28"/>
              </w:rPr>
            </w:pPr>
          </w:p>
          <w:p w14:paraId="352A379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387"/>
              <w:textAlignment w:val="auto"/>
            </w:pPr>
            <w:r>
              <w:rPr>
                <w:rFonts w:hint="eastAsia" w:ascii="宋体" w:hAnsi="宋体"/>
              </w:rPr>
              <w:t>MET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716EA5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" w:line="189" w:lineRule="auto"/>
              <w:ind w:left="58" w:right="222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体，编码的蛋白是具有酪氨酸 酶活性的生长因子受体，是肝 细胞生长因子受体，具有酪氨 酸激酶活性，与多种癌基因产 物和调节蛋白相关。MET激活 后，使底物磷酸化，激活细胞 内PI3K-AKT-mTOR及RAS-RAF-</w:t>
            </w:r>
          </w:p>
          <w:p w14:paraId="7D652C9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9" w:lineRule="auto"/>
              <w:ind w:left="58" w:right="332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MEK-ERK等多个下游通路。与 MET相关的疾病包括乳头状肾 细胞癌、非小细胞肺癌等。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69D07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249C48F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52" w:line="250" w:lineRule="exact"/>
              <w:ind w:left="197" w:right="255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克唑替尼 卡马替尼 特泊替尼 赛沃替尼 谷美替尼 伯瑞替尼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EC139A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" w:line="232" w:lineRule="exact"/>
              <w:ind w:left="114" w:right="138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子14跳跃突变的非小细胞肺癌。NMPA批准 卡马替尼、特泊替尼、赛沃替尼、谷美替</w:t>
            </w:r>
          </w:p>
          <w:p w14:paraId="7E6CB9A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93" w:lineRule="exact"/>
              <w:ind w:left="114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尼和伯瑞替尼用于MET外显子14跳跃突变</w:t>
            </w:r>
          </w:p>
          <w:p w14:paraId="57B61B6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2" w:line="194" w:lineRule="auto"/>
              <w:ind w:left="114" w:right="138"/>
              <w:textAlignment w:val="auto"/>
            </w:pPr>
            <w:r>
              <w:rPr>
                <w:rFonts w:hint="eastAsia" w:ascii="宋体" w:hAnsi="宋体"/>
                <w:sz w:val="22"/>
              </w:rPr>
              <w:t>的非小细胞肺癌。NCCN指南推荐卡马替 尼、克唑替尼和特泊替尼用于MET外显子 14跳跃突变非小细胞肺癌患者，推荐卡马 替尼、特泊替尼和克唑替尼用于MET扩增 非小细胞肺癌患者。CSCO指南推荐谷美替 尼、伯瑞替尼、特泊替尼、赛沃替尼和卡 马替尼用于MET外显子14跳跃突变非小细</w:t>
            </w:r>
          </w:p>
        </w:tc>
      </w:tr>
      <w:tr w14:paraId="680BAD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95655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30099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A597CD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58DF6F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4"/>
              <w:textAlignment w:val="auto"/>
            </w:pPr>
            <w:r>
              <w:rPr>
                <w:rFonts w:hint="eastAsia" w:ascii="宋体" w:hAnsi="宋体"/>
                <w:sz w:val="22"/>
              </w:rPr>
              <w:t>胞肺癌患者。c-MET扩增、MET和HGF过表</w:t>
            </w:r>
          </w:p>
        </w:tc>
      </w:tr>
      <w:tr w14:paraId="4E117D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CE602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172E8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D9FFF5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05EE43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达都可导致非小细胞肺癌患者对MET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TKI</w:t>
            </w:r>
          </w:p>
        </w:tc>
      </w:tr>
      <w:tr w14:paraId="08D571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3F5137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248E4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49BF71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B2670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类药物伯瑞替尼、SYM015等敏感性增加【</w:t>
            </w:r>
          </w:p>
        </w:tc>
      </w:tr>
      <w:tr w14:paraId="77E26D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81261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3E92DB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898559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6E53B0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AACR 2020 Abstract CT127;</w:t>
            </w:r>
            <w:r>
              <w:rPr>
                <w:rFonts w:hint="eastAsia" w:ascii="宋体" w:hAnsi="宋体"/>
                <w:spacing w:val="10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PMID:</w:t>
            </w:r>
          </w:p>
        </w:tc>
      </w:tr>
      <w:tr w14:paraId="633A00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E2C644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BB6EC3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22AB43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80F796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33569327】，同时NCCN指南指出，MET扩</w:t>
            </w:r>
          </w:p>
        </w:tc>
      </w:tr>
      <w:tr w14:paraId="1D9468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D54F99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AE0EFF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23A79A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09B7C0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是非小细胞肺癌对EGFR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TKI耐药的机制【</w:t>
            </w:r>
          </w:p>
        </w:tc>
      </w:tr>
      <w:tr w14:paraId="27B691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D1E084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70984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14C61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740AC5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NCCN_Non-Small Cell Lung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Cancer_</w:t>
            </w:r>
          </w:p>
        </w:tc>
      </w:tr>
      <w:tr w14:paraId="32F8C3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154DC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51726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ABA59D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DB33AF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2024_V6】。研究表明，MET扩增也对塞普</w:t>
            </w:r>
          </w:p>
        </w:tc>
      </w:tr>
      <w:tr w14:paraId="755BA2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203C5B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543D23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D12805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81370C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替尼和Rociletinib产生耐药性【PMID:</w:t>
            </w:r>
          </w:p>
        </w:tc>
      </w:tr>
      <w:tr w14:paraId="55AEC5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B08A6C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E229C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E47A3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EDE0E7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33082208; PMID: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27283993】。MET基因</w:t>
            </w:r>
          </w:p>
        </w:tc>
      </w:tr>
      <w:tr w14:paraId="470EC0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9726C4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7A539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6416E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A7A38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14号外显子跳跃突变对SYM015敏感性增加</w:t>
            </w:r>
          </w:p>
        </w:tc>
      </w:tr>
      <w:tr w14:paraId="67B12D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97CE65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86DC6A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3CD1ED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99809F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【PMID:</w:t>
            </w:r>
            <w:r>
              <w:rPr>
                <w:rFonts w:hint="eastAsia" w:ascii="宋体" w:hAnsi="宋体"/>
                <w:spacing w:val="7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33569327】。</w:t>
            </w:r>
          </w:p>
        </w:tc>
      </w:tr>
    </w:tbl>
    <w:p w14:paraId="655910C9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sectPr>
          <w:pgSz w:w="11910" w:h="16840"/>
          <w:pgMar w:top="15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5839AA69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/>
        <w:ind w:left="0"/>
        <w:textAlignment w:val="auto"/>
        <w:rPr>
          <w:rFonts w:hint="default" w:ascii="Times New Roman" w:hAnsi="Times New Roman" w:eastAsia="Times New Roman"/>
          <w:sz w:val="8"/>
        </w:rPr>
      </w:pPr>
    </w:p>
    <w:tbl>
      <w:tblPr>
        <w:tblStyle w:val="8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3175"/>
        <w:gridCol w:w="1361"/>
        <w:gridCol w:w="4251"/>
      </w:tblGrid>
      <w:tr w14:paraId="5B8B65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5BF14E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ECA1F6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6"/>
              <w:ind w:left="75" w:right="-14"/>
              <w:textAlignment w:val="auto"/>
            </w:pPr>
            <w:r>
              <w:rPr>
                <w:rFonts w:hint="eastAsia" w:ascii="宋体" w:hAnsi="宋体"/>
                <w:sz w:val="22"/>
              </w:rPr>
              <w:t>磷脂酰肌醇</w:t>
            </w:r>
            <w:r>
              <w:rPr>
                <w:rFonts w:hint="eastAsia" w:ascii="宋体" w:hAnsi="宋体"/>
                <w:spacing w:val="10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3-激酶由一个85kDa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500F0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088C19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6"/>
              <w:ind w:left="73"/>
              <w:textAlignment w:val="auto"/>
            </w:pPr>
            <w:r>
              <w:rPr>
                <w:rFonts w:hint="eastAsia" w:ascii="宋体" w:hAnsi="宋体"/>
                <w:sz w:val="22"/>
              </w:rPr>
              <w:t>研究发现非小细胞肺癌人群中大约有1~3%</w:t>
            </w:r>
          </w:p>
        </w:tc>
      </w:tr>
      <w:tr w14:paraId="63DB80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B3537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D9128C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的调节亚基和一个 110kDa</w:t>
            </w:r>
            <w:r>
              <w:rPr>
                <w:rFonts w:hint="eastAsia" w:ascii="宋体" w:hAnsi="宋体"/>
                <w:spacing w:val="9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的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E1BFE1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EEABD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3"/>
              <w:textAlignment w:val="auto"/>
            </w:pPr>
            <w:r>
              <w:rPr>
                <w:rFonts w:hint="eastAsia" w:ascii="宋体" w:hAnsi="宋体"/>
                <w:sz w:val="22"/>
              </w:rPr>
              <w:t>的患者发生PIK3CA突变。PIK3CA突变可以</w:t>
            </w:r>
          </w:p>
        </w:tc>
      </w:tr>
      <w:tr w14:paraId="504772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F8099C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C52E8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催化亚基组成。 PIK3CA</w:t>
            </w:r>
            <w:r>
              <w:rPr>
                <w:rFonts w:hint="eastAsia" w:ascii="宋体" w:hAnsi="宋体"/>
                <w:spacing w:val="9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编码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FA6DC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CC911E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3"/>
              <w:textAlignment w:val="auto"/>
            </w:pPr>
            <w:r>
              <w:rPr>
                <w:rFonts w:hint="eastAsia" w:ascii="宋体" w:hAnsi="宋体"/>
                <w:sz w:val="22"/>
              </w:rPr>
              <w:t>与EGFR突变共存【PMID: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16930767】。在</w:t>
            </w:r>
          </w:p>
        </w:tc>
      </w:tr>
      <w:tr w14:paraId="333800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0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8C381E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3DDF212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"/>
              <w:textAlignment w:val="auto"/>
              <w:rPr>
                <w:rFonts w:eastAsia="Times New Roman"/>
                <w:sz w:val="20"/>
              </w:rPr>
            </w:pPr>
          </w:p>
          <w:p w14:paraId="31EE701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330"/>
              <w:textAlignment w:val="auto"/>
            </w:pPr>
            <w:r>
              <w:rPr>
                <w:rFonts w:hint="eastAsia" w:ascii="宋体" w:hAnsi="宋体"/>
              </w:rPr>
              <w:t>PIK3CA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D1F0B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3" w:lineRule="exact"/>
              <w:ind w:left="75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的 p110-alpha</w:t>
            </w:r>
            <w:r>
              <w:rPr>
                <w:rFonts w:hint="eastAsia" w:ascii="宋体" w:hAnsi="宋体"/>
                <w:spacing w:val="9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蛋白是磷脂酰</w:t>
            </w:r>
          </w:p>
          <w:p w14:paraId="1E8C7BC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3" w:line="189" w:lineRule="auto"/>
              <w:ind w:left="75" w:right="205"/>
              <w:textAlignment w:val="auto"/>
            </w:pPr>
            <w:r>
              <w:rPr>
                <w:rFonts w:hint="eastAsia" w:ascii="宋体" w:hAnsi="宋体"/>
                <w:sz w:val="22"/>
              </w:rPr>
              <w:t>肌醇 3-激酶（ PI3K）的催化 亚基，以 ATP 依赖的方式磷 酸化 PtdIns， PtdIns4P 和 PtdIns (4, 5) P2。其所在通 路—PI3K/Akt/mTOR 通路可调 控细胞的生长、增殖、分化、 活力和存活。该基因与宫颈癌 的发生有关。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6365E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50" w:line="189" w:lineRule="auto"/>
              <w:ind w:left="51" w:right="71"/>
              <w:textAlignment w:val="auto"/>
            </w:pPr>
            <w:r>
              <w:rPr>
                <w:rFonts w:hint="eastAsia" w:ascii="宋体" w:hAnsi="宋体"/>
                <w:sz w:val="22"/>
              </w:rPr>
              <w:t>Taselisib Inavolisib 依维莫司CYH 33+奥拉帕利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627450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3" w:lineRule="exact"/>
              <w:ind w:left="73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肺癌中有研究报道，PIK3CA激活突变可能</w:t>
            </w:r>
          </w:p>
          <w:p w14:paraId="027E0A0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7" w:lineRule="exact"/>
              <w:ind w:left="73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与EGFR-TKI耐药相关【PMID: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21430269;</w:t>
            </w:r>
          </w:p>
          <w:p w14:paraId="00AE16D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1" w:line="192" w:lineRule="auto"/>
              <w:ind w:left="73" w:right="179"/>
              <w:textAlignment w:val="auto"/>
            </w:pPr>
            <w:r>
              <w:rPr>
                <w:rFonts w:hint="eastAsia" w:ascii="宋体" w:hAnsi="宋体"/>
                <w:sz w:val="22"/>
              </w:rPr>
              <w:t>PMID: 26175928】。在一项I期临床研究 中，PIK3CA H1047L/Y对Taselisib敏感【 PMID: 28331003】。目前PI3K抑制剂对 PIK3CA基因突变患者的疗效研究多处于临 床前【PMID: 26627007】，如Alpelisib Dactolisib、Copanlisib等。依维莫司、 替西罗莫司、Inavolisib、CYH33+奥拉帕</w:t>
            </w:r>
          </w:p>
        </w:tc>
      </w:tr>
      <w:tr w14:paraId="48E70E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6054AB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5574C9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C2B360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79474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3"/>
              <w:textAlignment w:val="auto"/>
            </w:pPr>
            <w:r>
              <w:rPr>
                <w:rFonts w:hint="eastAsia" w:ascii="宋体" w:hAnsi="宋体"/>
                <w:sz w:val="22"/>
              </w:rPr>
              <w:t>利等在PIK3CA突变的肺癌或实体肿瘤中正</w:t>
            </w:r>
          </w:p>
        </w:tc>
      </w:tr>
      <w:tr w14:paraId="2AB016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72226D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3DB658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C3A217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24E31C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3"/>
              <w:textAlignment w:val="auto"/>
            </w:pPr>
            <w:r>
              <w:rPr>
                <w:rFonts w:hint="eastAsia" w:ascii="宋体" w:hAnsi="宋体"/>
                <w:sz w:val="22"/>
              </w:rPr>
              <w:t>开展临床试验。</w:t>
            </w:r>
          </w:p>
        </w:tc>
      </w:tr>
      <w:tr w14:paraId="5EB704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8669D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7D63C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RET编码受体酪氨酸激酶，是钙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DA552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D50A3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FDA批准塞普替尼和普拉替尼用于RET融</w:t>
            </w:r>
          </w:p>
        </w:tc>
      </w:tr>
      <w:tr w14:paraId="57108D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E0CD7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91AB7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粘蛋白超家族的成员，参与转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4A032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47054C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0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合阳性非小细胞肺癌患者，批准塞普替</w:t>
            </w:r>
          </w:p>
        </w:tc>
      </w:tr>
      <w:tr w14:paraId="23A0B3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72028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270A8B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2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导细胞生长和分化信号。RET基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0C040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360AB2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1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尼用于RET融合阳性的实体瘤患者。NMPA</w:t>
            </w:r>
          </w:p>
        </w:tc>
      </w:tr>
      <w:tr w14:paraId="3209D2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8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90A562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FE794D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"/>
              <w:textAlignment w:val="auto"/>
              <w:rPr>
                <w:rFonts w:eastAsia="Times New Roman"/>
                <w:sz w:val="25"/>
              </w:rPr>
            </w:pPr>
          </w:p>
          <w:p w14:paraId="6F9F83D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330"/>
              <w:textAlignment w:val="auto"/>
            </w:pPr>
            <w:r>
              <w:rPr>
                <w:rFonts w:hint="eastAsia" w:ascii="宋体" w:hAnsi="宋体"/>
              </w:rPr>
              <w:t>RET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0447E2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79" w:lineRule="exact"/>
              <w:ind w:left="75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因在神经嵴发展中起至关重要</w:t>
            </w:r>
          </w:p>
          <w:p w14:paraId="087F60F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3" w:line="189" w:lineRule="auto"/>
              <w:ind w:left="75" w:right="95"/>
              <w:textAlignment w:val="auto"/>
            </w:pPr>
            <w:r>
              <w:rPr>
                <w:rFonts w:hint="eastAsia" w:ascii="宋体" w:hAnsi="宋体"/>
                <w:sz w:val="22"/>
              </w:rPr>
              <w:t>的作用，活化的RET可使其底物 磷酸化，引起多个下游细胞通 路激活。RET基因点突变激活可 引起遗传性癌症综合征和多发 性内分泌瘤，体细胞点突变与 甲状腺髓样癌有关。已证实其 两个不同亚型的突变均与疾病 相关联：IIA型-多发性内分泌 瘤，IIB型-巨结肠疾病和甲状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0B07E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21773A7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"/>
              <w:textAlignment w:val="auto"/>
              <w:rPr>
                <w:rFonts w:eastAsia="Times New Roman"/>
                <w:sz w:val="20"/>
              </w:rPr>
            </w:pPr>
          </w:p>
          <w:p w14:paraId="7CD9D76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48" w:lineRule="exact"/>
              <w:ind w:left="272" w:right="181"/>
              <w:textAlignment w:val="auto"/>
            </w:pPr>
            <w:r>
              <w:rPr>
                <w:rFonts w:hint="eastAsia" w:ascii="宋体" w:hAnsi="宋体"/>
                <w:sz w:val="22"/>
              </w:rPr>
              <w:t>塞普替尼 普拉替尼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ED8916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92" w:lineRule="auto"/>
              <w:ind w:left="130" w:right="12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批准塞普替尼和普拉替尼用于RET融合阳 性非小细胞肺癌患者。NCCN/CSCO指南推 荐塞普替尼和普拉替尼用于RET融合阳性 非小细胞肺癌患者。临床试验研究表明， RET基因融合时，对阿来替尼敏感【PMID 27544060】。一名RET融合的肺腺癌患者 经过塞普替尼治疗后产生了继发性耐药 突变RET G810C【PMID: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35304457】。目</w:t>
            </w:r>
          </w:p>
          <w:p w14:paraId="6A6BFE5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4" w:line="230" w:lineRule="exact"/>
              <w:ind w:left="130" w:right="121"/>
              <w:textAlignment w:val="auto"/>
            </w:pPr>
            <w:r>
              <w:rPr>
                <w:rFonts w:hint="eastAsia" w:ascii="宋体" w:hAnsi="宋体"/>
                <w:sz w:val="22"/>
              </w:rPr>
              <w:t>阿来替尼、塞普替尼、FHND5071和 APS03118治疗RET融合的非小细胞肺癌和/</w:t>
            </w:r>
          </w:p>
        </w:tc>
      </w:tr>
      <w:tr w14:paraId="1F4813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BFE190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31692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腺髓样癌。与RET相关的疾病还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7BC25C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CDB37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或实体瘤患者的临床研究正在开展。</w:t>
            </w:r>
          </w:p>
        </w:tc>
      </w:tr>
      <w:tr w14:paraId="702445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CA83B5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B2154A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包括非小细胞肺癌等。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C574BB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996CE9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61A7C0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93473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D5145E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"/>
              <w:ind w:left="46"/>
              <w:textAlignment w:val="auto"/>
            </w:pPr>
            <w:r>
              <w:rPr>
                <w:rFonts w:hint="eastAsia" w:ascii="宋体" w:hAnsi="宋体"/>
                <w:sz w:val="22"/>
              </w:rPr>
              <w:t>ROS1是一种原癌基因，由该基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98F668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61D54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ROS1基因重排代表一类新的独特的NSCLC</w:t>
            </w:r>
          </w:p>
        </w:tc>
      </w:tr>
      <w:tr w14:paraId="0D5C8D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7A00964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B687CC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46"/>
              <w:textAlignment w:val="auto"/>
            </w:pPr>
            <w:r>
              <w:rPr>
                <w:rFonts w:hint="eastAsia" w:ascii="宋体" w:hAnsi="宋体"/>
                <w:sz w:val="22"/>
              </w:rPr>
              <w:t>因编码的蛋白质是I型整合膜蛋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0D3DE7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AECCD9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分子亚型，一般认为ROS1融合基因阳性</w:t>
            </w:r>
          </w:p>
        </w:tc>
      </w:tr>
      <w:tr w14:paraId="07556B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34B02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9F5A2A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3" w:lineRule="exact"/>
              <w:ind w:left="46"/>
              <w:textAlignment w:val="auto"/>
            </w:pPr>
            <w:r>
              <w:rPr>
                <w:rFonts w:hint="eastAsia" w:ascii="宋体" w:hAnsi="宋体"/>
                <w:sz w:val="22"/>
              </w:rPr>
              <w:t>白，具有酪氨酸激酶活性，可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7B46F1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C4DEB7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0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的肺癌患者，不伴有EGFR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突变和（或）</w:t>
            </w:r>
          </w:p>
        </w:tc>
      </w:tr>
      <w:tr w14:paraId="290F48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3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B1484C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2C0A04B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28E2E5D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"/>
              <w:textAlignment w:val="auto"/>
              <w:rPr>
                <w:rFonts w:eastAsia="Times New Roman"/>
                <w:sz w:val="21"/>
              </w:rPr>
            </w:pPr>
          </w:p>
          <w:p w14:paraId="5D8100B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358"/>
              <w:textAlignment w:val="auto"/>
            </w:pPr>
            <w:r>
              <w:rPr>
                <w:rFonts w:hint="eastAsia" w:ascii="宋体" w:hAnsi="宋体"/>
              </w:rPr>
              <w:t>ROS1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6370A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0" w:lineRule="exact"/>
              <w:ind w:left="46"/>
              <w:jc w:val="both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以充当生长或分化因子受体，</w:t>
            </w:r>
          </w:p>
          <w:p w14:paraId="411F12B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4" w:line="189" w:lineRule="auto"/>
              <w:ind w:left="46" w:right="234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在多种肿瘤细胞系中高表达。 ROS1基因的染色体重组最初在 胶质母细胞瘤中发现。最近， ROS1融合被认为是非小细胞肺 癌和胆管癌的驱动突变。ROS1 融合包含一个完整的酪氨酸激 酶。ROS1融合的下游信号可激 活细胞信号通路，刺激细胞生 长和细胞增殖。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BEFA9C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255FDAA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"/>
              <w:textAlignment w:val="auto"/>
              <w:rPr>
                <w:rFonts w:eastAsia="Times New Roman"/>
                <w:sz w:val="18"/>
              </w:rPr>
            </w:pPr>
          </w:p>
          <w:p w14:paraId="241D59E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08" w:lineRule="auto"/>
              <w:ind w:left="214" w:right="210" w:firstLine="28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克唑替尼 恩曲替尼 瑞普替尼 安奈克替 塞瑞替尼 洛拉替尼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F05533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92" w:lineRule="auto"/>
              <w:ind w:left="101" w:right="150"/>
              <w:textAlignment w:val="auto"/>
            </w:pPr>
            <w:r>
              <w:rPr>
                <w:rFonts w:hint="eastAsia" w:ascii="宋体" w:hAnsi="宋体"/>
                <w:sz w:val="22"/>
              </w:rPr>
              <w:t>ALK-EML4融合基因及KRAS突变，但随着 研究的深入以及实验技术的发展，目前 有少量研究发现，ROS1 融合基因可以与 其他驱动基因变异共存。FDA批准恩曲替 尼、瑞普替尼和克唑替尼用于ROS1阳性 的非小细胞肺癌患者。NMPA批准恩曲替 尼、瑞普替尼、克唑替尼和安奈克替尼 用于ROS1阳性的非小细胞肺癌患者。NCCN 指南推荐塞瑞替尼、克唑替尼、恩曲替 尼、洛拉替尼和瑞普替尼用于ROS1阳性</w:t>
            </w:r>
          </w:p>
        </w:tc>
      </w:tr>
      <w:tr w14:paraId="46FC47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C02176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429633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F839B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1CE7DB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的非小细胞肺癌患者的治疗。CSCO指南</w:t>
            </w:r>
          </w:p>
        </w:tc>
      </w:tr>
      <w:tr w14:paraId="4735E4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1CC749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D540A0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55E3DE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B1B1B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推荐恩曲替尼、克唑替尼和瑞普替尼用</w:t>
            </w:r>
          </w:p>
        </w:tc>
      </w:tr>
      <w:tr w14:paraId="09FD5B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476BC1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6DA5DD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D67DDF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30F70D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于ROS1阳性的非小细胞肺癌患者的治疗。</w:t>
            </w:r>
          </w:p>
        </w:tc>
      </w:tr>
      <w:tr w14:paraId="597F19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6D80B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0EDBF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07C3A8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22D2BA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肺癌中ROS1基因融合对Taletrectinib药</w:t>
            </w:r>
          </w:p>
        </w:tc>
      </w:tr>
      <w:tr w14:paraId="4EC103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A62184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DD6D98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D6FB10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FAD127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物敏感性增加【J Clinic Oncol,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2021,</w:t>
            </w:r>
          </w:p>
        </w:tc>
      </w:tr>
      <w:tr w14:paraId="3C798B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FCF6F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0F8C39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F4F8B3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B49401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39 (suppl 15): Abstract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9066】；使</w:t>
            </w:r>
          </w:p>
        </w:tc>
      </w:tr>
      <w:tr w14:paraId="06343E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AF872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D5DCB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519E25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197F82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克唑替尼治疗后的一段时间，会逐渐出</w:t>
            </w:r>
          </w:p>
        </w:tc>
      </w:tr>
      <w:tr w14:paraId="0ACC11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458B33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048B6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DB0C91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5781CE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现耐药迹象，主要耐药位点为G2032R；</w:t>
            </w:r>
          </w:p>
        </w:tc>
      </w:tr>
      <w:tr w14:paraId="1E608D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966B55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DAF73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B52E3C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05F1A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除此之外，S1986F可能也是较为少见的</w:t>
            </w:r>
          </w:p>
        </w:tc>
      </w:tr>
      <w:tr w14:paraId="60F191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74E9B1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D2621C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037E03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BDEC8B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耐药位点【PMID: 32702569;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PMID:</w:t>
            </w:r>
          </w:p>
        </w:tc>
      </w:tr>
      <w:tr w14:paraId="1643DD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557CD7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15C8F44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CE2E0F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0829DB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29333528】。目前克唑替尼、恩沙替尼、</w:t>
            </w:r>
          </w:p>
        </w:tc>
      </w:tr>
      <w:tr w14:paraId="0194A1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9EEF6D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CD91AE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0711B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371943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恩曲替尼和瑞普替尼治疗ROS1融合的肺</w:t>
            </w:r>
          </w:p>
        </w:tc>
      </w:tr>
      <w:tr w14:paraId="59E258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3D4400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EEB417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0EF262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FF6B45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癌和/或实体瘤患者的临床试验正在开展。</w:t>
            </w:r>
          </w:p>
        </w:tc>
      </w:tr>
    </w:tbl>
    <w:p w14:paraId="0EAECE64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sectPr>
          <w:pgSz w:w="11910" w:h="16840"/>
          <w:pgMar w:top="15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5EE924E9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10"/>
        <w:ind w:left="0"/>
        <w:textAlignment w:val="auto"/>
        <w:rPr>
          <w:rFonts w:hint="default" w:ascii="Times New Roman" w:hAnsi="Times New Roman" w:eastAsia="Times New Roman"/>
          <w:sz w:val="17"/>
        </w:rPr>
      </w:pPr>
    </w:p>
    <w:tbl>
      <w:tblPr>
        <w:tblStyle w:val="8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3175"/>
        <w:gridCol w:w="1361"/>
        <w:gridCol w:w="4251"/>
      </w:tblGrid>
      <w:tr w14:paraId="46D9EF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8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27B0BA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2E8D5C1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130B371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"/>
              <w:textAlignment w:val="auto"/>
              <w:rPr>
                <w:rFonts w:eastAsia="Times New Roman"/>
                <w:sz w:val="32"/>
              </w:rPr>
            </w:pPr>
          </w:p>
          <w:p w14:paraId="31EF22B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442"/>
              <w:textAlignment w:val="auto"/>
            </w:pPr>
            <w:r>
              <w:rPr>
                <w:rFonts w:hint="eastAsia" w:ascii="宋体" w:hAnsi="宋体"/>
              </w:rPr>
              <w:t>TP53</w:t>
            </w: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0F3001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9" w:lineRule="auto"/>
              <w:ind w:left="75" w:right="-14"/>
              <w:textAlignment w:val="auto"/>
            </w:pPr>
            <w:r>
              <w:rPr>
                <w:rFonts w:hint="eastAsia" w:ascii="宋体" w:hAnsi="宋体"/>
                <w:sz w:val="22"/>
              </w:rPr>
              <w:t>TP53是抑癌基因，编码一个包 括转录激活、DNA结合及寡聚 化结构域肿瘤抑制子蛋白。该 编码蛋白能响应不同细胞应激 从而调控目标基因表达，从而 诱导细胞周期停滞、细胞凋亡、 衰老、DNA修复和代谢变化。 该基因突变与多种人类癌症有 关。TP53的胚系突变会导致家 族性肉瘤综合征，从而导致成 年人在早期发生乳腺癌，脑癌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06D53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5756F6E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3C503F8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"/>
              <w:textAlignment w:val="auto"/>
              <w:rPr>
                <w:rFonts w:eastAsia="Times New Roman"/>
              </w:rPr>
            </w:pPr>
          </w:p>
          <w:p w14:paraId="213E459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7" w:lineRule="auto"/>
              <w:ind w:left="392" w:right="282" w:hanging="111"/>
              <w:textAlignment w:val="auto"/>
            </w:pPr>
            <w:r>
              <w:rPr>
                <w:rFonts w:hint="eastAsia" w:ascii="宋体" w:hAnsi="宋体"/>
                <w:sz w:val="22"/>
              </w:rPr>
              <w:t>ARP-246 CTX-1</w:t>
            </w: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E2ED6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5" w:line="192" w:lineRule="auto"/>
              <w:ind w:left="73" w:right="179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目前，FDA尚未批准任何靶向TP53突变的 药物。一项临床前研究表明，ARP-246诱 导具有TP53失活突变的小细胞肺癌细胞系 的凋亡并抑制小鼠异种模型中肿瘤生长【 PMID: 21415220】。在临床前研究中， CTX-1诱导携带TP53突变人肿瘤细胞系中 TP53蛋白水平升高和细胞死亡【PMID: 26883273】。目前PC14586治疗TP53</w:t>
            </w:r>
          </w:p>
          <w:p w14:paraId="230425A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1" w:line="230" w:lineRule="exact"/>
              <w:ind w:left="73" w:right="289"/>
              <w:textAlignment w:val="auto"/>
            </w:pPr>
            <w:r>
              <w:rPr>
                <w:rFonts w:hint="eastAsia" w:ascii="宋体" w:hAnsi="宋体"/>
                <w:sz w:val="22"/>
              </w:rPr>
              <w:t>Y220C突变的实体瘤患者的临床试验正在 开展。</w:t>
            </w:r>
          </w:p>
        </w:tc>
      </w:tr>
      <w:tr w14:paraId="2E5369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9F914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CB46D5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及白血病等。虽然在正常细胞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2B1FE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5806A8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77FB27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2AD14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54883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中p53表达较低，但是包括丧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CF64E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96506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3029B6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E00E5A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530C47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失其抑癌功能的TP53突变可能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53C3C8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D6F424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1CCE49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64DF1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61C978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导致在细胞核中p53表达增加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519B94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EB685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1097DE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89E0BF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05899B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及维持稳定状态，因此一些研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7E8EEA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526B0B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4EF32D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947A5A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E6837B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表明它可能还具有致癌作用。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DF43D0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EF72B4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04715D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B98018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2CB690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与TP53相关的疾病包括软组织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76113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82EBCE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51DD70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E4B763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FDAF36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和骨肉瘤、乳腺癌、脑癌、肾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E7030A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70F8F3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63FFCB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447C0E4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205EDC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上腺皮质癌等。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822285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9BCCB7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</w:tbl>
    <w:p w14:paraId="3953EE1B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/>
        <w:ind w:left="0"/>
        <w:textAlignment w:val="auto"/>
        <w:rPr>
          <w:rFonts w:hint="default" w:ascii="Times New Roman" w:hAnsi="Times New Roman" w:eastAsia="Times New Roman"/>
          <w:sz w:val="20"/>
        </w:rPr>
      </w:pPr>
    </w:p>
    <w:p w14:paraId="7958C86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/>
        <w:ind w:left="0"/>
        <w:textAlignment w:val="auto"/>
        <w:rPr>
          <w:rFonts w:hint="default" w:ascii="Times New Roman" w:hAnsi="Times New Roman" w:eastAsia="Times New Roman"/>
          <w:sz w:val="20"/>
        </w:rPr>
      </w:pPr>
    </w:p>
    <w:p w14:paraId="43ABDF1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/>
        <w:ind w:left="0"/>
        <w:textAlignment w:val="auto"/>
        <w:rPr>
          <w:rFonts w:hint="default" w:ascii="Times New Roman" w:hAnsi="Times New Roman" w:eastAsia="Times New Roman"/>
          <w:sz w:val="20"/>
        </w:rPr>
      </w:pPr>
    </w:p>
    <w:p w14:paraId="603B713E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11"/>
        <w:ind w:left="0"/>
        <w:textAlignment w:val="auto"/>
        <w:rPr>
          <w:rFonts w:hint="default" w:ascii="Times New Roman" w:hAnsi="Times New Roman" w:eastAsia="Times New Roman"/>
          <w:sz w:val="17"/>
        </w:rPr>
      </w:pPr>
    </w:p>
    <w:p w14:paraId="4014B2E2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216" w:right="123"/>
        <w:textAlignment w:val="auto"/>
        <w:rPr>
          <w:sz w:val="28"/>
        </w:rPr>
      </w:pPr>
    </w:p>
    <w:p w14:paraId="3B055FD7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216" w:right="123"/>
        <w:textAlignment w:val="auto"/>
        <w:rPr>
          <w:sz w:val="28"/>
        </w:rPr>
      </w:pPr>
    </w:p>
    <w:p w14:paraId="5EF2C828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216" w:right="123"/>
        <w:textAlignment w:val="auto"/>
        <w:rPr>
          <w:sz w:val="28"/>
        </w:rPr>
      </w:pPr>
    </w:p>
    <w:p w14:paraId="7A4C1B97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216" w:right="123"/>
        <w:textAlignment w:val="auto"/>
        <w:rPr>
          <w:sz w:val="28"/>
        </w:rPr>
      </w:pPr>
    </w:p>
    <w:p w14:paraId="2CAE130A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216" w:right="123"/>
        <w:textAlignment w:val="auto"/>
        <w:rPr>
          <w:sz w:val="28"/>
        </w:rPr>
      </w:pPr>
    </w:p>
    <w:p w14:paraId="64AC904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216" w:right="123"/>
        <w:textAlignment w:val="auto"/>
        <w:rPr>
          <w:sz w:val="28"/>
        </w:rPr>
      </w:pPr>
      <w:r>
        <w:rPr>
          <w:sz w:val="28"/>
        </w:rPr>
        <w:t>根据2024年NCCN非小细胞肺癌(NSCLC)治疗指南。</w:t>
      </w:r>
    </w:p>
    <w:p w14:paraId="0E8966B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48"/>
        <w:ind w:left="1634" w:right="123"/>
        <w:textAlignment w:val="auto"/>
        <w:rPr>
          <w:color w:val="000000"/>
          <w:sz w:val="20"/>
        </w:rPr>
      </w:pPr>
      <w:r>
        <w:rPr>
          <w:color w:val="0000FF"/>
          <w:sz w:val="20"/>
        </w:rPr>
        <w:t>（注：此表格中用药提示仅供参考，请以临床医生医嘱为准）</w:t>
      </w:r>
    </w:p>
    <w:p w14:paraId="78DD6FE0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48"/>
        <w:ind w:left="1634" w:right="123"/>
        <w:textAlignment w:val="auto"/>
        <w:rPr>
          <w:color w:val="000000"/>
          <w:sz w:val="20"/>
        </w:rPr>
        <w:sectPr>
          <w:pgSz w:w="11910" w:h="16840"/>
          <w:pgMar w:top="15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208E2A96">
      <w:pPr>
        <w:pStyle w:val="2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line="346" w:lineRule="exact"/>
        <w:ind w:left="612" w:right="123"/>
        <w:textAlignment w:val="auto"/>
      </w:pPr>
      <w:r>
        <w:t>附录</w:t>
      </w:r>
      <w:r>
        <w:rPr>
          <w:rFonts w:hint="eastAsia"/>
          <w:lang w:val="en-US" w:eastAsia="zh-CN"/>
        </w:rPr>
        <w:t>三</w:t>
      </w:r>
      <w:r>
        <w:t>：检测基因亚型详细列表</w:t>
      </w:r>
    </w:p>
    <w:p w14:paraId="5CAB1771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6"/>
        <w:ind w:left="0"/>
        <w:textAlignment w:val="auto"/>
        <w:rPr>
          <w:sz w:val="15"/>
        </w:rPr>
      </w:pPr>
    </w:p>
    <w:tbl>
      <w:tblPr>
        <w:tblStyle w:val="8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8"/>
        <w:gridCol w:w="8417"/>
      </w:tblGrid>
      <w:tr w14:paraId="5F2F44B4">
        <w:trPr>
          <w:trHeight w:val="462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9847F9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0"/>
              <w:ind w:right="21"/>
              <w:jc w:val="center"/>
              <w:textAlignment w:val="auto"/>
            </w:pPr>
            <w:r>
              <w:rPr>
                <w:rFonts w:hint="eastAsia" w:ascii="宋体" w:hAnsi="宋体"/>
              </w:rPr>
              <w:t>检测基因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1A2175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0"/>
              <w:ind w:right="45"/>
              <w:jc w:val="center"/>
              <w:textAlignment w:val="auto"/>
            </w:pPr>
            <w:r>
              <w:rPr>
                <w:rFonts w:hint="eastAsia" w:ascii="宋体" w:hAnsi="宋体"/>
              </w:rPr>
              <w:t>常见检测位点</w:t>
            </w:r>
          </w:p>
        </w:tc>
      </w:tr>
      <w:tr w14:paraId="005D71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0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5B87B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2"/>
              <w:textAlignment w:val="auto"/>
              <w:rPr>
                <w:rFonts w:hint="eastAsia" w:ascii="宋体" w:hAnsi="宋体"/>
              </w:rPr>
            </w:pPr>
          </w:p>
          <w:p w14:paraId="15CBA8D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50"/>
              <w:jc w:val="center"/>
              <w:textAlignment w:val="auto"/>
            </w:pPr>
            <w:r>
              <w:rPr>
                <w:rFonts w:hint="eastAsia" w:ascii="宋体" w:hAnsi="宋体"/>
              </w:rPr>
              <w:t>EGFR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DFFE60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08" w:lineRule="exact"/>
              <w:ind w:left="30"/>
              <w:textAlignment w:val="auto"/>
            </w:pPr>
            <w:r>
              <w:rPr>
                <w:rFonts w:hint="eastAsia" w:ascii="宋体" w:hAnsi="宋体"/>
                <w:sz w:val="20"/>
              </w:rPr>
              <w:t>p.R108K. p.A289T. p.A289V. p.S492R, p.G598V. p.G719S, p.G719C, p.G719A,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p.L718Q.p.G719D. p.G724S.p.L747P. p.K754E.p.T751I.c.exon 19 deletions, c.exon 19 insertions,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c.exon 20 insertions, p.A763_Y764 insFQEA, p.S768I, p.T790M, p.C797S, p.L858R, p.L86 1R. p.L861Q, p.K757R, p. K846R, p. R776H, p. V689L, p. E709K, p.E709A. p.E709V.</w:t>
            </w:r>
            <w:r>
              <w:rPr>
                <w:rFonts w:hint="eastAsia" w:ascii="宋体" w:hAnsi="宋体"/>
                <w:spacing w:val="56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p.G598V. p.G724S. p.R776C. EGFR</w:t>
            </w:r>
            <w:r>
              <w:rPr>
                <w:rFonts w:hint="eastAsia" w:ascii="宋体" w:hAnsi="宋体"/>
                <w:spacing w:val="1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扩增</w:t>
            </w:r>
          </w:p>
        </w:tc>
      </w:tr>
      <w:tr w14:paraId="1EE37C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320FC8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/>
              <w:textAlignment w:val="auto"/>
              <w:rPr>
                <w:rFonts w:hint="eastAsia" w:ascii="宋体" w:hAnsi="宋体"/>
                <w:sz w:val="21"/>
              </w:rPr>
            </w:pPr>
          </w:p>
          <w:p w14:paraId="19730FC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50"/>
              <w:jc w:val="center"/>
              <w:textAlignment w:val="auto"/>
            </w:pPr>
            <w:r>
              <w:rPr>
                <w:rFonts w:hint="eastAsia" w:ascii="宋体" w:hAnsi="宋体"/>
              </w:rPr>
              <w:t>KRAS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E6FB46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8" w:line="230" w:lineRule="exact"/>
              <w:ind w:left="30"/>
              <w:textAlignment w:val="auto"/>
            </w:pPr>
            <w:r>
              <w:rPr>
                <w:rFonts w:hint="eastAsia" w:ascii="宋体" w:hAnsi="宋体"/>
                <w:sz w:val="20"/>
              </w:rPr>
              <w:t>p.G12A, p.G12D, p.G12V, p.G12C, p.G12R, p.G12S, p.G12I. p.G12F. p.G13D, p.G13C, p.G 13R, p.G13S p.G13V. p.G13E. p.Q61H, p.Q61P, p.Q61R, p.Q61L, p.Q61K, p.Q61E.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p.K117N, p.A146V, p.A146T, p.A146P. p.Q22K. p.L19F. p.T58I. p.V14I. p.E63K. p.A59T.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p.A59G.</w:t>
            </w:r>
            <w:r>
              <w:rPr>
                <w:rFonts w:hint="eastAsia" w:ascii="宋体" w:hAnsi="宋体"/>
                <w:spacing w:val="4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p.A18D</w:t>
            </w:r>
          </w:p>
        </w:tc>
      </w:tr>
      <w:tr w14:paraId="3937E8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99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98091F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/>
              <w:textAlignment w:val="auto"/>
              <w:rPr>
                <w:rFonts w:hint="eastAsia" w:ascii="宋体" w:hAnsi="宋体"/>
                <w:sz w:val="32"/>
              </w:rPr>
            </w:pPr>
          </w:p>
          <w:p w14:paraId="7F62422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50"/>
              <w:jc w:val="center"/>
              <w:textAlignment w:val="auto"/>
            </w:pPr>
            <w:r>
              <w:rPr>
                <w:rFonts w:hint="eastAsia" w:ascii="宋体" w:hAnsi="宋体"/>
              </w:rPr>
              <w:t>BRAF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EDC7E0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8" w:line="230" w:lineRule="exact"/>
              <w:ind w:left="30"/>
              <w:jc w:val="both"/>
              <w:textAlignment w:val="auto"/>
            </w:pPr>
            <w:r>
              <w:rPr>
                <w:rFonts w:hint="eastAsia" w:ascii="宋体" w:hAnsi="宋体"/>
                <w:sz w:val="20"/>
              </w:rPr>
              <w:t>p.Y472C, p.G469A, p.G469L, p.G466V, p.G469E, p.G469V, p.G469S. p.G469R. p.V600E, p. V600M, p.V600K, p.V600R, p.V600G, p.V600D, p.K601E, p.K601N. p.L597Q, p.L597R, p.L5 97S, p.L597V, p.D594E, p.D594G, p.D594V, p.D594N, p.D594H, p.G596R.p.T599I.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p.N581S. p.N581I. p.G596R. p.G466R. p.G466E. p.G466A. p.G464V. p.G464E. p.F595L.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p.A598V</w:t>
            </w:r>
          </w:p>
        </w:tc>
      </w:tr>
      <w:tr w14:paraId="1F8A2B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5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E249CA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7"/>
              <w:ind w:right="38"/>
              <w:jc w:val="center"/>
              <w:textAlignment w:val="auto"/>
            </w:pPr>
            <w:r>
              <w:rPr>
                <w:rFonts w:hint="eastAsia" w:ascii="宋体" w:hAnsi="宋体"/>
              </w:rPr>
              <w:t>ERBB2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DB6399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7" w:lineRule="exact"/>
              <w:ind w:left="30"/>
              <w:textAlignment w:val="auto"/>
            </w:pPr>
            <w:r>
              <w:rPr>
                <w:rFonts w:hint="eastAsia" w:ascii="宋体" w:hAnsi="宋体"/>
                <w:sz w:val="20"/>
              </w:rPr>
              <w:t>p.G309A, p.L755S, p.L755_T759 del, p.D769H, p.D769Y, p.V777L, p.G778_P780 dup,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p.V842I, p.R896C, c.exon 20 insertions, p.L755P. p.S310F. p.G776V. p.S310Y. ERBB2</w:t>
            </w:r>
            <w:r>
              <w:rPr>
                <w:rFonts w:hint="eastAsia" w:ascii="宋体" w:hAnsi="宋体"/>
                <w:spacing w:val="55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扩增</w:t>
            </w:r>
          </w:p>
        </w:tc>
      </w:tr>
      <w:tr w14:paraId="38F553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6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7C0871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38"/>
              <w:ind w:right="59"/>
              <w:jc w:val="center"/>
              <w:textAlignment w:val="auto"/>
            </w:pPr>
            <w:r>
              <w:rPr>
                <w:rFonts w:hint="eastAsia" w:ascii="宋体" w:hAnsi="宋体"/>
              </w:rPr>
              <w:t>ALK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625C24D">
            <w:pPr>
              <w:pStyle w:val="12"/>
              <w:keepNext w:val="0"/>
              <w:keepLines w:val="0"/>
              <w:pageBreakBefore w:val="0"/>
              <w:tabs>
                <w:tab w:val="left" w:pos="6193"/>
              </w:tabs>
              <w:kinsoku w:val="0"/>
              <w:wordWrap w:val="0"/>
              <w:overflowPunct w:val="0"/>
              <w:topLinePunct w:val="0"/>
              <w:bidi w:val="0"/>
              <w:adjustRightInd w:val="0"/>
              <w:spacing w:before="2" w:line="230" w:lineRule="exact"/>
              <w:ind w:left="44" w:right="83"/>
              <w:textAlignment w:val="auto"/>
            </w:pPr>
            <w:r>
              <w:rPr>
                <w:rFonts w:hint="eastAsia" w:ascii="宋体" w:hAnsi="宋体"/>
                <w:sz w:val="20"/>
              </w:rPr>
              <w:t>EML4-ALK, KLC1-ALK, HIP1-ALK, TPR-ALK,</w:t>
            </w:r>
            <w:r>
              <w:rPr>
                <w:rFonts w:hint="eastAsia" w:ascii="宋体" w:hAnsi="宋体"/>
                <w:spacing w:val="34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KIF5B-ALK,</w:t>
            </w:r>
            <w:r>
              <w:rPr>
                <w:rFonts w:hint="eastAsia" w:ascii="宋体" w:hAnsi="宋体"/>
                <w:spacing w:val="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CLTC-ALK.</w:t>
            </w:r>
            <w:r>
              <w:rPr>
                <w:rFonts w:hint="eastAsia" w:ascii="宋体" w:hAnsi="宋体"/>
                <w:sz w:val="20"/>
              </w:rPr>
              <w:tab/>
            </w:r>
            <w:r>
              <w:rPr>
                <w:rFonts w:hint="eastAsia" w:ascii="宋体" w:hAnsi="宋体"/>
                <w:sz w:val="20"/>
              </w:rPr>
              <w:t>DCTN1-ALK.</w:t>
            </w:r>
            <w:r>
              <w:rPr>
                <w:rFonts w:hint="eastAsia" w:ascii="宋体" w:hAnsi="宋体"/>
                <w:spacing w:val="13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STRN-ALK.</w:t>
            </w:r>
            <w:r>
              <w:rPr>
                <w:rFonts w:hint="eastAsia" w:ascii="宋体" w:hAnsi="宋体"/>
                <w:w w:val="9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TFG-ALK. p.1151Tins, p.L1152R, p.C1156Y, p.F1174L, p.L1196M, p.G1202R, p.S1206Y,</w:t>
            </w:r>
            <w:r>
              <w:rPr>
                <w:rFonts w:hint="eastAsia" w:ascii="宋体" w:hAnsi="宋体"/>
                <w:spacing w:val="60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p.G1269A, p.F1245C,</w:t>
            </w:r>
            <w:r>
              <w:rPr>
                <w:rFonts w:hint="eastAsia" w:ascii="宋体" w:hAnsi="宋体"/>
                <w:spacing w:val="21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p.I1171N/S</w:t>
            </w:r>
          </w:p>
        </w:tc>
      </w:tr>
      <w:tr w14:paraId="318917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2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E5CB2F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7"/>
              <w:ind w:right="50"/>
              <w:jc w:val="center"/>
              <w:textAlignment w:val="auto"/>
            </w:pPr>
            <w:r>
              <w:rPr>
                <w:rFonts w:hint="eastAsia" w:ascii="宋体" w:hAnsi="宋体"/>
              </w:rPr>
              <w:t>ROS1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FE05C5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3" w:line="230" w:lineRule="exact"/>
              <w:ind w:left="145" w:right="83" w:hanging="102"/>
              <w:textAlignment w:val="auto"/>
            </w:pPr>
            <w:r>
              <w:rPr>
                <w:rFonts w:hint="eastAsia" w:ascii="宋体" w:hAnsi="宋体"/>
                <w:sz w:val="20"/>
              </w:rPr>
              <w:t>CD74-ROS1, SDC4-ROS1, SLC34A2- ROS1, GOPC-ROS1, TPM3-ROS1, LRIG3-ROS1, CCDC6-ROS1. EZR-ROS1.</w:t>
            </w:r>
            <w:r>
              <w:rPr>
                <w:rFonts w:hint="eastAsia" w:ascii="宋体" w:hAnsi="宋体"/>
                <w:spacing w:val="15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ZCCHC8-ROS1</w:t>
            </w:r>
          </w:p>
        </w:tc>
      </w:tr>
      <w:tr w14:paraId="243C00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0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A451C2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8"/>
              <w:ind w:right="59"/>
              <w:jc w:val="center"/>
              <w:textAlignment w:val="auto"/>
            </w:pPr>
            <w:r>
              <w:rPr>
                <w:rFonts w:hint="eastAsia" w:ascii="宋体" w:hAnsi="宋体"/>
              </w:rPr>
              <w:t>RET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22AB25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9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HOOK1-RET, CCDC6-RET, KIF5B-RET, CUX1-RET, NCOA4-RET.</w:t>
            </w:r>
            <w:r>
              <w:rPr>
                <w:rFonts w:hint="eastAsia" w:ascii="宋体" w:hAnsi="宋体"/>
                <w:spacing w:val="43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E768D</w:t>
            </w:r>
          </w:p>
        </w:tc>
      </w:tr>
      <w:tr w14:paraId="299A4C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6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56DED7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"/>
              <w:textAlignment w:val="auto"/>
              <w:rPr>
                <w:rFonts w:hint="eastAsia" w:ascii="宋体" w:hAnsi="宋体"/>
                <w:sz w:val="26"/>
              </w:rPr>
            </w:pPr>
          </w:p>
          <w:p w14:paraId="778F5EF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31"/>
              <w:jc w:val="center"/>
              <w:textAlignment w:val="auto"/>
            </w:pPr>
            <w:r>
              <w:rPr>
                <w:rFonts w:hint="eastAsia" w:ascii="宋体" w:hAnsi="宋体"/>
              </w:rPr>
              <w:t>PIK3CA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775899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77" w:lineRule="exact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p.N345K. p.C420R, p.P539R. p.E542K, p.E545K, p.E545Q, p.E545A, p.Q546K, p.D549N,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p.Q546P, p.Q546R, p.Q546L, p.Q546H. p.Q546E. p.H1047L, p.H1047R. p.Y1021H.</w:t>
            </w:r>
            <w:r>
              <w:rPr>
                <w:rFonts w:hint="eastAsia" w:ascii="宋体" w:hAnsi="宋体"/>
                <w:spacing w:val="60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p.Y1021C. p.V344M. p.V344G. p.T1025S. p.T1025A. p.M1043V, p.M1043I, p.N1044K, p.K111N, p.K 111E, p.H1047Y, p.G914R, p.G1049R, p.E81K, p.E726K, p.E707K, p.E545G, p.E545D,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p.E542V, p.E542Q, p.E542A, p.E453Q,</w:t>
            </w:r>
            <w:r>
              <w:rPr>
                <w:rFonts w:hint="eastAsia" w:ascii="宋体" w:hAnsi="宋体"/>
                <w:spacing w:val="27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p.E453K</w:t>
            </w:r>
          </w:p>
        </w:tc>
      </w:tr>
      <w:tr w14:paraId="4A8D5D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4AA325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"/>
              <w:textAlignment w:val="auto"/>
              <w:rPr>
                <w:rFonts w:hint="eastAsia" w:ascii="宋体" w:hAnsi="宋体"/>
              </w:rPr>
            </w:pPr>
          </w:p>
          <w:p w14:paraId="11D7475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59"/>
              <w:jc w:val="center"/>
              <w:textAlignment w:val="auto"/>
            </w:pPr>
            <w:r>
              <w:rPr>
                <w:rFonts w:hint="eastAsia" w:ascii="宋体" w:hAnsi="宋体"/>
              </w:rPr>
              <w:t>MET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458965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0" w:line="230" w:lineRule="exact"/>
              <w:ind w:left="145" w:right="83" w:hanging="102"/>
              <w:textAlignment w:val="auto"/>
            </w:pPr>
            <w:r>
              <w:rPr>
                <w:rFonts w:hint="eastAsia" w:ascii="宋体" w:hAnsi="宋体"/>
                <w:sz w:val="20"/>
              </w:rPr>
              <w:t>MET 扩增, c.2888- 19_2888-2del CTTTCTCTC TGTTTTAA, c.3001_3021del GTAGACTAC CGAGC- TACTTTT, c.3017_3028del CTTTTCCA GAAGGTA, c.3024_3028del AGAAGG TATATT,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c.3028+1G&gt;A, c.3028+1G&gt;T, p.D1010H, p.D1010Y, c.2888-15_2891del. c.2888-1G&gt;C. c.3026_3028+2 del. c.3028+2T&gt;A. c.3028+3A&gt;T. p.D1010N. p.T992I. p.H1094Y.</w:t>
            </w:r>
            <w:r>
              <w:rPr>
                <w:rFonts w:hint="eastAsia" w:ascii="宋体" w:hAnsi="宋体"/>
                <w:spacing w:val="4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p.E168D</w:t>
            </w:r>
          </w:p>
        </w:tc>
      </w:tr>
      <w:tr w14:paraId="1C2DD2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1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DD13BA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"/>
              <w:textAlignment w:val="auto"/>
              <w:rPr>
                <w:rFonts w:hint="eastAsia" w:ascii="宋体" w:hAnsi="宋体"/>
              </w:rPr>
            </w:pPr>
          </w:p>
          <w:p w14:paraId="5372497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50"/>
              <w:jc w:val="center"/>
              <w:textAlignment w:val="auto"/>
            </w:pPr>
            <w:r>
              <w:rPr>
                <w:rFonts w:hint="eastAsia" w:ascii="宋体" w:hAnsi="宋体"/>
              </w:rPr>
              <w:t>TP53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DA0235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2" w:line="246" w:lineRule="exact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p.L22P,p.L25fs,p.K24I,.K164*,P177R,p.R181H, p.R158Lp.H179R,</w:t>
            </w:r>
            <w:r>
              <w:rPr>
                <w:rFonts w:hint="eastAsia" w:ascii="宋体" w:hAnsi="宋体"/>
                <w:spacing w:val="63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p.R196*,p.L194F,p.E204*,p.R213Q, p.V216M,p.Y220C, p.P250L,</w:t>
            </w:r>
            <w:r>
              <w:rPr>
                <w:rFonts w:hint="eastAsia" w:ascii="宋体" w:hAnsi="宋体"/>
                <w:spacing w:val="2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p.R249S,</w:t>
            </w:r>
            <w:r>
              <w:rPr>
                <w:rFonts w:hint="eastAsia" w:ascii="宋体" w:hAnsi="宋体"/>
                <w:spacing w:val="11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p.R248W,</w:t>
            </w:r>
            <w:r>
              <w:rPr>
                <w:rFonts w:hint="eastAsia" w:ascii="宋体" w:hAnsi="宋体"/>
                <w:sz w:val="20"/>
              </w:rPr>
              <w:tab/>
            </w:r>
            <w:r>
              <w:rPr>
                <w:rFonts w:hint="eastAsia" w:ascii="宋体" w:hAnsi="宋体"/>
                <w:sz w:val="20"/>
              </w:rPr>
              <w:t>p.G245C,</w:t>
            </w:r>
            <w:r>
              <w:rPr>
                <w:rFonts w:hint="eastAsia" w:ascii="宋体" w:hAnsi="宋体"/>
                <w:spacing w:val="1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p.G244D,p.C242F,p.C238Y,</w:t>
            </w:r>
            <w:r>
              <w:rPr>
                <w:rFonts w:hint="eastAsia" w:ascii="宋体" w:hAnsi="宋体"/>
                <w:sz w:val="20"/>
              </w:rPr>
              <w:tab/>
            </w:r>
            <w:r>
              <w:rPr>
                <w:rFonts w:hint="eastAsia" w:ascii="宋体" w:hAnsi="宋体"/>
                <w:sz w:val="20"/>
              </w:rPr>
              <w:t>p.Y234C,</w:t>
            </w:r>
            <w:r>
              <w:rPr>
                <w:rFonts w:hint="eastAsia" w:ascii="宋体" w:hAnsi="宋体"/>
                <w:spacing w:val="2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p.R306,p.E298,p.E294,p.E286K,p.R283P,p.R280T,p.A276V,p.E271K,</w:t>
            </w:r>
            <w:r>
              <w:rPr>
                <w:rFonts w:hint="eastAsia" w:ascii="宋体" w:hAnsi="宋体"/>
                <w:spacing w:val="2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</w:t>
            </w:r>
            <w:r>
              <w:rPr>
                <w:rFonts w:hint="eastAsia" w:ascii="宋体" w:hAnsi="宋体"/>
                <w:w w:val="9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L265P, p.E349*,p.E343*,p.R342*,p.R337C, p.R333fs,G334V, p.E336, p.R342,</w:t>
            </w:r>
            <w:r>
              <w:rPr>
                <w:rFonts w:hint="eastAsia" w:ascii="宋体" w:hAnsi="宋体"/>
                <w:spacing w:val="57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p.E346</w:t>
            </w:r>
          </w:p>
        </w:tc>
      </w:tr>
      <w:tr w14:paraId="5FF7ED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AE3E73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29"/>
              <w:ind w:right="38"/>
              <w:jc w:val="center"/>
              <w:textAlignment w:val="auto"/>
            </w:pPr>
            <w:r>
              <w:rPr>
                <w:rFonts w:hint="eastAsia" w:ascii="宋体" w:hAnsi="宋体"/>
              </w:rPr>
              <w:t>NTRK1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A4325E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5" w:line="230" w:lineRule="exact"/>
              <w:ind w:left="44" w:right="83"/>
              <w:textAlignment w:val="auto"/>
            </w:pPr>
            <w:r>
              <w:rPr>
                <w:rFonts w:hint="eastAsia" w:ascii="宋体" w:hAnsi="宋体"/>
                <w:sz w:val="20"/>
              </w:rPr>
              <w:t>BCAN-NTRK1. CD74-NTRK1. CEL-NTRK1. IRF2BP2-NTRK1. LMNA-NTRK1. MPRIP-NTRK1. NFASC-N TRK1. RNF213-NTRK1. SQSTM1-NTRK1. SSBP2-NTRK1. TFG-NTRK1. TPM3-NTRK1.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TPR-NTRK1</w:t>
            </w:r>
          </w:p>
        </w:tc>
      </w:tr>
      <w:tr w14:paraId="24EE76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DEC6BC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99" w:lineRule="exact"/>
              <w:ind w:right="38"/>
              <w:jc w:val="center"/>
              <w:textAlignment w:val="auto"/>
            </w:pPr>
            <w:r>
              <w:rPr>
                <w:rFonts w:hint="eastAsia" w:ascii="宋体" w:hAnsi="宋体"/>
              </w:rPr>
              <w:t>NTRK2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255CBA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3" w:line="230" w:lineRule="exact"/>
              <w:ind w:left="44" w:right="83"/>
              <w:textAlignment w:val="auto"/>
            </w:pPr>
            <w:r>
              <w:rPr>
                <w:rFonts w:hint="eastAsia" w:ascii="宋体" w:hAnsi="宋体"/>
                <w:sz w:val="20"/>
              </w:rPr>
              <w:t>AFAP1-NTRK2. AGBL4-NTRK2. NACC2-NTRK2. QKI-NTRK2. SQSTM1-NTRK2. TRIM24-NTRK2. VCL- NTRK2</w:t>
            </w:r>
          </w:p>
        </w:tc>
      </w:tr>
      <w:tr w14:paraId="58FB9B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B654D5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9"/>
              <w:ind w:right="38"/>
              <w:jc w:val="center"/>
              <w:textAlignment w:val="auto"/>
            </w:pPr>
            <w:r>
              <w:rPr>
                <w:rFonts w:hint="eastAsia" w:ascii="宋体" w:hAnsi="宋体"/>
              </w:rPr>
              <w:t>NTRK3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B7AC40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BTBD1-NTRK3. COX5A-NTRK3.</w:t>
            </w:r>
            <w:r>
              <w:rPr>
                <w:rFonts w:hint="eastAsia" w:ascii="宋体" w:hAnsi="宋体"/>
                <w:spacing w:val="26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ETV6-NTRK3</w:t>
            </w:r>
          </w:p>
        </w:tc>
      </w:tr>
      <w:tr w14:paraId="58919E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8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F22FB2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2"/>
              <w:ind w:right="161"/>
              <w:jc w:val="center"/>
              <w:textAlignment w:val="auto"/>
            </w:pPr>
            <w:r>
              <w:rPr>
                <w:rFonts w:hint="eastAsia" w:ascii="宋体" w:hAnsi="宋体"/>
              </w:rPr>
              <w:t>HRAS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80B449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3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p.Q61R. p.Q61H. p.Q61L. p.G12D. p.G12S. p.G13R. p.G13D. p.G13S.</w:t>
            </w:r>
            <w:r>
              <w:rPr>
                <w:rFonts w:hint="eastAsia" w:ascii="宋体" w:hAnsi="宋体"/>
                <w:spacing w:val="4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p.G13V</w:t>
            </w:r>
          </w:p>
        </w:tc>
      </w:tr>
      <w:tr w14:paraId="2B557F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AEC628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306" w:lineRule="exact"/>
              <w:ind w:right="59"/>
              <w:jc w:val="center"/>
              <w:textAlignment w:val="auto"/>
            </w:pPr>
            <w:r>
              <w:rPr>
                <w:rFonts w:hint="eastAsia" w:ascii="宋体" w:hAnsi="宋体"/>
              </w:rPr>
              <w:t>KIT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69BA4C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p.D820H. p.L576P. p.K558R. p.K642E. p.V559A. p.D816N. p.R634Q. c.exon 11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deletion</w:t>
            </w:r>
          </w:p>
        </w:tc>
      </w:tr>
      <w:tr w14:paraId="5443FF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1BD01A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94" w:lineRule="exact"/>
              <w:ind w:right="161"/>
              <w:jc w:val="center"/>
              <w:textAlignment w:val="auto"/>
            </w:pPr>
            <w:r>
              <w:rPr>
                <w:rFonts w:hint="eastAsia" w:ascii="宋体" w:hAnsi="宋体"/>
              </w:rPr>
              <w:t>NRAS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C44FAF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37" w:lineRule="exact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p.A146T. p.Q61R. p.Q61H. p.Q61L. p.Q61K. p.Q61P. p.G12A. p.G12R. p.G12D. p.G12C.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p.G12S. p.G12V. p.G13R. p.G13D. p.G13S.</w:t>
            </w:r>
            <w:r>
              <w:rPr>
                <w:rFonts w:hint="eastAsia" w:ascii="宋体" w:hAnsi="宋体"/>
                <w:spacing w:val="30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p.G13V</w:t>
            </w:r>
          </w:p>
        </w:tc>
      </w:tr>
    </w:tbl>
    <w:p w14:paraId="34F7EB89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sectPr>
          <w:pgSz w:w="11910" w:h="16840"/>
          <w:pgMar w:top="11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45668201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346" w:lineRule="exact"/>
        <w:ind w:left="432"/>
        <w:textAlignment w:val="auto"/>
        <w:rPr>
          <w:sz w:val="28"/>
        </w:rPr>
      </w:pPr>
      <w:r>
        <w:rPr>
          <w:sz w:val="28"/>
        </w:rPr>
        <w:t>附录</w:t>
      </w:r>
      <w:r>
        <w:rPr>
          <w:rFonts w:hint="eastAsia"/>
          <w:sz w:val="28"/>
          <w:lang w:val="en-US" w:eastAsia="zh-CN"/>
        </w:rPr>
        <w:t>四</w:t>
      </w:r>
      <w:r>
        <w:rPr>
          <w:sz w:val="28"/>
        </w:rPr>
        <w:t>：DNA水平检测基因列表49个</w:t>
      </w:r>
    </w:p>
    <w:p w14:paraId="119B6246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6"/>
        <w:ind w:left="0"/>
        <w:textAlignment w:val="auto"/>
        <w:rPr>
          <w:sz w:val="15"/>
        </w:rPr>
      </w:pPr>
    </w:p>
    <w:tbl>
      <w:tblPr>
        <w:tblStyle w:val="8"/>
        <w:tblW w:w="0" w:type="auto"/>
        <w:tblInd w:w="22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8"/>
        <w:gridCol w:w="1164"/>
        <w:gridCol w:w="821"/>
        <w:gridCol w:w="1154"/>
        <w:gridCol w:w="831"/>
        <w:gridCol w:w="1147"/>
        <w:gridCol w:w="837"/>
        <w:gridCol w:w="1140"/>
        <w:gridCol w:w="845"/>
        <w:gridCol w:w="1133"/>
      </w:tblGrid>
      <w:tr w14:paraId="0A2BA1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20EC45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2D3558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1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7759C0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4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B36B8A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359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8C001F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2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AE0BA2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3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B52AB7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2B87A3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355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31D519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right="1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62F205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4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</w:tr>
      <w:tr w14:paraId="730209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67DFA3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F397C6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AKT1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87AFB3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11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7FB933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ERBB2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0B21DA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21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FA4A71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GNAQ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9712E1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31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F4D5B8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left="224"/>
              <w:textAlignment w:val="auto"/>
            </w:pPr>
            <w:r>
              <w:rPr>
                <w:rFonts w:hint="eastAsia" w:ascii="宋体" w:hAnsi="宋体"/>
                <w:sz w:val="22"/>
              </w:rPr>
              <w:t>MAP2K2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6A0825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41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5B0C41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RAF1</w:t>
            </w:r>
          </w:p>
        </w:tc>
      </w:tr>
      <w:tr w14:paraId="6B348A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4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6150B8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AE85C0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ALK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2B1E7C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12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D6836B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ERBB3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223A26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22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26A484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HRAS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CEDE9F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32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B1B5AA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MET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C4869F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42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52AD49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RB1</w:t>
            </w:r>
          </w:p>
        </w:tc>
      </w:tr>
      <w:tr w14:paraId="0BFB08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2252B1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0B8B7A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AR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D917B1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13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A6215E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ERBB4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556A8A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23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C6A150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IDH1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BA2B35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33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203104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left="334"/>
              <w:textAlignment w:val="auto"/>
            </w:pPr>
            <w:r>
              <w:rPr>
                <w:rFonts w:hint="eastAsia" w:ascii="宋体" w:hAnsi="宋体"/>
                <w:sz w:val="22"/>
              </w:rPr>
              <w:t>MTOR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83EB9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43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D7DC7A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RET</w:t>
            </w:r>
          </w:p>
        </w:tc>
      </w:tr>
      <w:tr w14:paraId="3C2B52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C6F3C8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264F4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BRAF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60CECF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14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B57EC2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left="337"/>
              <w:textAlignment w:val="auto"/>
            </w:pPr>
            <w:r>
              <w:rPr>
                <w:rFonts w:hint="eastAsia" w:ascii="宋体" w:hAnsi="宋体"/>
                <w:sz w:val="22"/>
              </w:rPr>
              <w:t>ESR1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24405B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24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E3924B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IDH2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1DB9FA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34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16188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right="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MYC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1F880E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44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904DBB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ROS1</w:t>
            </w:r>
          </w:p>
        </w:tc>
      </w:tr>
      <w:tr w14:paraId="4C84C6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A855DD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5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482A7D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CCND1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9EBC82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15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49DE70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FBXW7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112136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25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ED934E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JAK1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5001B4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35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FB9C28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left="334"/>
              <w:textAlignment w:val="auto"/>
            </w:pPr>
            <w:r>
              <w:rPr>
                <w:rFonts w:hint="eastAsia" w:ascii="宋体" w:hAnsi="宋体"/>
                <w:sz w:val="22"/>
              </w:rPr>
              <w:t>MYCN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50095C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45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0ED9A4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SMAD4</w:t>
            </w:r>
          </w:p>
        </w:tc>
      </w:tr>
      <w:tr w14:paraId="01E3C3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EB0AE4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6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C1812D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CDK4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6EB023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16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C6146E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FGFR1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5E8F4F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26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7AD282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JAK2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23AE0D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36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15AACD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left="224"/>
              <w:textAlignment w:val="auto"/>
            </w:pPr>
            <w:r>
              <w:rPr>
                <w:rFonts w:hint="eastAsia" w:ascii="宋体" w:hAnsi="宋体"/>
                <w:sz w:val="22"/>
              </w:rPr>
              <w:t>NOTCH1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F75D44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46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0B506E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SMO</w:t>
            </w:r>
          </w:p>
        </w:tc>
      </w:tr>
      <w:tr w14:paraId="33A629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F7A40C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7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D4E4BD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CDK6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C42E34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17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EF78A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FGFR2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67CCE5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27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D7362A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JAK3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2B29C0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37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8CF08F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left="334"/>
              <w:textAlignment w:val="auto"/>
            </w:pPr>
            <w:r>
              <w:rPr>
                <w:rFonts w:hint="eastAsia" w:ascii="宋体" w:hAnsi="宋体"/>
                <w:sz w:val="22"/>
              </w:rPr>
              <w:t>NRAS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DD6816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47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FA24A6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STK11</w:t>
            </w:r>
          </w:p>
        </w:tc>
      </w:tr>
      <w:tr w14:paraId="02C0D8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E9CD4C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8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3494AB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CTNNB1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0452AC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18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3A28CF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FGFR3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36D401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28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3D4011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KIT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AB3309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38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B5A9CB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left="169"/>
              <w:textAlignment w:val="auto"/>
            </w:pPr>
            <w:r>
              <w:rPr>
                <w:rFonts w:hint="eastAsia" w:ascii="宋体" w:hAnsi="宋体"/>
                <w:sz w:val="22"/>
              </w:rPr>
              <w:t>PDGFRA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7331EB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48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DAA8EA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TP53</w:t>
            </w:r>
          </w:p>
        </w:tc>
      </w:tr>
      <w:tr w14:paraId="7825C5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0C470D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9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C1B99A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DDR2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7E449E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19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E7CCD9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FGFR4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520848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29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D7D531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KRAS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43E663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39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4568D0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left="224"/>
              <w:textAlignment w:val="auto"/>
            </w:pPr>
            <w:r>
              <w:rPr>
                <w:rFonts w:hint="eastAsia" w:ascii="宋体" w:hAnsi="宋体"/>
                <w:sz w:val="22"/>
              </w:rPr>
              <w:t>PIK3CA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F827A5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49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B17655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UGT1A1</w:t>
            </w:r>
          </w:p>
        </w:tc>
      </w:tr>
      <w:tr w14:paraId="086204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310680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10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7AF850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EGFR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EF353D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20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37554D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GNA11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FA6E26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30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0AB1E4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MAP2K1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70A205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40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149D17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left="334"/>
              <w:textAlignment w:val="auto"/>
            </w:pPr>
            <w:r>
              <w:rPr>
                <w:rFonts w:hint="eastAsia" w:ascii="宋体" w:hAnsi="宋体"/>
                <w:sz w:val="22"/>
              </w:rPr>
              <w:t>PTEN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E1D100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EDEC19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</w:tbl>
    <w:p w14:paraId="4A9B24D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3"/>
        <w:ind w:left="0"/>
        <w:textAlignment w:val="auto"/>
        <w:rPr>
          <w:sz w:val="15"/>
        </w:rPr>
      </w:pPr>
    </w:p>
    <w:p w14:paraId="3A43341D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432"/>
        <w:textAlignment w:val="auto"/>
        <w:rPr>
          <w:rFonts w:hint="eastAsia" w:eastAsia="宋体"/>
          <w:sz w:val="28"/>
          <w:lang w:eastAsia="zh-CN"/>
        </w:rPr>
      </w:pPr>
      <w:r>
        <w:rPr>
          <w:sz w:val="28"/>
        </w:rPr>
        <w:t>附</w:t>
      </w:r>
      <w:r>
        <w:rPr>
          <w:rFonts w:hint="eastAsia"/>
          <w:sz w:val="28"/>
          <w:lang w:val="en-US" w:eastAsia="zh-CN"/>
        </w:rPr>
        <w:t>录五</w:t>
      </w:r>
      <w:r>
        <w:rPr>
          <w:sz w:val="28"/>
        </w:rPr>
        <w:t>：RNA水平检测基因列表（15个</w:t>
      </w:r>
      <w:r>
        <w:rPr>
          <w:rFonts w:hint="eastAsia"/>
          <w:sz w:val="28"/>
          <w:lang w:eastAsia="zh-CN"/>
        </w:rPr>
        <w:t>）</w:t>
      </w:r>
    </w:p>
    <w:p w14:paraId="7DE35DDE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7"/>
        <w:ind w:left="0"/>
        <w:textAlignment w:val="auto"/>
        <w:rPr>
          <w:sz w:val="20"/>
        </w:rPr>
      </w:pPr>
    </w:p>
    <w:tbl>
      <w:tblPr>
        <w:tblStyle w:val="8"/>
        <w:tblW w:w="0" w:type="auto"/>
        <w:tblInd w:w="23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0"/>
        <w:gridCol w:w="1161"/>
        <w:gridCol w:w="821"/>
        <w:gridCol w:w="1157"/>
        <w:gridCol w:w="828"/>
        <w:gridCol w:w="1150"/>
        <w:gridCol w:w="835"/>
        <w:gridCol w:w="1140"/>
        <w:gridCol w:w="845"/>
        <w:gridCol w:w="1132"/>
      </w:tblGrid>
      <w:tr w14:paraId="76F7AA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BE1C55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31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5C4757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1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B8DA14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4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EF3A2B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right="332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2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DA74E5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2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0C962E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3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32FA7F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27ED51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right="314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10F20B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right="1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698537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4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</w:tr>
      <w:tr w14:paraId="7D149C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549C38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left="40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</w:t>
            </w:r>
          </w:p>
        </w:tc>
        <w:tc>
          <w:tcPr>
            <w:tcW w:w="11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03E216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2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ALK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5E0EBC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5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847C63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299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NTRK1</w:t>
            </w:r>
          </w:p>
        </w:tc>
        <w:tc>
          <w:tcPr>
            <w:tcW w:w="82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44EB88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7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7</w:t>
            </w:r>
          </w:p>
        </w:tc>
        <w:tc>
          <w:tcPr>
            <w:tcW w:w="11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8003B4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11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MET</w:t>
            </w:r>
          </w:p>
        </w:tc>
        <w:tc>
          <w:tcPr>
            <w:tcW w:w="8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A62C3D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1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10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5699F4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337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ETV4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316435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13</w:t>
            </w:r>
          </w:p>
        </w:tc>
        <w:tc>
          <w:tcPr>
            <w:tcW w:w="11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9A2F66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AKT3</w:t>
            </w:r>
          </w:p>
        </w:tc>
      </w:tr>
      <w:tr w14:paraId="23E0C3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C173CF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left="40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</w:t>
            </w:r>
          </w:p>
        </w:tc>
        <w:tc>
          <w:tcPr>
            <w:tcW w:w="11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7330CE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2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RET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00D74D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5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5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6FE7C1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299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NTRK2</w:t>
            </w:r>
          </w:p>
        </w:tc>
        <w:tc>
          <w:tcPr>
            <w:tcW w:w="82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23EDF3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7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8</w:t>
            </w:r>
          </w:p>
        </w:tc>
        <w:tc>
          <w:tcPr>
            <w:tcW w:w="11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70253A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11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ERG</w:t>
            </w:r>
          </w:p>
        </w:tc>
        <w:tc>
          <w:tcPr>
            <w:tcW w:w="8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2CE789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1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11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73C23D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337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ETV5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209619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14</w:t>
            </w:r>
          </w:p>
        </w:tc>
        <w:tc>
          <w:tcPr>
            <w:tcW w:w="11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D306F6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AXL</w:t>
            </w:r>
          </w:p>
        </w:tc>
      </w:tr>
      <w:tr w14:paraId="5C7631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exact"/>
        </w:trPr>
        <w:tc>
          <w:tcPr>
            <w:tcW w:w="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532EFF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left="40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</w:t>
            </w:r>
          </w:p>
        </w:tc>
        <w:tc>
          <w:tcPr>
            <w:tcW w:w="11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19671C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2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ROS1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437311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5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6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1F5063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299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NTRK3</w:t>
            </w:r>
          </w:p>
        </w:tc>
        <w:tc>
          <w:tcPr>
            <w:tcW w:w="82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CE21D5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7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9</w:t>
            </w:r>
          </w:p>
        </w:tc>
        <w:tc>
          <w:tcPr>
            <w:tcW w:w="11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28EC35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11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ETV1</w:t>
            </w:r>
          </w:p>
        </w:tc>
        <w:tc>
          <w:tcPr>
            <w:tcW w:w="8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D7DCE6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1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12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0CB96C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337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ABL1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026AC8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15</w:t>
            </w:r>
          </w:p>
        </w:tc>
        <w:tc>
          <w:tcPr>
            <w:tcW w:w="11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352BFE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PPARG</w:t>
            </w:r>
          </w:p>
        </w:tc>
      </w:tr>
    </w:tbl>
    <w:p w14:paraId="24B8F06F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</w:pPr>
    </w:p>
    <w:p w14:paraId="0DA0976B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</w:pPr>
    </w:p>
    <w:sectPr>
      <w:footerReference r:id="rId5" w:type="default"/>
      <w:pgSz w:w="11910" w:h="16840"/>
      <w:pgMar w:top="1180" w:right="880" w:bottom="820" w:left="900" w:header="0" w:footer="63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equalWidth="0" w:num="1">
        <w:col w:w="1013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iti SC">
    <w:altName w:val="宋体"/>
    <w:panose1 w:val="02000000000000000000"/>
    <w:charset w:val="86"/>
    <w:family w:val="auto"/>
    <w:pitch w:val="default"/>
    <w:sig w:usb0="00000000" w:usb1="00000000" w:usb2="00000000" w:usb3="00000000" w:csb0="203E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408B06">
    <w:pPr>
      <w:pStyle w:val="5"/>
      <w:tabs>
        <w:tab w:val="left" w:pos="4446"/>
        <w:tab w:val="clear" w:pos="4153"/>
      </w:tabs>
      <w:rPr>
        <w:rFonts w:hint="eastAsia" w:eastAsia="宋体"/>
        <w:lang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3604848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MeXtc4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DHl7XO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3604848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lang w:eastAsia="zh-CN"/>
      </w:rP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B6AEFB">
    <w:pPr>
      <w:pStyle w:val="4"/>
      <w:kinsoku w:val="0"/>
      <w:overflowPunct w:val="0"/>
      <w:spacing w:before="0" w:line="14" w:lineRule="auto"/>
      <w:ind w:left="0"/>
      <w:rPr>
        <w:sz w:val="19"/>
      </w:rPr>
    </w:pPr>
    <w:r>
      <w:rPr>
        <w:sz w:val="20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229235" cy="187325"/>
              <wp:effectExtent l="0" t="0" r="0" b="0"/>
              <wp:wrapNone/>
              <wp:docPr id="9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87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FEC169">
                          <w:pPr>
                            <w:pStyle w:val="4"/>
                            <w:kinsoku w:val="0"/>
                            <w:overflowPunct w:val="0"/>
                            <w:spacing w:before="0" w:line="259" w:lineRule="exact"/>
                            <w:ind w:left="4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/8</w:t>
                          </w:r>
                        </w:p>
                      </w:txbxContent>
                    </wps:txbx>
                    <wps:bodyPr vert="horz" wrap="square" lIns="0" tIns="0" rIns="0" bIns="0" upright="1"/>
                  </wps:wsp>
                </a:graphicData>
              </a:graphic>
            </wp:anchor>
          </w:drawing>
        </mc:Choice>
        <mc:Fallback>
          <w:pict>
            <v:shape id="文本框 1" o:spid="_x0000_s1026" o:spt="202" type="#_x0000_t202" style="position:absolute;left:0pt;margin-top:0pt;height:14.75pt;width:18.05pt;mso-position-horizontal:center;mso-position-horizontal-relative:margin;z-index:251662336;mso-width-relative:page;mso-height-relative:page;" filled="f" stroked="f" coordsize="21600,21600" o:gfxdata="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Iw2NrUAAAAAwEAAA8AAAAAAAAAAQAgAAAAIgAAAGRycy9k&#10;b3ducmV2LnhtbFBLAQIUABQAAAAIAIdO4kCwrmiizQEAAIsDAAAOAAAAAAAAAAEAIAAAACMBAABk&#10;cnMvZTJvRG9jLnhtbFBLBQYAAAAABgAGAFkBAABi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EFEC169">
                    <w:pPr>
                      <w:pStyle w:val="4"/>
                      <w:kinsoku w:val="0"/>
                      <w:overflowPunct w:val="0"/>
                      <w:spacing w:before="0" w:line="259" w:lineRule="exact"/>
                      <w:ind w:left="4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/8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6D80CF">
    <w:pPr>
      <w:pStyle w:val="4"/>
      <w:kinsoku w:val="0"/>
      <w:overflowPunct w:val="0"/>
      <w:spacing w:before="0" w:line="14" w:lineRule="auto"/>
      <w:ind w:left="0"/>
      <w:rPr>
        <w:sz w:val="19"/>
      </w:rPr>
    </w:pPr>
    <w:r>
      <w:rPr>
        <w:sz w:val="20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229235" cy="187325"/>
              <wp:effectExtent l="0" t="0" r="0" b="0"/>
              <wp:wrapNone/>
              <wp:docPr id="7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87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09B9146">
                          <w:pPr>
                            <w:pStyle w:val="4"/>
                            <w:kinsoku w:val="0"/>
                            <w:overflowPunct w:val="0"/>
                            <w:spacing w:before="0" w:line="259" w:lineRule="exact"/>
                            <w:ind w:left="4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/8</w:t>
                          </w:r>
                        </w:p>
                      </w:txbxContent>
                    </wps:txbx>
                    <wps:bodyPr vert="horz" wrap="square" lIns="0" tIns="0" rIns="0" bIns="0" upright="1"/>
                  </wps:wsp>
                </a:graphicData>
              </a:graphic>
            </wp:anchor>
          </w:drawing>
        </mc:Choice>
        <mc:Fallback>
          <w:pict>
            <v:shape id="文本框 1" o:spid="_x0000_s1026" o:spt="202" type="#_x0000_t202" style="position:absolute;left:0pt;margin-top:0pt;height:14.75pt;width:18.05pt;mso-position-horizontal:center;mso-position-horizontal-relative:margin;z-index:251660288;mso-width-relative:page;mso-height-relative:page;" filled="f" stroked="f" coordsize="21600,21600" o:gfxdata="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Iw2NrUAAAAAwEAAA8AAAAAAAAAAQAgAAAAIgAAAGRycy9k&#10;b3ducmV2LnhtbFBLAQIUABQAAAAIAIdO4kD6qupSzQEAAIsDAAAOAAAAAAAAAAEAIAAAACMBAABk&#10;cnMvZTJvRG9jLnhtbFBLBQYAAAAABgAGAFkBAABi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09B9146">
                    <w:pPr>
                      <w:pStyle w:val="4"/>
                      <w:kinsoku w:val="0"/>
                      <w:overflowPunct w:val="0"/>
                      <w:spacing w:before="0" w:line="259" w:lineRule="exact"/>
                      <w:ind w:left="4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/8</w:t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DD7ECDE"/>
    <w:multiLevelType w:val="singleLevel"/>
    <w:tmpl w:val="FDD7ECD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6979267F"/>
    <w:multiLevelType w:val="singleLevel"/>
    <w:tmpl w:val="6979267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EF75A2D"/>
    <w:multiLevelType w:val="singleLevel"/>
    <w:tmpl w:val="6EF75A2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drawingGridHorizontalSpacing w:val="120"/>
  <w:drawingGridVerticalSpacing w:val="120"/>
  <w:displayHorizontalDrawingGridEvery w:val="1"/>
  <w:displayVerticalDrawingGridEvery w:val="1"/>
  <w:doNotUseMarginsForDrawingGridOrigin w:val="1"/>
  <w:drawingGridHorizontalOrigin w:val="1800"/>
  <w:drawingGridVerticalOrigin w:val="1440"/>
  <w:doNotShadeFormData w:val="1"/>
  <w:noPunctuationKerning w:val="1"/>
  <w:characterSpacingControl w:val="doNotCompress"/>
  <w:doNotValidateAgainstSchema/>
  <w:doNotDemarcateInvalidXml/>
  <w:compat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165477"/>
    <w:rsid w:val="00172A27"/>
    <w:rsid w:val="00500D06"/>
    <w:rsid w:val="009B3646"/>
    <w:rsid w:val="00A54B36"/>
    <w:rsid w:val="00B6517E"/>
    <w:rsid w:val="00C030DB"/>
    <w:rsid w:val="00C6156D"/>
    <w:rsid w:val="01761A1C"/>
    <w:rsid w:val="049077DF"/>
    <w:rsid w:val="05BA1E72"/>
    <w:rsid w:val="05C86C09"/>
    <w:rsid w:val="06312DB5"/>
    <w:rsid w:val="064D62AC"/>
    <w:rsid w:val="085D4A47"/>
    <w:rsid w:val="09F847E6"/>
    <w:rsid w:val="0A583A3C"/>
    <w:rsid w:val="0ABC5CB5"/>
    <w:rsid w:val="0B2D8576"/>
    <w:rsid w:val="0B3F9FCC"/>
    <w:rsid w:val="0D3443CA"/>
    <w:rsid w:val="0D7714E9"/>
    <w:rsid w:val="0D910C60"/>
    <w:rsid w:val="0DF91E0E"/>
    <w:rsid w:val="0FC90055"/>
    <w:rsid w:val="12DF146A"/>
    <w:rsid w:val="13845891"/>
    <w:rsid w:val="13D67DA8"/>
    <w:rsid w:val="15065D8D"/>
    <w:rsid w:val="17DC4231"/>
    <w:rsid w:val="18DF4EDB"/>
    <w:rsid w:val="18E67433"/>
    <w:rsid w:val="19274253"/>
    <w:rsid w:val="1AA56C42"/>
    <w:rsid w:val="1B607376"/>
    <w:rsid w:val="1C486F42"/>
    <w:rsid w:val="1C7A435D"/>
    <w:rsid w:val="1DE12B40"/>
    <w:rsid w:val="1EBE3C46"/>
    <w:rsid w:val="1EFBE1EB"/>
    <w:rsid w:val="1F3BE7F7"/>
    <w:rsid w:val="1F660EDC"/>
    <w:rsid w:val="1FDE77FF"/>
    <w:rsid w:val="200A5930"/>
    <w:rsid w:val="21CF15E3"/>
    <w:rsid w:val="22274816"/>
    <w:rsid w:val="229F5759"/>
    <w:rsid w:val="23D4764B"/>
    <w:rsid w:val="24A02C63"/>
    <w:rsid w:val="26AC122F"/>
    <w:rsid w:val="27D70FDB"/>
    <w:rsid w:val="286C74DE"/>
    <w:rsid w:val="29946294"/>
    <w:rsid w:val="2C17626D"/>
    <w:rsid w:val="2C9A3F19"/>
    <w:rsid w:val="2C9F276B"/>
    <w:rsid w:val="2D9177D0"/>
    <w:rsid w:val="2F326EFC"/>
    <w:rsid w:val="2F542EF1"/>
    <w:rsid w:val="2F5FC267"/>
    <w:rsid w:val="330159E5"/>
    <w:rsid w:val="34144E26"/>
    <w:rsid w:val="34F67C2F"/>
    <w:rsid w:val="355A2295"/>
    <w:rsid w:val="38AF2F46"/>
    <w:rsid w:val="3A4A7EAF"/>
    <w:rsid w:val="3BFAC384"/>
    <w:rsid w:val="3D2D3D3F"/>
    <w:rsid w:val="3DA151B9"/>
    <w:rsid w:val="3E37809A"/>
    <w:rsid w:val="3F1ECADB"/>
    <w:rsid w:val="3FE43E1D"/>
    <w:rsid w:val="409F7A83"/>
    <w:rsid w:val="42A238B1"/>
    <w:rsid w:val="462E5BBE"/>
    <w:rsid w:val="4700024F"/>
    <w:rsid w:val="47182731"/>
    <w:rsid w:val="473E5119"/>
    <w:rsid w:val="47AE3AD2"/>
    <w:rsid w:val="47CA659C"/>
    <w:rsid w:val="488C2292"/>
    <w:rsid w:val="4891509B"/>
    <w:rsid w:val="49290308"/>
    <w:rsid w:val="4C325F51"/>
    <w:rsid w:val="4D152A86"/>
    <w:rsid w:val="4D91579B"/>
    <w:rsid w:val="4E5C54C6"/>
    <w:rsid w:val="4EE54C11"/>
    <w:rsid w:val="4F9B59C5"/>
    <w:rsid w:val="519412E6"/>
    <w:rsid w:val="51D138E8"/>
    <w:rsid w:val="51E31065"/>
    <w:rsid w:val="545F6DCA"/>
    <w:rsid w:val="54C45ADB"/>
    <w:rsid w:val="562E431B"/>
    <w:rsid w:val="565FC5CD"/>
    <w:rsid w:val="56A41633"/>
    <w:rsid w:val="57800B32"/>
    <w:rsid w:val="599A33B3"/>
    <w:rsid w:val="5AB75AE4"/>
    <w:rsid w:val="5C86383D"/>
    <w:rsid w:val="5D2BABD9"/>
    <w:rsid w:val="5D6DB735"/>
    <w:rsid w:val="5E36101A"/>
    <w:rsid w:val="5EF7405C"/>
    <w:rsid w:val="5F6FBB0D"/>
    <w:rsid w:val="5FB10908"/>
    <w:rsid w:val="5FF74AD6"/>
    <w:rsid w:val="5FFE0F82"/>
    <w:rsid w:val="613F5D6A"/>
    <w:rsid w:val="61640AD8"/>
    <w:rsid w:val="62916416"/>
    <w:rsid w:val="63123593"/>
    <w:rsid w:val="636807A4"/>
    <w:rsid w:val="660179E7"/>
    <w:rsid w:val="6619635E"/>
    <w:rsid w:val="68E154E2"/>
    <w:rsid w:val="68FE8F5E"/>
    <w:rsid w:val="69067C50"/>
    <w:rsid w:val="69A735B3"/>
    <w:rsid w:val="69E67DC0"/>
    <w:rsid w:val="69F566F5"/>
    <w:rsid w:val="6A570BC4"/>
    <w:rsid w:val="6BFFC89F"/>
    <w:rsid w:val="6C951535"/>
    <w:rsid w:val="6E9B53F5"/>
    <w:rsid w:val="6F99643F"/>
    <w:rsid w:val="70E944EF"/>
    <w:rsid w:val="718070C4"/>
    <w:rsid w:val="720B5E9F"/>
    <w:rsid w:val="72738A79"/>
    <w:rsid w:val="73321797"/>
    <w:rsid w:val="735E1215"/>
    <w:rsid w:val="74617B01"/>
    <w:rsid w:val="75504886"/>
    <w:rsid w:val="77263187"/>
    <w:rsid w:val="77B45115"/>
    <w:rsid w:val="77F90486"/>
    <w:rsid w:val="7954692C"/>
    <w:rsid w:val="7AF64842"/>
    <w:rsid w:val="7AFFA364"/>
    <w:rsid w:val="7BF391A1"/>
    <w:rsid w:val="7CDB6CC5"/>
    <w:rsid w:val="7CE22EBE"/>
    <w:rsid w:val="7D737AB6"/>
    <w:rsid w:val="7EBBFD05"/>
    <w:rsid w:val="7F7FF21C"/>
    <w:rsid w:val="7F872CBC"/>
    <w:rsid w:val="7FACB41D"/>
    <w:rsid w:val="7FBFB3BA"/>
    <w:rsid w:val="7FD63C30"/>
    <w:rsid w:val="7FF9D70F"/>
    <w:rsid w:val="7FFA706E"/>
    <w:rsid w:val="7FFF3F6D"/>
    <w:rsid w:val="83F762CD"/>
    <w:rsid w:val="95F706CD"/>
    <w:rsid w:val="996FDAA9"/>
    <w:rsid w:val="99EF31C9"/>
    <w:rsid w:val="9DF678A5"/>
    <w:rsid w:val="A17EBE87"/>
    <w:rsid w:val="AB76A4AE"/>
    <w:rsid w:val="B6FFF203"/>
    <w:rsid w:val="BDE748BD"/>
    <w:rsid w:val="BDEE5417"/>
    <w:rsid w:val="BEFD0D23"/>
    <w:rsid w:val="BFF4ACB1"/>
    <w:rsid w:val="BFFB86B4"/>
    <w:rsid w:val="BFFF5EF7"/>
    <w:rsid w:val="C3F4A09C"/>
    <w:rsid w:val="CFAD8A51"/>
    <w:rsid w:val="DBFFB563"/>
    <w:rsid w:val="DFDF1363"/>
    <w:rsid w:val="DFF72AC7"/>
    <w:rsid w:val="DFFD9547"/>
    <w:rsid w:val="E9BFA94B"/>
    <w:rsid w:val="F1DFDCC4"/>
    <w:rsid w:val="F55F6391"/>
    <w:rsid w:val="F71B0FBF"/>
    <w:rsid w:val="F7ED6DF7"/>
    <w:rsid w:val="F9EF3885"/>
    <w:rsid w:val="FB970B48"/>
    <w:rsid w:val="FBFFC676"/>
    <w:rsid w:val="FD3FCAF8"/>
    <w:rsid w:val="FE3F40A3"/>
    <w:rsid w:val="FE4DE62A"/>
    <w:rsid w:val="FE769863"/>
    <w:rsid w:val="FE7D5ED0"/>
    <w:rsid w:val="FEFB2788"/>
    <w:rsid w:val="FEFD436E"/>
    <w:rsid w:val="FEFF6D72"/>
    <w:rsid w:val="FF7F62FF"/>
    <w:rsid w:val="FFEFA11E"/>
    <w:rsid w:val="FFFE0AC4"/>
    <w:rsid w:val="FFFED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iPriority="1" w:semiHidden="0" w:name="Normal"/>
    <w:lsdException w:qFormat="1" w:uiPriority="1" w:semiHidden="0" w:name="heading 1"/>
    <w:lsdException w:uiPriority="99" w:name="heading 2"/>
    <w:lsdException w:uiPriority="99" w:name="heading 3"/>
    <w:lsdException w:uiPriority="99" w:name="heading 4"/>
    <w:lsdException w:uiPriority="99" w:name="heading 5"/>
    <w:lsdException w:uiPriority="99" w:name="heading 6"/>
    <w:lsdException w:qFormat="1" w:uiPriority="9" w:name="heading 7"/>
    <w:lsdException w:uiPriority="99" w:name="heading 8"/>
    <w:lsdException w:uiPriority="9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99" w:name="toc 1"/>
    <w:lsdException w:uiPriority="99" w:name="toc 2"/>
    <w:lsdException w:uiPriority="99" w:name="toc 3"/>
    <w:lsdException w:uiPriority="99" w:name="toc 4"/>
    <w:lsdException w:uiPriority="99" w:name="toc 5"/>
    <w:lsdException w:uiPriority="99" w:name="toc 6"/>
    <w:lsdException w:uiPriority="99" w:name="toc 7"/>
    <w:lsdException w:uiPriority="99" w:name="toc 8"/>
    <w:lsdException w:uiPriority="9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uiPriority="99" w:name="footer"/>
    <w:lsdException w:uiPriority="99" w:name="index heading"/>
    <w:lsdException w:uiPriority="99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uiPriority="99" w:name="Title"/>
    <w:lsdException w:uiPriority="99" w:name="Closing"/>
    <w:lsdException w:uiPriority="99" w:name="Signature"/>
    <w:lsdException w:qFormat="1" w:uiPriority="1" w:name="Default Paragraph Font"/>
    <w:lsdException w:qFormat="1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uiPriority="99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uiPriority="99" w:name="Strong"/>
    <w:lsdException w:uiPriority="99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iPriority="9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1"/>
    <w:pPr>
      <w:widowControl w:val="0"/>
      <w:autoSpaceDE w:val="0"/>
      <w:autoSpaceDN w:val="0"/>
      <w:adjustRightInd w:val="0"/>
    </w:pPr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unhideWhenUsed/>
    <w:qFormat/>
    <w:uiPriority w:val="1"/>
    <w:pPr>
      <w:ind w:left="432"/>
      <w:outlineLvl w:val="0"/>
    </w:pPr>
    <w:rPr>
      <w:rFonts w:hint="eastAsia" w:ascii="宋体" w:hAnsi="宋体"/>
      <w:sz w:val="28"/>
    </w:rPr>
  </w:style>
  <w:style w:type="paragraph" w:styleId="3">
    <w:name w:val="heading 7"/>
    <w:basedOn w:val="1"/>
    <w:next w:val="1"/>
    <w:semiHidden/>
    <w:unhideWhenUsed/>
    <w:qFormat/>
    <w:uiPriority w:val="9"/>
    <w:pPr>
      <w:keepNext/>
      <w:keepLines/>
      <w:spacing w:before="240" w:after="64" w:line="320" w:lineRule="auto"/>
      <w:outlineLvl w:val="6"/>
    </w:pPr>
    <w:rPr>
      <w:b/>
      <w:bCs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unhideWhenUsed/>
    <w:qFormat/>
    <w:uiPriority w:val="1"/>
    <w:pPr>
      <w:spacing w:before="16"/>
      <w:ind w:left="348"/>
    </w:pPr>
    <w:rPr>
      <w:rFonts w:hint="eastAsia" w:ascii="宋体" w:hAnsi="宋体"/>
    </w:rPr>
  </w:style>
  <w:style w:type="paragraph" w:styleId="5">
    <w:name w:val="footer"/>
    <w:basedOn w:val="1"/>
    <w:semiHidden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7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9">
    <w:name w:val="Table Grid"/>
    <w:basedOn w:val="8"/>
    <w:semiHidden/>
    <w:unhideWhenUsed/>
    <w:qFormat/>
    <w:uiPriority w:val="9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1">
    <w:name w:val="List Paragraph"/>
    <w:basedOn w:val="1"/>
    <w:unhideWhenUsed/>
    <w:qFormat/>
    <w:uiPriority w:val="1"/>
  </w:style>
  <w:style w:type="paragraph" w:customStyle="1" w:styleId="12">
    <w:name w:val="Table Paragraph"/>
    <w:basedOn w:val="1"/>
    <w:unhideWhenUsed/>
    <w:qFormat/>
    <w:uiPriority w:val="1"/>
  </w:style>
  <w:style w:type="paragraph" w:customStyle="1" w:styleId="13">
    <w:name w:val="正文1"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table" w:customStyle="1" w:styleId="14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3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6314</Words>
  <Characters>8404</Characters>
  <Lines>94</Lines>
  <Paragraphs>26</Paragraphs>
  <TotalTime>13</TotalTime>
  <ScaleCrop>false</ScaleCrop>
  <LinksUpToDate>false</LinksUpToDate>
  <CharactersWithSpaces>8766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2024-10-31T01:12:00Z</dcterms:created>
  <dc:creator>simpl</dc:creator>
  <cp:lastModifiedBy>levi</cp:lastModifiedBy>
  <dcterms:modified xsi:type="dcterms:W3CDTF">2024-11-19T03:32:49Z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4167F9CA76D34FC59F89CC2C713FDD47_13</vt:lpwstr>
  </property>
</Properties>
</file>