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ascii="Times New Roman" w:hAnsi="Times New Roman" w:eastAsia="微软雅黑" w:cs="微软雅黑"/>
          <w:b/>
          <w:bCs/>
          <w:sz w:val="40"/>
          <w:szCs w:val="40"/>
        </w:rPr>
      </w:pPr>
      <w:r>
        <w:rPr>
          <w:rFonts w:hint="eastAsia" w:ascii="Times New Roman" w:hAnsi="Times New Roman" w:eastAsia="微软雅黑" w:cs="微软雅黑"/>
          <w:b/>
          <w:bCs/>
          <w:sz w:val="40"/>
          <w:szCs w:val="40"/>
        </w:rPr>
        <w:br w:type="page"/>
      </w:r>
      <w:r>
        <w:rPr>
          <w:sz w:val="22"/>
        </w:rPr>
        <mc:AlternateContent>
          <mc:Choice Requires="wps">
            <w:drawing>
              <wp:anchor distT="0" distB="0" distL="114300" distR="114300" simplePos="0" relativeHeight="251661312" behindDoc="0" locked="0" layoutInCell="1" allowOverlap="1">
                <wp:simplePos x="0" y="0"/>
                <wp:positionH relativeFrom="column">
                  <wp:posOffset>335280</wp:posOffset>
                </wp:positionH>
                <wp:positionV relativeFrom="paragraph">
                  <wp:posOffset>4714875</wp:posOffset>
                </wp:positionV>
                <wp:extent cx="606552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06552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18-21</w:t>
                            </w:r>
                            <w:r>
                              <w:rPr>
                                <w:rFonts w:hint="eastAsia" w:ascii="黑体" w:hAnsi="黑体" w:eastAsia="黑体" w:cs="黑体"/>
                                <w:b w:val="0"/>
                                <w:bCs w:val="0"/>
                                <w:color w:val="auto"/>
                                <w:sz w:val="52"/>
                                <w:szCs w:val="5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4pt;margin-top:371.25pt;height:103.4pt;width:477.6pt;z-index:251661312;mso-width-relative:page;mso-height-relative:page;" filled="f" stroked="f" coordsize="21600,21600" o:gfxdata="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&#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Ql61TcAAAACwEAAA8AAAAAAAAAAQAgAAAAIgAA&#10;AGRycy9kb3ducmV2LnhtbFBLAQIUABQAAAAIAIdO4kBRhMPcPQIAAGkEAAAOAAAAAAAAAAEAIAAA&#10;ACsBAABkcnMvZTJvRG9jLnhtbFBLBQYAAAAABgAGAFkBAADaBQAAAAA=&#10;">
                <v:fill on="f" focussize="0,0"/>
                <v:stroke on="f" weight="0.5pt"/>
                <v:imagedata o:title=""/>
                <o:lock v:ext="edit" aspectratio="f"/>
                <v:textbox>
                  <w:txbxContent>
                    <w:p>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18-21</w:t>
                      </w:r>
                      <w:r>
                        <w:rPr>
                          <w:rFonts w:hint="eastAsia" w:ascii="黑体" w:hAnsi="黑体" w:eastAsia="黑体" w:cs="黑体"/>
                          <w:b w:val="0"/>
                          <w:bCs w:val="0"/>
                          <w:color w:val="auto"/>
                          <w:sz w:val="52"/>
                          <w:szCs w:val="52"/>
                          <w:highlight w:val="none"/>
                          <w:lang w:val="en-US" w:eastAsia="zh-CN"/>
                        </w:rPr>
                        <w:t>外显子基因检测报告</w:t>
                      </w:r>
                    </w:p>
                  </w:txbxContent>
                </v:textbox>
              </v:shape>
            </w:pict>
          </mc:Fallback>
        </mc:AlternateContent>
      </w:r>
    </w:p>
    <w:p>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pPr>
        <w:numPr>
          <w:ilvl w:val="0"/>
          <w:numId w:val="2"/>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4850" w:type="pct"/>
        <w:tblInd w:w="159"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92"/>
        <w:gridCol w:w="3489"/>
        <w:gridCol w:w="3481"/>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送检医生：</w:t>
            </w:r>
            <w:r>
              <w:rPr>
                <w:rFonts w:hint="eastAsia" w:ascii="Times New Roman" w:hAnsi="Times New Roman" w:eastAsia="微软雅黑" w:cs="微软雅黑"/>
                <w:bCs/>
                <w:color w:val="000000"/>
                <w:sz w:val="24"/>
                <w:szCs w:val="24"/>
              </w:rPr>
              <w:t>{{ doctorname }}</w:t>
            </w:r>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pPr>
              <w:keepNext w:val="0"/>
              <w:keepLines w:val="0"/>
              <w:widowControl w:val="0"/>
              <w:suppressLineNumbers w:val="0"/>
              <w:spacing w:before="0" w:beforeAutospacing="0" w:after="0" w:afterAutospacing="0"/>
              <w:ind w:left="0" w:right="0"/>
              <w:jc w:val="left"/>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default" w:ascii="Times New Roman" w:hAnsi="Times New Roman" w:eastAsia="微软雅黑" w:cs="微软雅黑"/>
                <w:bCs/>
                <w:color w:val="000000"/>
                <w:sz w:val="24"/>
                <w:szCs w:val="24"/>
                <w:lang w:val="en-US" w:eastAsia="zh-CN"/>
              </w:rPr>
              <w:t>{{ specimentype }}</w:t>
            </w:r>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送检时间：</w:t>
            </w:r>
            <w:r>
              <w:rPr>
                <w:rFonts w:hint="eastAsia" w:ascii="Times New Roman" w:hAnsi="Times New Roman" w:eastAsia="微软雅黑" w:cs="微软雅黑"/>
                <w:bCs/>
                <w:color w:val="000000"/>
                <w:sz w:val="24"/>
                <w:szCs w:val="24"/>
              </w:rPr>
              <w:t>{{ commission_date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683"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bookmarkStart w:id="0" w:name="OLE_LINK4"/>
            <w:r>
              <w:rPr>
                <w:rFonts w:ascii="Times New Roman" w:hAnsi="Times New Roman" w:eastAsia="微软雅黑" w:cs="微软雅黑"/>
                <w:bCs/>
                <w:color w:val="000000"/>
                <w:sz w:val="24"/>
                <w:szCs w:val="24"/>
              </w:rPr>
              <w:t>-</w:t>
            </w:r>
            <w:bookmarkEnd w:id="0"/>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bl>
    <w:p>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检测方法：</w:t>
      </w:r>
      <w:r>
        <w:rPr>
          <w:rFonts w:hint="eastAsia" w:ascii="Times New Roman" w:hAnsi="Times New Roman" w:eastAsia="微软雅黑" w:cs="微软雅黑"/>
          <w:b w:val="0"/>
          <w:bCs/>
          <w:sz w:val="28"/>
          <w:szCs w:val="28"/>
          <w:lang w:val="en-US" w:eastAsia="zh-CN"/>
        </w:rPr>
        <w:t>PCR测序法</w:t>
      </w:r>
    </w:p>
    <w:p>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5262"/>
        <w:gridCol w:w="831"/>
        <w:gridCol w:w="1727"/>
        <w:gridCol w:w="838"/>
        <w:gridCol w:w="1756"/>
      </w:tblGrid>
      <w:tr>
        <w:tblPrEx>
          <w:tblCellMar>
            <w:top w:w="0" w:type="dxa"/>
            <w:left w:w="0" w:type="dxa"/>
            <w:bottom w:w="0" w:type="dxa"/>
            <w:right w:w="0" w:type="dxa"/>
          </w:tblCellMar>
        </w:tblPrEx>
        <w:trPr>
          <w:cantSplit/>
          <w:trHeight w:val="295" w:hRule="atLeast"/>
        </w:trPr>
        <w:tc>
          <w:tcPr>
            <w:tcW w:w="1633" w:type="pct"/>
            <w:vAlign w:val="center"/>
          </w:tcPr>
          <w:p>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pPr>
        <w:numPr>
          <w:ilvl w:val="0"/>
          <w:numId w:val="4"/>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8"/>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31"/>
        <w:gridCol w:w="2261"/>
        <w:gridCol w:w="6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2" w:type="pct"/>
            <w:tcBorders>
              <w:tl2br w:val="nil"/>
              <w:tr2bl w:val="nil"/>
            </w:tcBorders>
            <w:vAlign w:val="center"/>
          </w:tcPr>
          <w:p>
            <w:pPr>
              <w:adjustRightInd w:val="0"/>
              <w:snapToGrid w:val="0"/>
              <w:spacing w:after="0" w:line="240" w:lineRule="auto"/>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tbl>
      <w:tblPr>
        <w:tblStyle w:val="7"/>
        <w:tblpPr w:leftFromText="181" w:rightFromText="181" w:vertAnchor="page" w:horzAnchor="page" w:tblpXSpec="center" w:tblpY="15755"/>
        <w:tblW w:w="4849" w:type="pct"/>
        <w:jc w:val="center"/>
        <w:tblLayout w:type="autofit"/>
        <w:tblCellMar>
          <w:top w:w="0" w:type="dxa"/>
          <w:left w:w="0" w:type="dxa"/>
          <w:bottom w:w="0" w:type="dxa"/>
          <w:right w:w="0" w:type="dxa"/>
        </w:tblCellMar>
      </w:tblPr>
      <w:tblGrid>
        <w:gridCol w:w="1444"/>
        <w:gridCol w:w="1444"/>
        <w:gridCol w:w="1444"/>
        <w:gridCol w:w="1801"/>
        <w:gridCol w:w="1468"/>
        <w:gridCol w:w="2549"/>
      </w:tblGrid>
      <w:tr>
        <w:tblPrEx>
          <w:tblCellMar>
            <w:top w:w="0" w:type="dxa"/>
            <w:left w:w="0" w:type="dxa"/>
            <w:bottom w:w="0" w:type="dxa"/>
            <w:right w:w="0" w:type="dxa"/>
          </w:tblCellMar>
        </w:tblPrEx>
        <w:trPr>
          <w:cantSplit/>
          <w:trHeight w:val="442" w:hRule="atLeast"/>
          <w:jc w:val="center"/>
        </w:trPr>
        <w:tc>
          <w:tcPr>
            <w:tcW w:w="711" w:type="pct"/>
            <w:vAlign w:val="center"/>
          </w:tcPr>
          <w:p>
            <w:pPr>
              <w:pStyle w:val="12"/>
              <w:adjustRightInd w:val="0"/>
              <w:snapToGrid w:val="0"/>
              <w:spacing w:after="0" w:line="240" w:lineRule="auto"/>
              <w:ind w:left="13" w:right="95"/>
              <w:jc w:val="both"/>
              <w:rPr>
                <w:rFonts w:ascii="Times New Roman" w:hAnsi="Times New Roman" w:eastAsia="微软雅黑" w:cs="微软雅黑"/>
                <w:b/>
                <w:sz w:val="28"/>
                <w:szCs w:val="28"/>
              </w:rPr>
            </w:pPr>
            <w:r>
              <w:rPr>
                <w:rFonts w:ascii="Times New Roman" w:hAnsi="Times New Roman" w:eastAsia="微软雅黑" w:cs="微软雅黑"/>
                <w:b/>
                <w:sz w:val="28"/>
                <w:szCs w:val="28"/>
              </w:rPr>
              <w:t>检测人：</w:t>
            </w:r>
          </w:p>
        </w:tc>
        <w:tc>
          <w:tcPr>
            <w:tcW w:w="711" w:type="pct"/>
            <w:vAlign w:val="center"/>
          </w:tcPr>
          <w:p>
            <w:pPr>
              <w:pStyle w:val="12"/>
              <w:adjustRightInd w:val="0"/>
              <w:snapToGrid w:val="0"/>
              <w:spacing w:after="0" w:line="240" w:lineRule="auto"/>
              <w:ind w:left="13" w:right="95" w:firstLine="482"/>
              <w:jc w:val="both"/>
              <w:rPr>
                <w:rFonts w:ascii="Times New Roman" w:hAnsi="Times New Roman" w:eastAsia="微软雅黑" w:cs="微软雅黑"/>
                <w:b/>
                <w:sz w:val="28"/>
                <w:szCs w:val="28"/>
              </w:rPr>
            </w:pPr>
          </w:p>
        </w:tc>
        <w:tc>
          <w:tcPr>
            <w:tcW w:w="711" w:type="pct"/>
            <w:vAlign w:val="center"/>
          </w:tcPr>
          <w:p>
            <w:pPr>
              <w:pStyle w:val="12"/>
              <w:adjustRightInd w:val="0"/>
              <w:snapToGrid w:val="0"/>
              <w:spacing w:after="0" w:line="240" w:lineRule="auto"/>
              <w:ind w:left="13" w:right="95"/>
              <w:jc w:val="both"/>
              <w:rPr>
                <w:rFonts w:ascii="Times New Roman" w:hAnsi="Times New Roman" w:eastAsia="微软雅黑" w:cs="微软雅黑"/>
                <w:b/>
                <w:sz w:val="28"/>
                <w:szCs w:val="28"/>
              </w:rPr>
            </w:pPr>
            <w:r>
              <w:rPr>
                <w:rFonts w:ascii="Times New Roman" w:hAnsi="Times New Roman" w:eastAsia="微软雅黑" w:cs="微软雅黑"/>
                <w:b/>
                <w:sz w:val="28"/>
                <w:szCs w:val="28"/>
              </w:rPr>
              <w:t>复核人</w:t>
            </w:r>
            <w:r>
              <w:rPr>
                <w:rFonts w:hint="eastAsia" w:ascii="Times New Roman" w:hAnsi="Times New Roman" w:eastAsia="微软雅黑" w:cs="微软雅黑"/>
                <w:b/>
                <w:sz w:val="28"/>
                <w:szCs w:val="28"/>
                <w:lang w:eastAsia="zh-CN"/>
              </w:rPr>
              <w:t>：</w:t>
            </w:r>
          </w:p>
        </w:tc>
        <w:tc>
          <w:tcPr>
            <w:tcW w:w="887" w:type="pct"/>
            <w:vAlign w:val="center"/>
          </w:tcPr>
          <w:p>
            <w:pPr>
              <w:pStyle w:val="12"/>
              <w:adjustRightInd w:val="0"/>
              <w:snapToGrid w:val="0"/>
              <w:spacing w:after="0" w:line="240" w:lineRule="auto"/>
              <w:ind w:firstLine="562"/>
              <w:jc w:val="both"/>
              <w:rPr>
                <w:rFonts w:ascii="Times New Roman" w:hAnsi="Times New Roman" w:eastAsia="微软雅黑" w:cs="微软雅黑"/>
                <w:b/>
                <w:sz w:val="28"/>
                <w:szCs w:val="28"/>
              </w:rPr>
            </w:pPr>
          </w:p>
        </w:tc>
        <w:tc>
          <w:tcPr>
            <w:tcW w:w="723" w:type="pct"/>
            <w:vAlign w:val="center"/>
          </w:tcPr>
          <w:p>
            <w:pPr>
              <w:pStyle w:val="12"/>
              <w:adjustRightInd w:val="0"/>
              <w:snapToGrid w:val="0"/>
              <w:spacing w:after="0" w:line="240" w:lineRule="auto"/>
              <w:jc w:val="both"/>
              <w:rPr>
                <w:rFonts w:ascii="Times New Roman" w:hAnsi="Times New Roman" w:eastAsia="微软雅黑" w:cs="微软雅黑"/>
                <w:b/>
                <w:sz w:val="28"/>
                <w:szCs w:val="28"/>
                <w:lang w:eastAsia="zh-CN"/>
              </w:rPr>
            </w:pPr>
            <w:r>
              <w:rPr>
                <w:rFonts w:hint="eastAsia" w:ascii="Times New Roman" w:hAnsi="Times New Roman" w:eastAsia="微软雅黑" w:cs="微软雅黑"/>
                <w:b/>
                <w:sz w:val="28"/>
                <w:szCs w:val="28"/>
                <w:lang w:eastAsia="zh-CN"/>
              </w:rPr>
              <w:t>报告日期：</w:t>
            </w:r>
          </w:p>
        </w:tc>
        <w:tc>
          <w:tcPr>
            <w:tcW w:w="1255" w:type="pct"/>
            <w:vAlign w:val="center"/>
          </w:tcPr>
          <w:p>
            <w:pPr>
              <w:pStyle w:val="12"/>
              <w:adjustRightInd w:val="0"/>
              <w:snapToGrid w:val="0"/>
              <w:spacing w:after="0" w:line="240" w:lineRule="auto"/>
              <w:ind w:right="15" w:firstLine="562"/>
              <w:jc w:val="both"/>
              <w:rPr>
                <w:rFonts w:ascii="Times New Roman" w:hAnsi="Times New Roman" w:eastAsia="微软雅黑" w:cs="微软雅黑"/>
                <w:b/>
                <w:sz w:val="28"/>
                <w:szCs w:val="28"/>
              </w:rPr>
            </w:pPr>
            <w:r>
              <w:rPr>
                <w:rFonts w:hint="eastAsia" w:ascii="Times New Roman" w:hAnsi="Times New Roman" w:eastAsia="微软雅黑" w:cs="微软雅黑"/>
                <w:b/>
                <w:sz w:val="28"/>
                <w:szCs w:val="28"/>
                <w:lang w:eastAsia="zh-CN"/>
              </w:rPr>
              <w:t>{{reportdate}}</w:t>
            </w:r>
          </w:p>
        </w:tc>
      </w:tr>
    </w:tbl>
    <w:p>
      <w:pPr>
        <w:rPr>
          <w:rFonts w:ascii="Times New Roman" w:hAnsi="Times New Roman" w:eastAsia="微软雅黑" w:cs="微软雅黑"/>
          <w:sz w:val="24"/>
        </w:rPr>
      </w:pPr>
      <w:bookmarkStart w:id="10" w:name="_GoBack"/>
      <w:r>
        <w:rPr>
          <w:sz w:val="22"/>
        </w:rPr>
        <mc:AlternateContent>
          <mc:Choice Requires="wpg">
            <w:drawing>
              <wp:anchor distT="0" distB="0" distL="114300" distR="114300" simplePos="0" relativeHeight="251662336" behindDoc="0" locked="0" layoutInCell="1" allowOverlap="1">
                <wp:simplePos x="0" y="0"/>
                <wp:positionH relativeFrom="column">
                  <wp:posOffset>923290</wp:posOffset>
                </wp:positionH>
                <wp:positionV relativeFrom="page">
                  <wp:posOffset>9168765</wp:posOffset>
                </wp:positionV>
                <wp:extent cx="5363210" cy="1442720"/>
                <wp:effectExtent l="0" t="0" r="1270" b="5080"/>
                <wp:wrapNone/>
                <wp:docPr id="1" name="组合 1"/>
                <wp:cNvGraphicFramePr/>
                <a:graphic xmlns:a="http://schemas.openxmlformats.org/drawingml/2006/main">
                  <a:graphicData uri="http://schemas.microsoft.com/office/word/2010/wordprocessingGroup">
                    <wpg:wgp>
                      <wpg:cNvGrpSpPr/>
                      <wpg:grpSpPr>
                        <a:xfrm>
                          <a:off x="0" y="0"/>
                          <a:ext cx="5363210" cy="1442720"/>
                          <a:chOff x="15072" y="14722"/>
                          <a:chExt cx="8446" cy="2272"/>
                        </a:xfrm>
                      </wpg:grpSpPr>
                      <pic:pic xmlns:pic="http://schemas.openxmlformats.org/drawingml/2006/picture">
                        <pic:nvPicPr>
                          <pic:cNvPr id="30" name="图片 30"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072" y="15804"/>
                            <a:ext cx="1234" cy="715"/>
                          </a:xfrm>
                          <a:prstGeom prst="rect">
                            <a:avLst/>
                          </a:prstGeom>
                        </pic:spPr>
                      </pic:pic>
                      <pic:pic xmlns:pic="http://schemas.openxmlformats.org/drawingml/2006/picture">
                        <pic:nvPicPr>
                          <pic:cNvPr id="56" name="图片 34" descr="晓敏"/>
                          <pic:cNvPicPr>
                            <a:picLocks noChangeAspect="1"/>
                          </pic:cNvPicPr>
                        </pic:nvPicPr>
                        <pic:blipFill>
                          <a:blip r:embed="rId8">
                            <a:clrChange>
                              <a:clrFrom>
                                <a:srgbClr val="949FA1"/>
                              </a:clrFrom>
                              <a:clrTo>
                                <a:srgbClr val="949FA1">
                                  <a:alpha val="0"/>
                                </a:srgbClr>
                              </a:clrTo>
                            </a:clrChange>
                          </a:blip>
                          <a:srcRect l="34062" t="26445" r="34097" b="9325"/>
                          <a:stretch>
                            <a:fillRect/>
                          </a:stretch>
                        </pic:blipFill>
                        <pic:spPr>
                          <a:xfrm rot="16200000">
                            <a:off x="18523" y="15424"/>
                            <a:ext cx="560" cy="1475"/>
                          </a:xfrm>
                          <a:prstGeom prst="rect">
                            <a:avLst/>
                          </a:prstGeom>
                          <a:noFill/>
                          <a:ln>
                            <a:noFill/>
                          </a:ln>
                        </pic:spPr>
                      </pic:pic>
                      <pic:pic xmlns:pic="http://schemas.openxmlformats.org/drawingml/2006/picture">
                        <pic:nvPicPr>
                          <pic:cNvPr id="10"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246" y="14722"/>
                            <a:ext cx="2273" cy="2273"/>
                          </a:xfrm>
                          <a:prstGeom prst="rect">
                            <a:avLst/>
                          </a:prstGeom>
                          <a:noFill/>
                          <a:ln>
                            <a:noFill/>
                          </a:ln>
                        </pic:spPr>
                      </pic:pic>
                    </wpg:wgp>
                  </a:graphicData>
                </a:graphic>
              </wp:anchor>
            </w:drawing>
          </mc:Choice>
          <mc:Fallback>
            <w:pict>
              <v:group id="_x0000_s1026" o:spid="_x0000_s1026" o:spt="203" style="position:absolute;left:0pt;margin-left:72.7pt;margin-top:721.95pt;height:113.6pt;width:422.3pt;mso-position-vertical-relative:page;z-index:251662336;mso-width-relative:page;mso-height-relative:page;" coordorigin="15072,14722" coordsize="8446,2272" o:gfxdata="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FAAAAAgAh07iQOkNb4EPGQAAChkAABUAAABkcnMvbWVkaWEvaW1hZ2UyLmpwZWcBChn1&#10;5v/Y/+AAEEpGSUYAAQEBANwA3AAA/9sAQwAIBgYHBgUIBwcHCQkICgwUDQwLCwwZEhMPFB0aHx4d&#10;GhwcICQuJyAiLCMcHCg3KSwwMTQ0NB8nOT04MjwuMzQy/9sAQwEJCQkMCwwYDQ0YMiEcITIyMjIy&#10;MjIyMjIyMjIyMjIyMjIyMjIyMjIyMjIyMjIyMjIyMjIyMjIyMjIyMjIyMjIy/8AAEQgBXwEN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">
                <o:lock v:ext="edit" aspectratio="f"/>
                <v:shape id="_x0000_s1026" o:spid="_x0000_s1026" o:spt="75" alt="微信图片_20220215110121" type="#_x0000_t75" style="position:absolute;left:15072;top:15804;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7" grayscale="t" bilevel="t" chromakey="#A09D98" o:title=""/>
                  <o:lock v:ext="edit" aspectratio="t"/>
                </v:shape>
                <v:shape id="图片 34" o:spid="_x0000_s1026" o:spt="75" alt="晓敏" type="#_x0000_t75" style="position:absolute;left:18523;top:15424;height:1475;width:560;rotation:-5898240f;" filled="f" o:preferrelative="t" stroked="f" coordsize="21600,21600" o:gfxdata="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zVrvQAA&#10;ANsAAAAPAAAAAAAAAAEAIAAAACIAAABkcnMvZG93bnJldi54bWxQSwECFAAUAAAACACHTuJAMy8F&#10;njsAAAA5AAAAEAAAAAAAAAABACAAAAAMAQAAZHJzL3NoYXBleG1sLnhtbFBLBQYAAAAABgAGAFsB&#10;AAC2AwAAAAA=&#10;">
                  <v:fill on="f" focussize="0,0"/>
                  <v:stroke on="f"/>
                  <v:imagedata r:id="rId8" cropleft="22323f" croptop="17331f" cropright="22346f" cropbottom="6111f" chromakey="#949FA1" o:title=""/>
                  <o:lock v:ext="edit" aspectratio="t"/>
                </v:shape>
                <v:shape id="图片 1" o:spid="_x0000_s1026" o:spt="75" type="#_x0000_t75" style="position:absolute;left:21246;top:14722;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bookmarkEnd w:id="10"/>
      <w:r>
        <w:rPr>
          <w:rFonts w:ascii="Times New Roman" w:hAnsi="Times New Roman" w:eastAsia="微软雅黑" w:cs="微软雅黑"/>
          <w:sz w:val="24"/>
        </w:rPr>
        <w:br w:type="page"/>
      </w:r>
    </w:p>
    <w:p>
      <w:pPr>
        <w:pStyle w:val="2"/>
        <w:widowControl w:val="0"/>
        <w:numPr>
          <w:ilvl w:val="-1"/>
          <w:numId w:val="0"/>
        </w:numPr>
        <w:spacing w:after="0" w:line="240" w:lineRule="auto"/>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 w:name="_Toc13196_WPSOffice_Level1"/>
      <w:bookmarkStart w:id="2" w:name="_Toc1707_WPSOffice_Level1"/>
      <w:bookmarkStart w:id="3" w:name="_Toc21764_WPSOffice_Level1"/>
      <w:bookmarkStart w:id="4" w:name="_Toc2409"/>
      <w:bookmarkStart w:id="5" w:name="_Toc22658"/>
      <w:bookmarkStart w:id="6" w:name="_Toc27302"/>
      <w:bookmarkStart w:id="7" w:name="_Toc16594"/>
      <w:bookmarkStart w:id="8" w:name="_Toc12505"/>
      <w:bookmarkStart w:id="9" w:name="_Toc28240"/>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1"/>
      <w:bookmarkEnd w:id="2"/>
      <w:bookmarkEnd w:id="3"/>
      <w:bookmarkEnd w:id="4"/>
      <w:bookmarkEnd w:id="5"/>
      <w:bookmarkEnd w:id="6"/>
      <w:bookmarkEnd w:id="7"/>
      <w:bookmarkEnd w:id="8"/>
      <w:bookmarkEnd w:id="9"/>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eastAsia" w:ascii="Times New Roman" w:hAnsi="Times New Roman" w:eastAsia="微软雅黑" w:cs="Times New Roman"/>
          <w:sz w:val="18"/>
          <w:szCs w:val="18"/>
          <w:lang w:eastAsia="zh-CN"/>
        </w:rPr>
        <w:t>EGFR是原癌基因c-ERBB1的表达产物，是表皮生长因子受体（EGFR）家族的跨膜受体酪氨酸激酶之一。该蛋白由胞外的结合区、跨膜区及胞内区（包含酪氨酸激酶结构域）组成，通过与多种表皮生长因子结合，其自身发生二聚化并磷酸化，进而引发细胞内信号通路，影响细胞增殖等生物学过程。与EGFR相关的疾病包括肺癌、头颈部实体瘤、鳞状细胞癌、结直肠癌、鼻咽癌等。</w:t>
      </w:r>
    </w:p>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pPr>
        <w:keepNext w:val="0"/>
        <w:keepLines w:val="0"/>
        <w:widowControl/>
        <w:suppressLineNumbers w:val="0"/>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default" w:ascii="Times New Roman" w:hAnsi="Times New Roman" w:eastAsia="微软雅黑" w:cs="Times New Roman"/>
          <w:color w:val="000000"/>
          <w:kern w:val="0"/>
          <w:sz w:val="18"/>
          <w:szCs w:val="18"/>
          <w:lang w:val="en-US" w:eastAsia="zh-CN" w:bidi="ar"/>
        </w:rPr>
        <w:t>18-21外</w:t>
      </w:r>
      <w:r>
        <w:rPr>
          <w:rFonts w:hint="eastAsia" w:ascii="微软雅黑" w:hAnsi="微软雅黑" w:eastAsia="微软雅黑" w:cs="微软雅黑"/>
          <w:color w:val="000000"/>
          <w:kern w:val="0"/>
          <w:sz w:val="18"/>
          <w:szCs w:val="18"/>
          <w:lang w:val="en-US" w:eastAsia="zh-CN" w:bidi="ar"/>
        </w:rPr>
        <w:t>显子上的核苷酸突变，</w:t>
      </w:r>
      <w:r>
        <w:rPr>
          <w:rFonts w:ascii="微软雅黑" w:hAnsi="微软雅黑" w:eastAsia="微软雅黑" w:cs="微软雅黑"/>
          <w:color w:val="000000"/>
          <w:kern w:val="0"/>
          <w:sz w:val="18"/>
          <w:szCs w:val="18"/>
          <w:lang w:val="en-US" w:eastAsia="zh-CN" w:bidi="ar"/>
        </w:rPr>
        <w:t>导致</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蛋白的蛋白激酶结构域中氨基酸改变，</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激酶活性增加</w:t>
      </w:r>
      <w:r>
        <w:rPr>
          <w:rFonts w:hint="default" w:ascii="Times New Roman" w:hAnsi="Times New Roman" w:eastAsia="宋体" w:cs="Times New Roman"/>
          <w:color w:val="000000"/>
          <w:kern w:val="0"/>
          <w:sz w:val="18"/>
          <w:szCs w:val="18"/>
          <w:lang w:val="en-US" w:eastAsia="zh-CN" w:bidi="ar"/>
        </w:rPr>
        <w:t>[PMID: 23387505]</w:t>
      </w:r>
      <w:r>
        <w:rPr>
          <w:rFonts w:hint="eastAsia" w:ascii="微软雅黑" w:hAnsi="微软雅黑" w:eastAsia="微软雅黑" w:cs="微软雅黑"/>
          <w:color w:val="000000"/>
          <w:kern w:val="0"/>
          <w:sz w:val="18"/>
          <w:szCs w:val="18"/>
          <w:lang w:val="en-US" w:eastAsia="zh-CN" w:bidi="ar"/>
        </w:rPr>
        <w:t>。</w:t>
      </w:r>
    </w:p>
    <w:p>
      <w:pPr>
        <w:keepNext/>
        <w:spacing w:before="26" w:after="120" w:afterLines="50"/>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bCs/>
          <w:sz w:val="18"/>
          <w:szCs w:val="18"/>
          <w:lang w:eastAsia="zh-CN"/>
        </w:rPr>
        <w:t>潜在受益药物研究信息：</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Afatinib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携带非耐药表皮生长因子受体（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）患者的一线治疗（使用限制：阿法替尼对</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耐药突变患者的安全性和有效性尚未确定）；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铂类化疗后进展的转移性鳞状非小细胞肺癌的治疗。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），既往未接受过</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含铂化疗期间或化疗后疾病进展的局部晚期或转移性鳞状组织学类型的非小细胞肺癌（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厄洛替尼（</w:t>
      </w:r>
      <w:r>
        <w:rPr>
          <w:rFonts w:hint="default" w:ascii="Times New Roman" w:hAnsi="Times New Roman" w:eastAsia="微软雅黑" w:cs="Times New Roman"/>
          <w:sz w:val="18"/>
          <w:szCs w:val="18"/>
          <w:lang w:val="en-US" w:eastAsia="zh-CN" w:bidi="ar"/>
        </w:rPr>
        <w:t>Erlotinib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突变的转移性非小细胞肺癌患者的一线治疗、维持治疗，或既往接受过至少一次化疗进展后的二线及以上治疗（使用限制：</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对于其他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突变的非小细胞肺癌患者，厄洛替尼的安全性和有效性尚未确定；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厄洛替尼不推荐与铂类化疗联合使用）。</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批准厄洛替尼单药用于表皮生长因子受体（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）患者的治疗，包括一线治疗、维持治疗，或既往接受过至少一次化疗进展后的二线及以上治疗。</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吉非替尼（</w:t>
      </w:r>
      <w:r>
        <w:rPr>
          <w:rFonts w:hint="default" w:ascii="Times New Roman" w:hAnsi="Times New Roman" w:eastAsia="微软雅黑" w:cs="Times New Roman"/>
          <w:sz w:val="18"/>
          <w:szCs w:val="18"/>
          <w:lang w:val="en-US" w:eastAsia="zh-CN" w:bidi="ar"/>
        </w:rPr>
        <w:t>Gefitinib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突变的转移性非小细胞肺癌患者的一线治疗（使用限制：吉非替尼（</w:t>
      </w:r>
      <w:r>
        <w:rPr>
          <w:rFonts w:hint="default" w:ascii="Times New Roman" w:hAnsi="Times New Roman" w:eastAsia="微软雅黑" w:cs="Times New Roman"/>
          <w:sz w:val="18"/>
          <w:szCs w:val="18"/>
          <w:lang w:val="en-US" w:eastAsia="zh-CN" w:bidi="ar"/>
        </w:rPr>
        <w:t>IRESSA</w:t>
      </w:r>
      <w:r>
        <w:rPr>
          <w:rFonts w:hint="eastAsia" w:ascii="Times New Roman" w:hAnsi="Times New Roman" w:eastAsia="微软雅黑" w:cs="Times New Roman"/>
          <w:sz w:val="18"/>
          <w:szCs w:val="18"/>
          <w:lang w:val="en-US" w:eastAsia="zh-CN" w:bidi="ar"/>
        </w:rPr>
        <w:t>）的安全性和有效性在携带除</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突变外其他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突变的患者中未验证）。</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敏感突变的局部晚期或转移性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的一线治疗，可试用于治疗既往接受过至少一次化学治疗失败的局部晚期或转移性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埃克替尼（</w:t>
      </w:r>
      <w:r>
        <w:rPr>
          <w:rFonts w:hint="default" w:ascii="Times New Roman" w:hAnsi="Times New Roman" w:eastAsia="微软雅黑" w:cs="Times New Roman"/>
          <w:sz w:val="18"/>
          <w:szCs w:val="18"/>
          <w:lang w:val="en-US" w:eastAsia="zh-CN" w:bidi="ar"/>
        </w:rPr>
        <w:t>Icotinib</w:t>
      </w:r>
      <w:r>
        <w:rPr>
          <w:rFonts w:hint="eastAsia" w:ascii="Times New Roman" w:hAnsi="Times New Roman" w:eastAsia="微软雅黑" w:cs="Times New Roman"/>
          <w:sz w:val="18"/>
          <w:szCs w:val="18"/>
          <w:lang w:val="en-US" w:eastAsia="zh-CN" w:bidi="ar"/>
        </w:rPr>
        <w:t>）是一种酪氨酸激酶抑制剂，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批准埃克替尼单药用于治疗：</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既往接受过至少一个化疗方案失败后的局部晚期或转移性非小细胞肺癌（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），既往化疗主要是指以铂类为基础的联合化疗；</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Ⅱ</w:t>
      </w:r>
      <w:r>
        <w:rPr>
          <w:rFonts w:hint="default" w:ascii="Times New Roman" w:hAnsi="Times New Roman" w:eastAsia="微软雅黑" w:cs="Times New Roman"/>
          <w:sz w:val="18"/>
          <w:szCs w:val="18"/>
          <w:lang w:val="en-US" w:eastAsia="zh-CN" w:bidi="ar"/>
        </w:rPr>
        <w:t>-</w:t>
      </w:r>
      <w:r>
        <w:rPr>
          <w:rFonts w:hint="eastAsia" w:ascii="Times New Roman" w:hAnsi="Times New Roman" w:eastAsia="微软雅黑" w:cs="Times New Roman"/>
          <w:sz w:val="18"/>
          <w:szCs w:val="18"/>
          <w:lang w:val="en-US" w:eastAsia="zh-CN" w:bidi="ar"/>
        </w:rPr>
        <w:t>Ⅲ</w:t>
      </w:r>
      <w:r>
        <w:rPr>
          <w:rFonts w:hint="default" w:ascii="Times New Roman" w:hAnsi="Times New Roman" w:eastAsia="微软雅黑" w:cs="Times New Roman"/>
          <w:sz w:val="18"/>
          <w:szCs w:val="18"/>
          <w:lang w:val="en-US" w:eastAsia="zh-CN" w:bidi="ar"/>
        </w:rPr>
        <w:t>A</w:t>
      </w:r>
      <w:r>
        <w:rPr>
          <w:rFonts w:hint="eastAsia" w:ascii="Times New Roman" w:hAnsi="Times New Roman" w:eastAsia="微软雅黑" w:cs="Times New Roman"/>
          <w:sz w:val="18"/>
          <w:szCs w:val="18"/>
          <w:lang w:val="en-US" w:eastAsia="zh-CN" w:bidi="ar"/>
        </w:rPr>
        <w:t>期表皮生长因子受体（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）术后辅助治疗。</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w:t>
      </w:r>
      <w:r>
        <w:rPr>
          <w:rFonts w:hint="default" w:ascii="Times New Roman" w:hAnsi="Times New Roman" w:eastAsia="微软雅黑" w:cs="Times New Roman"/>
          <w:sz w:val="18"/>
          <w:szCs w:val="18"/>
          <w:lang w:val="en-US" w:eastAsia="zh-CN" w:bidi="ar"/>
        </w:rPr>
        <w:t>Osimertinib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转移性非小细胞肺癌患者中表皮生长因子受体（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治疗转移性</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突变阳性非小细胞肺癌，其疾病在</w:t>
      </w:r>
      <w:r>
        <w:rPr>
          <w:rFonts w:hint="default" w:ascii="Times New Roman" w:hAnsi="Times New Roman" w:eastAsia="微软雅黑" w:cs="Times New Roman"/>
          <w:sz w:val="18"/>
          <w:szCs w:val="18"/>
          <w:lang w:val="en-US" w:eastAsia="zh-CN" w:bidi="ar"/>
        </w:rPr>
        <w:t>EGFR TKI</w:t>
      </w:r>
      <w:r>
        <w:rPr>
          <w:rFonts w:hint="eastAsia" w:ascii="Times New Roman" w:hAnsi="Times New Roman" w:eastAsia="微软雅黑" w:cs="Times New Roman"/>
          <w:sz w:val="18"/>
          <w:szCs w:val="18"/>
          <w:lang w:val="en-US" w:eastAsia="zh-CN" w:bidi="ar"/>
        </w:rPr>
        <w:t>治疗中或治疗后进展；</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用于根治性肿瘤切除后且携带表皮生长因子受体（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）成人患者的辅助治疗。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）治疗时或治疗后出现疾病进展，并且经检测确认存在</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突变阳性的局部晚期或转移性非小细胞性肺癌（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）成人患者的治疗；</w:t>
      </w:r>
      <w:r>
        <w:rPr>
          <w:rFonts w:hint="default" w:ascii="Times New Roman" w:hAnsi="Times New Roman" w:eastAsia="微软雅黑" w:cs="Times New Roman"/>
          <w:sz w:val="18"/>
          <w:szCs w:val="18"/>
          <w:lang w:val="en-US" w:eastAsia="zh-CN" w:bidi="ar"/>
        </w:rPr>
        <w:t>3.IB-IIIA</w:t>
      </w:r>
      <w:r>
        <w:rPr>
          <w:rFonts w:hint="eastAsia" w:ascii="Times New Roman" w:hAnsi="Times New Roman" w:eastAsia="微软雅黑" w:cs="Times New Roman"/>
          <w:sz w:val="18"/>
          <w:szCs w:val="18"/>
          <w:lang w:val="en-US" w:eastAsia="zh-CN" w:bidi="ar"/>
        </w:rPr>
        <w:t>期存在表皮生长因子受体（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）患者的治疗，患者须既往接受过手术切除治疗，并由医生决定接受或不接受辅助化疗。</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达可替尼（Dacomitinib）是一种激酶抑制剂，FDA批准用于携带EGFR 19号外显子缺失或EGFR 21号外显子L858R突变的非小细胞肺癌（NSCLC）患者的一线治疗。NMPA批准用于表皮生长因子受体（EGFR）19号外显子缺失突变或21号外显子L858R置换突变的局部晚期或转移性非小细胞肺癌（NSCLC）患者的一线治疗。</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雷莫西尤单抗（</w:t>
      </w:r>
      <w:r>
        <w:rPr>
          <w:rFonts w:hint="default" w:ascii="Times New Roman" w:hAnsi="Times New Roman" w:eastAsia="微软雅黑" w:cs="Times New Roman"/>
          <w:sz w:val="18"/>
          <w:szCs w:val="18"/>
          <w:lang w:val="en-US" w:eastAsia="zh-CN" w:bidi="ar"/>
        </w:rPr>
        <w:t>Ramucirumab</w:t>
      </w:r>
      <w:r>
        <w:rPr>
          <w:rFonts w:hint="eastAsia" w:ascii="Times New Roman" w:hAnsi="Times New Roman" w:eastAsia="微软雅黑" w:cs="Times New Roman"/>
          <w:sz w:val="18"/>
          <w:szCs w:val="18"/>
          <w:lang w:val="en-US" w:eastAsia="zh-CN" w:bidi="ar"/>
        </w:rPr>
        <w:t>）是一种</w:t>
      </w:r>
      <w:r>
        <w:rPr>
          <w:rFonts w:hint="default" w:ascii="Times New Roman" w:hAnsi="Times New Roman" w:eastAsia="微软雅黑" w:cs="Times New Roman"/>
          <w:sz w:val="18"/>
          <w:szCs w:val="18"/>
          <w:lang w:val="en-US" w:eastAsia="zh-CN" w:bidi="ar"/>
        </w:rPr>
        <w:t>VEGFR</w:t>
      </w:r>
      <w:r>
        <w:rPr>
          <w:rFonts w:hint="eastAsia" w:ascii="Times New Roman" w:hAnsi="Times New Roman" w:eastAsia="微软雅黑" w:cs="Times New Roman"/>
          <w:sz w:val="18"/>
          <w:szCs w:val="18"/>
          <w:lang w:val="en-US" w:eastAsia="zh-CN" w:bidi="ar"/>
        </w:rPr>
        <w:t>2拮抗剂，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批准与厄洛替尼联合用于一线治疗</w:t>
      </w:r>
      <w:r>
        <w:rPr>
          <w:rFonts w:hint="default" w:ascii="Times New Roman" w:hAnsi="Times New Roman" w:eastAsia="微软雅黑" w:cs="Times New Roman"/>
          <w:sz w:val="18"/>
          <w:szCs w:val="18"/>
          <w:lang w:val="en-US" w:eastAsia="zh-CN" w:bidi="ar"/>
        </w:rPr>
        <w:t>EGFR 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pPr>
        <w:bidi w:val="0"/>
        <w:ind w:firstLine="311" w:firstLineChars="0"/>
        <w:jc w:val="left"/>
        <w:rPr>
          <w:rFonts w:ascii="Times New Roman" w:hAnsi="Times New Roman" w:eastAsia="微软雅黑" w:cs="微软雅黑"/>
          <w:sz w:val="24"/>
        </w:rPr>
      </w:pPr>
      <w:r>
        <w:rPr>
          <w:rFonts w:hint="eastAsia" w:ascii="Times New Roman" w:hAnsi="Times New Roman" w:eastAsia="微软雅黑" w:cs="Times New Roman"/>
          <w:sz w:val="18"/>
          <w:szCs w:val="18"/>
          <w:lang w:val="en-US" w:eastAsia="zh-CN" w:bidi="ar"/>
        </w:rPr>
        <w:t>阿美替尼（</w:t>
      </w:r>
      <w:r>
        <w:rPr>
          <w:rFonts w:hint="default" w:ascii="Times New Roman" w:hAnsi="Times New Roman" w:eastAsia="微软雅黑" w:cs="Times New Roman"/>
          <w:sz w:val="18"/>
          <w:szCs w:val="18"/>
          <w:lang w:val="en-US" w:eastAsia="zh-CN" w:bidi="ar"/>
        </w:rPr>
        <w:t>Almonertinib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用于治疗既往经表皮生长因子受体（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）治疗进展，且</w:t>
      </w:r>
      <w:r>
        <w:rPr>
          <w:rFonts w:hint="default" w:ascii="Times New Roman" w:hAnsi="Times New Roman" w:eastAsia="微软雅黑" w:cs="Times New Roman"/>
          <w:sz w:val="18"/>
          <w:szCs w:val="18"/>
          <w:lang w:val="en-US" w:eastAsia="zh-CN" w:bidi="ar"/>
        </w:rPr>
        <w:t>T790M</w:t>
      </w:r>
      <w:r>
        <w:rPr>
          <w:rFonts w:hint="eastAsia" w:ascii="Times New Roman" w:hAnsi="Times New Roman" w:eastAsia="微软雅黑" w:cs="Times New Roman"/>
          <w:sz w:val="18"/>
          <w:szCs w:val="18"/>
          <w:lang w:val="en-US" w:eastAsia="zh-CN" w:bidi="ar"/>
        </w:rPr>
        <w:t>突变阳性的局部晚期或转移性非小细胞肺癌（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用于治疗具有表皮生长因子受体外显子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）置换突变的局部晚期或转移性非小细胞肺癌成人患者的一线治疗。</w:t>
      </w:r>
    </w:p>
    <w:sectPr>
      <w:headerReference r:id="rId5" w:type="default"/>
      <w:pgSz w:w="11906" w:h="16838"/>
      <w:pgMar w:top="720" w:right="720" w:bottom="720" w:left="720" w:header="397"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Bdr>
        <w:bottom w:val="none" w:color="auto" w:sz="0" w:space="1"/>
      </w:pBdr>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6A0900"/>
    <w:rsid w:val="000E07BA"/>
    <w:rsid w:val="00121F61"/>
    <w:rsid w:val="001504C3"/>
    <w:rsid w:val="001553BF"/>
    <w:rsid w:val="001A31B2"/>
    <w:rsid w:val="001B7259"/>
    <w:rsid w:val="002548E7"/>
    <w:rsid w:val="0028308E"/>
    <w:rsid w:val="005910F5"/>
    <w:rsid w:val="005D26F8"/>
    <w:rsid w:val="00697038"/>
    <w:rsid w:val="006A0900"/>
    <w:rsid w:val="006B302B"/>
    <w:rsid w:val="006D792A"/>
    <w:rsid w:val="007D3F98"/>
    <w:rsid w:val="0081661B"/>
    <w:rsid w:val="008F3D57"/>
    <w:rsid w:val="00A63159"/>
    <w:rsid w:val="00AA7B4D"/>
    <w:rsid w:val="00C12EE8"/>
    <w:rsid w:val="00C23AEC"/>
    <w:rsid w:val="00D478F9"/>
    <w:rsid w:val="00DC58A1"/>
    <w:rsid w:val="00DF3B5A"/>
    <w:rsid w:val="00E57432"/>
    <w:rsid w:val="00F73E15"/>
    <w:rsid w:val="00FB52A6"/>
    <w:rsid w:val="01E3453D"/>
    <w:rsid w:val="02564BEC"/>
    <w:rsid w:val="035B2285"/>
    <w:rsid w:val="04101BD3"/>
    <w:rsid w:val="097A0A0D"/>
    <w:rsid w:val="0A98754E"/>
    <w:rsid w:val="10BE2893"/>
    <w:rsid w:val="10DB3DCF"/>
    <w:rsid w:val="1CCB2491"/>
    <w:rsid w:val="1D933DCC"/>
    <w:rsid w:val="204A1E0F"/>
    <w:rsid w:val="2CA434C2"/>
    <w:rsid w:val="2CBA6E83"/>
    <w:rsid w:val="2D111678"/>
    <w:rsid w:val="3588786E"/>
    <w:rsid w:val="36F640BD"/>
    <w:rsid w:val="39B77B2A"/>
    <w:rsid w:val="3A492CAA"/>
    <w:rsid w:val="3AC2740B"/>
    <w:rsid w:val="4402176D"/>
    <w:rsid w:val="48537D67"/>
    <w:rsid w:val="48EF09A8"/>
    <w:rsid w:val="490715C7"/>
    <w:rsid w:val="49A80879"/>
    <w:rsid w:val="4D0E360F"/>
    <w:rsid w:val="4D571467"/>
    <w:rsid w:val="507B51AA"/>
    <w:rsid w:val="51E50A2A"/>
    <w:rsid w:val="530D413B"/>
    <w:rsid w:val="5337495B"/>
    <w:rsid w:val="613F2DC8"/>
    <w:rsid w:val="6145674B"/>
    <w:rsid w:val="614C5871"/>
    <w:rsid w:val="616A0F43"/>
    <w:rsid w:val="6A235853"/>
    <w:rsid w:val="6B232928"/>
    <w:rsid w:val="700B1E0D"/>
    <w:rsid w:val="76212A0E"/>
    <w:rsid w:val="78FD59D4"/>
    <w:rsid w:val="7AE43FA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next w:val="1"/>
    <w:autoRedefine/>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1"/>
    <w:autoRedefine/>
    <w:unhideWhenUsed/>
    <w:qFormat/>
    <w:uiPriority w:val="99"/>
    <w:pPr>
      <w:tabs>
        <w:tab w:val="center" w:pos="4153"/>
        <w:tab w:val="right" w:pos="8306"/>
      </w:tabs>
      <w:snapToGrid w:val="0"/>
    </w:pPr>
    <w:rPr>
      <w:sz w:val="18"/>
      <w:szCs w:val="18"/>
    </w:rPr>
  </w:style>
  <w:style w:type="paragraph" w:styleId="4">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HTML Preformatted"/>
    <w:basedOn w:val="1"/>
    <w:link w:val="13"/>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eastAsia="宋体" w:cs="宋体"/>
      <w:sz w:val="24"/>
      <w:szCs w:val="24"/>
    </w:rPr>
  </w:style>
  <w:style w:type="paragraph" w:styleId="6">
    <w:name w:val="Normal (Web)"/>
    <w:basedOn w:val="1"/>
    <w:unhideWhenUsed/>
    <w:qFormat/>
    <w:uiPriority w:val="99"/>
    <w:pPr>
      <w:spacing w:before="100" w:beforeAutospacing="1" w:after="100" w:afterAutospacing="1" w:line="240" w:lineRule="auto"/>
    </w:pPr>
    <w:rPr>
      <w:rFonts w:ascii="宋体" w:hAnsi="宋体" w:eastAsia="宋体" w:cs="宋体"/>
      <w:sz w:val="24"/>
      <w:szCs w:val="24"/>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0">
    <w:name w:val="页眉 Char"/>
    <w:basedOn w:val="9"/>
    <w:link w:val="4"/>
    <w:qFormat/>
    <w:uiPriority w:val="99"/>
    <w:rPr>
      <w:sz w:val="18"/>
      <w:szCs w:val="18"/>
    </w:rPr>
  </w:style>
  <w:style w:type="character" w:customStyle="1" w:styleId="11">
    <w:name w:val="页脚 Char"/>
    <w:basedOn w:val="9"/>
    <w:link w:val="3"/>
    <w:autoRedefine/>
    <w:qFormat/>
    <w:uiPriority w:val="99"/>
    <w:rPr>
      <w:sz w:val="18"/>
      <w:szCs w:val="18"/>
    </w:rPr>
  </w:style>
  <w:style w:type="paragraph" w:customStyle="1" w:styleId="12">
    <w:name w:val="Table Paragraph"/>
    <w:basedOn w:val="1"/>
    <w:qFormat/>
    <w:uiPriority w:val="0"/>
    <w:pPr>
      <w:widowControl w:val="0"/>
    </w:pPr>
    <w:rPr>
      <w:rFonts w:ascii="Calibri" w:hAnsi="Calibri"/>
      <w:lang w:eastAsia="en-US"/>
    </w:rPr>
  </w:style>
  <w:style w:type="character" w:customStyle="1" w:styleId="13">
    <w:name w:val="HTML 预设格式 Char"/>
    <w:basedOn w:val="9"/>
    <w:link w:val="5"/>
    <w:autoRedefine/>
    <w:qFormat/>
    <w:uiPriority w:val="99"/>
    <w:rPr>
      <w:rFonts w:ascii="宋体" w:hAnsi="宋体" w:eastAsia="宋体" w:cs="宋体"/>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Pages>
  <Words>2067</Words>
  <Characters>3024</Characters>
  <Lines>1</Lines>
  <Paragraphs>1</Paragraphs>
  <TotalTime>0</TotalTime>
  <ScaleCrop>false</ScaleCrop>
  <LinksUpToDate>false</LinksUpToDate>
  <CharactersWithSpaces>3108</CharactersWithSpaces>
  <Application>WPS Office_12.1.0.16399_F1E327BC-269C-435d-A152-05C5408002CA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tassles-L</cp:lastModifiedBy>
  <dcterms:modified xsi:type="dcterms:W3CDTF">2024-03-06T07:22:12Z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2052-12.1.0.16399</vt:lpwstr>
  </property>
  <property fmtid="{D5CDD505-2E9C-101B-9397-08002B2CF9AE}" pid="3" name="ICV">
    <vt:lpwstr>23DDD540BBC1499582FEC03F15B8179A_13</vt:lpwstr>
  </property>
</Properties>
</file>