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4"/>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5407BA64">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454" w:footer="567" w:gutter="0"/>
          <w:pgBorders>
            <w:top w:val="none" w:sz="0" w:space="0"/>
            <w:left w:val="none" w:sz="0" w:space="0"/>
            <w:bottom w:val="none" w:sz="0" w:space="0"/>
            <w:right w:val="none" w:sz="0" w:space="0"/>
          </w:pgBorders>
          <w:pgNumType w:fmt="numberInDash" w:start="0" w:chapStyle="2"/>
          <w:cols w:space="0" w:num="1"/>
          <w:rtlGutter w:val="0"/>
          <w:docGrid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4"/>
        <w:tblW w:w="10381" w:type="dxa"/>
        <w:tblInd w:w="-91" w:type="dxa"/>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48"/>
        <w:gridCol w:w="604"/>
        <w:gridCol w:w="1210"/>
        <w:gridCol w:w="1417"/>
        <w:gridCol w:w="813"/>
        <w:gridCol w:w="1001"/>
        <w:gridCol w:w="1560"/>
        <w:gridCol w:w="1928"/>
      </w:tblGrid>
      <w:tr w14:paraId="6C0D4262">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18" w:space="0"/>
              <w:bottom w:val="single" w:color="auto" w:sz="4" w:space="0"/>
              <w:right w:val="single" w:color="auto"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814" w:type="dxa"/>
            <w:gridSpan w:val="2"/>
            <w:tcBorders>
              <w:top w:val="single" w:color="auto" w:sz="18" w:space="0"/>
              <w:left w:val="single" w:color="auto" w:sz="4" w:space="0"/>
              <w:bottom w:val="single" w:color="auto" w:sz="4" w:space="0"/>
              <w:right w:val="single" w:color="auto"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auto" w:sz="18" w:space="0"/>
              <w:left w:val="single" w:color="auto" w:sz="4" w:space="0"/>
              <w:bottom w:val="single" w:color="auto" w:sz="4" w:space="0"/>
              <w:right w:val="single" w:color="auto"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auto" w:sz="18" w:space="0"/>
              <w:left w:val="single" w:color="auto" w:sz="4" w:space="0"/>
              <w:bottom w:val="single" w:color="auto" w:sz="4" w:space="0"/>
              <w:right w:val="single" w:color="auto"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auto" w:sz="18" w:space="0"/>
              <w:left w:val="single" w:color="auto" w:sz="4" w:space="0"/>
              <w:bottom w:val="single" w:color="auto" w:sz="4" w:space="0"/>
              <w:right w:val="single" w:color="auto"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auto" w:sz="18" w:space="0"/>
              <w:left w:val="single" w:color="auto" w:sz="4" w:space="0"/>
              <w:bottom w:val="single" w:color="auto"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auto" w:sz="4" w:space="0"/>
              <w:left w:val="single" w:color="auto" w:sz="4" w:space="0"/>
              <w:bottom w:val="single" w:color="auto" w:sz="4" w:space="0"/>
              <w:right w:val="single" w:color="auto"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auto" w:sz="4" w:space="0"/>
              <w:left w:val="single" w:color="auto" w:sz="4" w:space="0"/>
              <w:bottom w:val="single" w:color="auto" w:sz="4" w:space="0"/>
              <w:right w:val="single" w:color="auto"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auto" w:sz="4" w:space="0"/>
              <w:left w:val="single" w:color="auto" w:sz="4" w:space="0"/>
              <w:bottom w:val="single" w:color="auto"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auto" w:sz="4" w:space="0"/>
              <w:left w:val="single" w:color="auto" w:sz="4" w:space="0"/>
              <w:bottom w:val="single" w:color="auto" w:sz="4" w:space="0"/>
              <w:right w:val="single" w:color="auto"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auto" w:sz="4" w:space="0"/>
              <w:left w:val="single" w:color="auto" w:sz="4" w:space="0"/>
              <w:bottom w:val="single" w:color="auto" w:sz="4" w:space="0"/>
              <w:right w:val="single" w:color="auto"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auto" w:sz="4" w:space="0"/>
              <w:left w:val="single" w:color="auto" w:sz="4" w:space="0"/>
              <w:bottom w:val="single" w:color="auto"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specimentype }}</w:t>
            </w:r>
          </w:p>
        </w:tc>
        <w:tc>
          <w:tcPr>
            <w:tcW w:w="1417" w:type="dxa"/>
            <w:tcBorders>
              <w:top w:val="single" w:color="auto" w:sz="4" w:space="0"/>
              <w:left w:val="single" w:color="auto" w:sz="4" w:space="0"/>
              <w:bottom w:val="single" w:color="auto" w:sz="4" w:space="0"/>
              <w:right w:val="single" w:color="auto"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auto" w:sz="4" w:space="0"/>
              <w:left w:val="single" w:color="auto" w:sz="4" w:space="0"/>
              <w:bottom w:val="single" w:color="auto" w:sz="4" w:space="0"/>
              <w:right w:val="single" w:color="auto"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auto" w:sz="4" w:space="0"/>
              <w:left w:val="single" w:color="auto" w:sz="4" w:space="0"/>
              <w:bottom w:val="single" w:color="auto"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6D2C3B6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宋体" w:hAnsi="宋体" w:eastAsia="宋体" w:cs="宋体"/>
                <w:b/>
                <w:bCs/>
                <w:color w:val="000000" w:themeColor="text1"/>
                <w:sz w:val="24"/>
                <w14:textFill>
                  <w14:solidFill>
                    <w14:schemeClr w14:val="tx1"/>
                  </w14:solidFill>
                </w14:textFill>
              </w:rPr>
              <w:t>样本接收日期</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微软雅黑" w:cs="Times New Roman"/>
                <w:bCs/>
                <w:color w:val="000000"/>
                <w:sz w:val="21"/>
                <w:szCs w:val="21"/>
                <w:lang w:eastAsia="zh-CN"/>
              </w:rPr>
              <w:t>{{ receiveddate }}</w:t>
            </w:r>
          </w:p>
        </w:tc>
        <w:tc>
          <w:tcPr>
            <w:tcW w:w="1417" w:type="dxa"/>
            <w:tcBorders>
              <w:top w:val="single" w:color="auto" w:sz="4" w:space="0"/>
              <w:left w:val="single" w:color="auto" w:sz="4" w:space="0"/>
              <w:bottom w:val="single" w:color="auto" w:sz="4" w:space="0"/>
              <w:right w:val="single" w:color="auto"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宋体" w:hAnsi="宋体" w:eastAsia="宋体" w:cs="宋体"/>
                <w:b/>
                <w:bCs/>
                <w:color w:val="000000" w:themeColor="text1"/>
                <w:sz w:val="24"/>
                <w14:textFill>
                  <w14:solidFill>
                    <w14:schemeClr w14:val="tx1"/>
                  </w14:solidFill>
                </w14:textFill>
              </w:rPr>
              <w:t>临床诊断</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auto" w:sz="4" w:space="0"/>
              <w:left w:val="single" w:color="auto" w:sz="4" w:space="0"/>
              <w:bottom w:val="single" w:color="auto" w:sz="4" w:space="0"/>
              <w:right w:val="single" w:color="auto"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auto" w:sz="4" w:space="0"/>
              <w:left w:val="single" w:color="auto" w:sz="4" w:space="0"/>
              <w:bottom w:val="single" w:color="auto"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533" w:type="dxa"/>
            <w:gridSpan w:val="7"/>
            <w:tcBorders>
              <w:top w:val="single" w:color="auto" w:sz="4" w:space="0"/>
              <w:left w:val="single" w:color="auto" w:sz="4" w:space="0"/>
              <w:bottom w:val="single" w:color="auto"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lang w:eastAsia="zh-CN"/>
              </w:rPr>
            </w:pPr>
            <w:r>
              <w:rPr>
                <w:rFonts w:hint="eastAsia" w:ascii="宋体" w:hAnsi="宋体" w:eastAsia="宋体" w:cs="宋体"/>
                <w:kern w:val="0"/>
                <w:sz w:val="24"/>
                <w:szCs w:val="24"/>
                <w:lang w:val="en-US" w:eastAsia="zh-CN"/>
              </w:rPr>
              <w:t>肿瘤定制化检测基础套餐（子宫内膜癌36基因）</w:t>
            </w:r>
          </w:p>
        </w:tc>
      </w:tr>
      <w:tr w14:paraId="553B48D5">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533" w:type="dxa"/>
            <w:gridSpan w:val="7"/>
            <w:tcBorders>
              <w:top w:val="single" w:color="auto" w:sz="4" w:space="0"/>
              <w:left w:val="single" w:color="auto" w:sz="4" w:space="0"/>
              <w:bottom w:val="single" w:color="auto"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eastAsia" w:ascii="宋体" w:hAnsi="宋体" w:eastAsia="宋体" w:cs="宋体"/>
                <w:kern w:val="0"/>
                <w:sz w:val="24"/>
                <w:szCs w:val="24"/>
                <w:lang w:val="en-US" w:eastAsia="zh-CN"/>
              </w:rPr>
              <w:t>检测36</w:t>
            </w:r>
            <w:r>
              <w:rPr>
                <w:rFonts w:hint="eastAsia" w:ascii="宋体" w:hAnsi="宋体" w:eastAsia="宋体" w:cs="宋体"/>
                <w:kern w:val="0"/>
                <w:sz w:val="24"/>
                <w:szCs w:val="24"/>
                <w:lang w:eastAsia="zh-CN"/>
              </w:rPr>
              <w:t>个基因，检测突变形式为点突变（SNV）、小片段插入缺失（INDEL）、拷贝数变异（CNV）以及融合（FUSION）。</w:t>
            </w:r>
          </w:p>
        </w:tc>
      </w:tr>
      <w:tr w14:paraId="0B1D9BE7">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18" w:space="0"/>
              <w:right w:val="single" w:color="auto"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检测方法</w:t>
            </w:r>
          </w:p>
        </w:tc>
        <w:tc>
          <w:tcPr>
            <w:tcW w:w="8533" w:type="dxa"/>
            <w:gridSpan w:val="7"/>
            <w:tcBorders>
              <w:top w:val="single" w:color="auto" w:sz="4" w:space="0"/>
              <w:left w:val="single" w:color="auto" w:sz="4" w:space="0"/>
              <w:bottom w:val="single" w:color="auto" w:sz="18"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kern w:val="0"/>
                <w:sz w:val="24"/>
                <w:szCs w:val="24"/>
                <w:lang w:eastAsia="zh-Hans"/>
              </w:rPr>
              <w:t>高通量测序法（NGS）</w:t>
            </w:r>
          </w:p>
        </w:tc>
      </w:tr>
      <w:tr w14:paraId="67466D84">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0381" w:type="dxa"/>
            <w:gridSpan w:val="8"/>
            <w:tcBorders>
              <w:top w:val="single" w:color="auto" w:sz="18" w:space="0"/>
              <w:bottom w:val="single" w:color="auto" w:sz="4" w:space="0"/>
            </w:tcBorders>
            <w:vAlign w:val="center"/>
          </w:tcPr>
          <w:p w14:paraId="49D4EA6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firstLine="157" w:firstLineChars="65"/>
              <w:jc w:val="left"/>
              <w:textAlignment w:val="auto"/>
              <w:rPr>
                <w:rFonts w:hint="default" w:ascii="Times New Roman" w:hAnsi="Times New Roman" w:eastAsia="宋体" w:cs="Times New Roman"/>
                <w:kern w:val="0"/>
                <w:sz w:val="24"/>
                <w:szCs w:val="24"/>
                <w:lang w:val="en-US" w:eastAsia="zh-CN"/>
              </w:rPr>
            </w:pPr>
            <w:r>
              <w:rPr>
                <w:rFonts w:hint="eastAsia" w:ascii="Times New Roman" w:hAnsi="Times New Roman" w:eastAsia="宋体" w:cs="Times New Roman"/>
                <w:b/>
                <w:bCs/>
                <w:kern w:val="0"/>
                <w:sz w:val="24"/>
                <w:szCs w:val="24"/>
                <w:lang w:val="en-US" w:eastAsia="zh-CN"/>
              </w:rPr>
              <w:t>结果概览</w:t>
            </w:r>
          </w:p>
        </w:tc>
      </w:tr>
      <w:tr w14:paraId="54E0C0E8">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52" w:type="dxa"/>
            <w:gridSpan w:val="2"/>
            <w:tcBorders>
              <w:top w:val="single" w:color="auto" w:sz="4" w:space="0"/>
              <w:bottom w:val="single" w:color="auto" w:sz="4" w:space="0"/>
              <w:right w:val="nil"/>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1"/>
                <w:szCs w:val="21"/>
                <w:lang w:val="en-US" w:eastAsia="zh-CN"/>
              </w:rPr>
            </w:pPr>
            <w:r>
              <w:rPr>
                <w:rFonts w:hint="eastAsia" w:ascii="Times New Roman" w:hAnsi="Times New Roman" w:eastAsia="宋体" w:cs="Times New Roman"/>
                <w:b/>
                <w:color w:val="000000" w:themeColor="text1"/>
                <w:kern w:val="0"/>
                <w:sz w:val="21"/>
                <w:szCs w:val="21"/>
                <w:lang w:val="en-US" w:eastAsia="zh-CN"/>
                <w14:textFill>
                  <w14:solidFill>
                    <w14:schemeClr w14:val="tx1"/>
                  </w14:solidFill>
                </w14:textFill>
              </w:rPr>
              <w:t>项目分类</w:t>
            </w:r>
          </w:p>
        </w:tc>
        <w:tc>
          <w:tcPr>
            <w:tcW w:w="3440" w:type="dxa"/>
            <w:gridSpan w:val="3"/>
            <w:tcBorders>
              <w:top w:val="single" w:color="auto" w:sz="4" w:space="0"/>
              <w:left w:val="nil"/>
              <w:bottom w:val="single" w:color="auto" w:sz="4" w:space="0"/>
              <w:right w:val="nil"/>
            </w:tcBorders>
            <w:vAlign w:val="center"/>
          </w:tcPr>
          <w:p w14:paraId="4BAE66C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1"/>
                <w:szCs w:val="21"/>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1"/>
                <w:szCs w:val="21"/>
                <w:lang w:val="en-US" w:eastAsia="zh-CN"/>
                <w14:textFill>
                  <w14:solidFill>
                    <w14:schemeClr w14:val="tx1"/>
                  </w14:solidFill>
                </w14:textFill>
              </w:rPr>
              <w:t>检测项目</w:t>
            </w:r>
          </w:p>
        </w:tc>
        <w:tc>
          <w:tcPr>
            <w:tcW w:w="4489" w:type="dxa"/>
            <w:gridSpan w:val="3"/>
            <w:tcBorders>
              <w:top w:val="single" w:color="auto" w:sz="4" w:space="0"/>
              <w:left w:val="nil"/>
              <w:bottom w:val="single" w:color="auto" w:sz="4" w:space="0"/>
            </w:tcBorders>
            <w:vAlign w:val="center"/>
          </w:tcPr>
          <w:p w14:paraId="63AD472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1"/>
                <w:szCs w:val="21"/>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1"/>
                <w:szCs w:val="21"/>
                <w:lang w:val="en-US" w:eastAsia="zh-CN"/>
                <w14:textFill>
                  <w14:solidFill>
                    <w14:schemeClr w14:val="tx1"/>
                  </w14:solidFill>
                </w14:textFill>
              </w:rPr>
              <w:t>检测结果</w:t>
            </w:r>
          </w:p>
        </w:tc>
      </w:tr>
      <w:tr w14:paraId="424DDD8A">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9" w:hRule="atLeast"/>
        </w:trPr>
        <w:tc>
          <w:tcPr>
            <w:tcW w:w="2452" w:type="dxa"/>
            <w:gridSpan w:val="2"/>
            <w:tcBorders>
              <w:top w:val="single" w:color="auto" w:sz="4" w:space="0"/>
              <w:bottom w:val="single" w:color="auto" w:sz="4" w:space="0"/>
              <w:right w:val="nil"/>
            </w:tcBorders>
            <w:vAlign w:val="center"/>
          </w:tcPr>
          <w:p w14:paraId="5BD17112">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eastAsia" w:ascii="宋体" w:hAnsi="宋体" w:eastAsia="宋体" w:cs="宋体"/>
                <w:b w:val="0"/>
                <w:bCs/>
                <w:sz w:val="21"/>
                <w:szCs w:val="21"/>
                <w:lang w:eastAsia="zh-CN"/>
              </w:rPr>
            </w:pPr>
            <w:r>
              <w:rPr>
                <w:rFonts w:hint="eastAsia" w:ascii="宋体" w:hAnsi="宋体" w:eastAsia="宋体" w:cs="宋体"/>
                <w:b w:val="0"/>
                <w:bCs/>
                <w:color w:val="000000" w:themeColor="text1"/>
                <w:kern w:val="0"/>
                <w:sz w:val="21"/>
                <w:szCs w:val="21"/>
                <w:lang w:val="en-US" w:eastAsia="zh-CN"/>
                <w14:textFill>
                  <w14:solidFill>
                    <w14:schemeClr w14:val="tx1"/>
                  </w14:solidFill>
                </w14:textFill>
              </w:rPr>
              <w:t>子宫内膜癌分子分型</w:t>
            </w:r>
          </w:p>
        </w:tc>
        <w:tc>
          <w:tcPr>
            <w:tcW w:w="3440" w:type="dxa"/>
            <w:gridSpan w:val="3"/>
            <w:tcBorders>
              <w:top w:val="single" w:color="auto" w:sz="4" w:space="0"/>
              <w:left w:val="nil"/>
              <w:bottom w:val="single" w:color="auto" w:sz="4" w:space="0"/>
              <w:right w:val="nil"/>
            </w:tcBorders>
            <w:vAlign w:val="center"/>
          </w:tcPr>
          <w:p w14:paraId="5DA63A1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pPr>
            <w:r>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t>分子分型</w:t>
            </w:r>
          </w:p>
        </w:tc>
        <w:tc>
          <w:tcPr>
            <w:tcW w:w="4489" w:type="dxa"/>
            <w:gridSpan w:val="3"/>
            <w:tcBorders>
              <w:top w:val="single" w:color="auto" w:sz="4" w:space="0"/>
              <w:left w:val="nil"/>
              <w:bottom w:val="single" w:color="auto" w:sz="4" w:space="0"/>
            </w:tcBorders>
            <w:vAlign w:val="center"/>
          </w:tcPr>
          <w:p w14:paraId="5AB23CA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eastAsia" w:ascii="宋体" w:hAnsi="宋体" w:eastAsia="宋体" w:cs="宋体"/>
                <w:sz w:val="21"/>
                <w:szCs w:val="21"/>
                <w:highlight w:val="none"/>
                <w:lang w:val="en-US" w:eastAsia="zh-CN" w:bidi="ar-SA"/>
              </w:rPr>
            </w:pPr>
            <w:r>
              <w:rPr>
                <w:rFonts w:hint="eastAsia" w:ascii="宋体" w:hAnsi="宋体" w:eastAsia="宋体" w:cs="宋体"/>
                <w:sz w:val="21"/>
                <w:szCs w:val="21"/>
                <w:highlight w:val="none"/>
                <w:lang w:val="en-US" w:eastAsia="zh-CN" w:bidi="ar-SA"/>
              </w:rPr>
              <w:t>{{ summaryOfRresults.tcga }}</w:t>
            </w:r>
          </w:p>
        </w:tc>
      </w:tr>
      <w:tr w14:paraId="2964D7D2">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vMerge w:val="restart"/>
            <w:tcBorders>
              <w:top w:val="single" w:color="auto" w:sz="4" w:space="0"/>
              <w:bottom w:val="single" w:color="auto"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0" w:beforeLines="50" w:after="0" w:afterLines="50" w:line="216"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14:textFill>
                  <w14:solidFill>
                    <w14:schemeClr w14:val="tx1"/>
                  </w14:solidFill>
                </w14:textFill>
              </w:rPr>
            </w:pPr>
            <w:r>
              <w:rPr>
                <w:rFonts w:hint="eastAsia" w:ascii="宋体" w:hAnsi="宋体" w:eastAsia="宋体" w:cs="宋体"/>
                <w:b w:val="0"/>
                <w:bCs/>
                <w:kern w:val="0"/>
                <w:sz w:val="21"/>
                <w:szCs w:val="21"/>
                <w:lang w:val="en-US" w:eastAsia="zh-CN"/>
              </w:rPr>
              <w:t>基因组变异检测结果</w:t>
            </w:r>
          </w:p>
        </w:tc>
        <w:tc>
          <w:tcPr>
            <w:tcW w:w="3440" w:type="dxa"/>
            <w:gridSpan w:val="3"/>
            <w:tcBorders>
              <w:top w:val="single" w:color="auto" w:sz="4" w:space="0"/>
              <w:left w:val="nil"/>
              <w:bottom w:val="single" w:color="auto" w:sz="4" w:space="0"/>
              <w:right w:val="nil"/>
            </w:tcBorders>
            <w:vAlign w:val="center"/>
          </w:tcPr>
          <w:p w14:paraId="2A4F2F70">
            <w:pPr>
              <w:keepNext w:val="0"/>
              <w:keepLines w:val="0"/>
              <w:pageBreakBefore w:val="0"/>
              <w:widowControl w:val="0"/>
              <w:kinsoku/>
              <w:wordWrap/>
              <w:overflowPunct/>
              <w:topLinePunct w:val="0"/>
              <w:autoSpaceDE/>
              <w:autoSpaceDN/>
              <w:bidi w:val="0"/>
              <w:adjustRightInd/>
              <w:snapToGrid/>
              <w:spacing w:before="0" w:beforeLines="50" w:after="0" w:afterLines="50" w:line="216" w:lineRule="auto"/>
              <w:ind w:left="63" w:leftChars="30" w:right="63" w:rightChars="30"/>
              <w:jc w:val="left"/>
              <w:textAlignment w:val="auto"/>
              <w:rPr>
                <w:rFonts w:hint="eastAsia" w:ascii="宋体" w:hAnsi="宋体" w:eastAsia="宋体" w:cs="宋体"/>
                <w:b w:val="0"/>
                <w:bCs/>
                <w:kern w:val="0"/>
                <w:sz w:val="21"/>
                <w:szCs w:val="21"/>
                <w:lang w:val="en-US" w:eastAsia="zh-CN"/>
              </w:rPr>
            </w:pPr>
            <w:r>
              <w:rPr>
                <w:rFonts w:hint="eastAsia" w:ascii="宋体" w:hAnsi="宋体" w:eastAsia="宋体" w:cs="宋体"/>
                <w:b w:val="0"/>
                <w:bCs/>
                <w:kern w:val="0"/>
                <w:sz w:val="21"/>
                <w:szCs w:val="21"/>
                <w:lang w:val="en-US" w:eastAsia="zh-CN"/>
              </w:rPr>
              <w:t>明确/潜在临床意义的变异</w:t>
            </w:r>
          </w:p>
        </w:tc>
        <w:tc>
          <w:tcPr>
            <w:tcW w:w="4489" w:type="dxa"/>
            <w:gridSpan w:val="3"/>
            <w:tcBorders>
              <w:top w:val="single" w:color="auto" w:sz="4" w:space="0"/>
              <w:left w:val="nil"/>
              <w:bottom w:val="single" w:color="auto" w:sz="4" w:space="0"/>
            </w:tcBorders>
            <w:vAlign w:val="center"/>
          </w:tcPr>
          <w:p w14:paraId="0465A0D7">
            <w:pPr>
              <w:pStyle w:val="11"/>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57" w:leftChars="0" w:right="57" w:rightChars="0" w:firstLine="0" w:firstLineChars="0"/>
              <w:jc w:val="left"/>
              <w:textAlignment w:val="auto"/>
              <w:rPr>
                <w:rFonts w:hint="eastAsia" w:ascii="宋体" w:hAnsi="宋体" w:eastAsia="宋体" w:cs="宋体"/>
                <w:sz w:val="21"/>
                <w:szCs w:val="21"/>
                <w:highlight w:val="yellow"/>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cs="宋体"/>
                <w:sz w:val="21"/>
                <w:szCs w:val="21"/>
                <w:highlight w:val="none"/>
                <w:lang w:val="en-US" w:eastAsia="zh-CN"/>
              </w:rPr>
              <w:t>.replace(</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eastAsia" w:ascii="Times New Roman" w:hAnsi="Times New Roman" w:cs="Times New Roman"/>
                <w:sz w:val="21"/>
                <w:szCs w:val="21"/>
                <w:highlight w:val="none"/>
                <w:lang w:val="en-US"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w:t>
            </w:r>
            <w:r>
              <w:rPr>
                <w:rFonts w:hint="eastAsia" w:cs="宋体"/>
                <w:sz w:val="21"/>
                <w:szCs w:val="21"/>
                <w:highlight w:val="none"/>
                <w:lang w:val="en-US" w:eastAsia="zh-CN"/>
              </w:rPr>
              <w:t xml:space="preserve"> </w:t>
            </w:r>
            <w:r>
              <w:rPr>
                <w:rFonts w:hint="eastAsia" w:ascii="宋体" w:hAnsi="宋体" w:eastAsia="宋体" w:cs="宋体"/>
                <w:sz w:val="21"/>
                <w:szCs w:val="21"/>
                <w:highlight w:val="none"/>
                <w:lang w:val="en-US" w:eastAsia="zh-CN"/>
              </w:rPr>
              <w:t>endif</w:t>
            </w:r>
            <w:r>
              <w:rPr>
                <w:rFonts w:hint="eastAsia" w:cs="宋体"/>
                <w:sz w:val="21"/>
                <w:szCs w:val="21"/>
                <w:highlight w:val="none"/>
                <w:lang w:val="en-US" w:eastAsia="zh-CN"/>
              </w:rPr>
              <w:t xml:space="preserve"> </w:t>
            </w:r>
            <w:r>
              <w:rPr>
                <w:rFonts w:hint="eastAsia" w:ascii="宋体" w:hAnsi="宋体" w:eastAsia="宋体" w:cs="宋体"/>
                <w:sz w:val="21"/>
                <w:szCs w:val="21"/>
                <w:highlight w:val="none"/>
                <w:lang w:val="en-US" w:eastAsia="zh-CN"/>
              </w:rPr>
              <w:t>%}</w:t>
            </w:r>
          </w:p>
        </w:tc>
      </w:tr>
      <w:tr w14:paraId="1365BBD5">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vMerge w:val="continue"/>
            <w:tcBorders>
              <w:top w:val="single" w:color="auto" w:sz="4" w:space="0"/>
              <w:bottom w:val="single" w:color="auto" w:sz="4" w:space="0"/>
              <w:right w:val="nil"/>
            </w:tcBorders>
            <w:vAlign w:val="center"/>
          </w:tcPr>
          <w:p w14:paraId="6C77B9EA">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p>
        </w:tc>
        <w:tc>
          <w:tcPr>
            <w:tcW w:w="3440" w:type="dxa"/>
            <w:gridSpan w:val="3"/>
            <w:tcBorders>
              <w:top w:val="single" w:color="auto" w:sz="4" w:space="0"/>
              <w:left w:val="nil"/>
              <w:bottom w:val="single" w:color="auto" w:sz="4" w:space="0"/>
              <w:right w:val="nil"/>
            </w:tcBorders>
            <w:vAlign w:val="center"/>
          </w:tcPr>
          <w:p w14:paraId="076C67A1">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r>
              <w:rPr>
                <w:rFonts w:hint="eastAsia" w:ascii="宋体" w:hAnsi="宋体" w:eastAsia="宋体" w:cs="宋体"/>
                <w:b w:val="0"/>
                <w:bCs/>
                <w:kern w:val="0"/>
                <w:sz w:val="21"/>
                <w:szCs w:val="21"/>
                <w:lang w:val="en-US" w:eastAsia="zh-CN"/>
              </w:rPr>
              <w:t>临床意义不明的变异</w:t>
            </w:r>
          </w:p>
        </w:tc>
        <w:tc>
          <w:tcPr>
            <w:tcW w:w="4489" w:type="dxa"/>
            <w:gridSpan w:val="3"/>
            <w:tcBorders>
              <w:top w:val="single" w:color="auto" w:sz="4" w:space="0"/>
              <w:left w:val="nil"/>
              <w:bottom w:val="single" w:color="auto" w:sz="4" w:space="0"/>
            </w:tcBorders>
            <w:vAlign w:val="center"/>
          </w:tcPr>
          <w:p w14:paraId="13B36465">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57" w:leftChars="0" w:right="57" w:rightChars="0"/>
              <w:textAlignment w:val="auto"/>
              <w:rPr>
                <w:rFonts w:hint="default" w:ascii="宋体" w:hAnsi="宋体" w:eastAsia="宋体" w:cs="宋体"/>
                <w:sz w:val="21"/>
                <w:szCs w:val="21"/>
                <w:highlight w:val="none"/>
                <w:lang w:val="en-US" w:eastAsia="zh-CN"/>
              </w:rPr>
            </w:pPr>
            <w:r>
              <w:rPr>
                <w:rFonts w:hint="eastAsia"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cs="宋体"/>
                <w:sz w:val="21"/>
                <w:szCs w:val="21"/>
                <w:highlight w:val="none"/>
                <w:lang w:val="en-US" w:eastAsia="zh-CN"/>
              </w:rPr>
              <w:t>}}个{% else %}未见变异{% endif %}</w:t>
            </w:r>
          </w:p>
        </w:tc>
      </w:tr>
      <w:tr w14:paraId="5976F6BC">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vMerge w:val="continue"/>
            <w:tcBorders>
              <w:top w:val="single" w:color="auto" w:sz="4" w:space="0"/>
              <w:bottom w:val="single" w:color="auto" w:sz="4" w:space="0"/>
              <w:right w:val="nil"/>
            </w:tcBorders>
            <w:vAlign w:val="center"/>
          </w:tcPr>
          <w:p w14:paraId="14CCF506">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p>
        </w:tc>
        <w:tc>
          <w:tcPr>
            <w:tcW w:w="3440" w:type="dxa"/>
            <w:gridSpan w:val="3"/>
            <w:tcBorders>
              <w:top w:val="single" w:color="auto" w:sz="4" w:space="0"/>
              <w:left w:val="nil"/>
              <w:bottom w:val="single" w:color="auto" w:sz="4" w:space="0"/>
              <w:right w:val="nil"/>
            </w:tcBorders>
            <w:vAlign w:val="center"/>
          </w:tcPr>
          <w:p w14:paraId="6CB12D8B">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r>
              <w:rPr>
                <w:rFonts w:hint="eastAsia" w:ascii="宋体" w:hAnsi="宋体" w:eastAsia="宋体" w:cs="宋体"/>
                <w:b w:val="0"/>
                <w:bCs/>
                <w:kern w:val="0"/>
                <w:sz w:val="21"/>
                <w:szCs w:val="21"/>
                <w:lang w:val="en-US" w:eastAsia="zh-CN"/>
              </w:rPr>
              <w:t>遗传易感基因致病/可能致病突变</w:t>
            </w:r>
          </w:p>
        </w:tc>
        <w:tc>
          <w:tcPr>
            <w:tcW w:w="4489" w:type="dxa"/>
            <w:gridSpan w:val="3"/>
            <w:tcBorders>
              <w:top w:val="single" w:color="auto" w:sz="4" w:space="0"/>
              <w:left w:val="nil"/>
              <w:bottom w:val="single" w:color="auto" w:sz="4" w:space="0"/>
            </w:tcBorders>
            <w:vAlign w:val="center"/>
          </w:tcPr>
          <w:p w14:paraId="795C5780">
            <w:pPr>
              <w:pStyle w:val="28"/>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auto"/>
              <w:ind w:left="57" w:leftChars="0" w:right="57" w:rightChars="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cs="宋体"/>
                <w:sz w:val="21"/>
                <w:szCs w:val="21"/>
                <w:highlight w:val="none"/>
                <w:lang w:val="en-US" w:eastAsia="zh-CN"/>
              </w:rPr>
              <w:t>.replace(</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eastAsia" w:ascii="Times New Roman" w:hAnsi="Times New Roman" w:cs="Times New Roman"/>
                <w:sz w:val="21"/>
                <w:szCs w:val="21"/>
                <w:highlight w:val="none"/>
                <w:lang w:val="en-US"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70D3E870">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tcBorders>
              <w:top w:val="single" w:color="auto" w:sz="4" w:space="0"/>
              <w:bottom w:val="single" w:color="auto"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14:textFill>
                  <w14:solidFill>
                    <w14:schemeClr w14:val="tx1"/>
                  </w14:solidFill>
                </w14:textFill>
              </w:rPr>
            </w:pPr>
            <w:r>
              <w:rPr>
                <w:rFonts w:hint="eastAsia" w:ascii="宋体" w:hAnsi="宋体" w:eastAsia="宋体" w:cs="宋体"/>
                <w:b w:val="0"/>
                <w:bCs/>
                <w:color w:val="000000" w:themeColor="text1"/>
                <w:kern w:val="0"/>
                <w:sz w:val="21"/>
                <w:szCs w:val="21"/>
                <w:lang w:eastAsia="zh-CN"/>
                <w14:textFill>
                  <w14:solidFill>
                    <w14:schemeClr w14:val="tx1"/>
                  </w14:solidFill>
                </w14:textFill>
              </w:rPr>
              <w:t>免疫治疗相关</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结果</w:t>
            </w:r>
          </w:p>
        </w:tc>
        <w:tc>
          <w:tcPr>
            <w:tcW w:w="3440" w:type="dxa"/>
            <w:gridSpan w:val="3"/>
            <w:tcBorders>
              <w:top w:val="single" w:color="auto" w:sz="4" w:space="0"/>
              <w:left w:val="nil"/>
              <w:bottom w:val="single" w:color="auto" w:sz="4" w:space="0"/>
              <w:right w:val="nil"/>
            </w:tcBorders>
            <w:vAlign w:val="center"/>
          </w:tcPr>
          <w:p w14:paraId="4B10585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eastAsia" w:ascii="宋体" w:hAnsi="宋体" w:eastAsia="宋体" w:cs="宋体"/>
                <w:b w:val="0"/>
                <w:bCs/>
                <w:color w:val="000000" w:themeColor="text1"/>
                <w:kern w:val="0"/>
                <w:sz w:val="21"/>
                <w:szCs w:val="21"/>
                <w:lang w:eastAsia="zh-CN"/>
                <w14:textFill>
                  <w14:solidFill>
                    <w14:schemeClr w14:val="tx1"/>
                  </w14:solidFill>
                </w14:textFill>
              </w:rPr>
            </w:pPr>
            <w:r>
              <w:rPr>
                <w:rFonts w:hint="eastAsia" w:ascii="宋体" w:hAnsi="宋体" w:eastAsia="宋体" w:cs="宋体"/>
                <w:b w:val="0"/>
                <w:bCs/>
                <w:kern w:val="0"/>
                <w:sz w:val="21"/>
                <w:szCs w:val="21"/>
                <w:lang w:val="en-US" w:eastAsia="zh-CN"/>
              </w:rPr>
              <w:t>微卫星不稳定评估（MSI）</w:t>
            </w:r>
          </w:p>
        </w:tc>
        <w:tc>
          <w:tcPr>
            <w:tcW w:w="4489" w:type="dxa"/>
            <w:gridSpan w:val="3"/>
            <w:tcBorders>
              <w:top w:val="single" w:color="auto" w:sz="4" w:space="0"/>
              <w:left w:val="nil"/>
              <w:bottom w:val="single" w:color="auto" w:sz="4" w:space="0"/>
            </w:tcBorders>
            <w:vAlign w:val="center"/>
          </w:tcPr>
          <w:p w14:paraId="2C1DACE0">
            <w:pPr>
              <w:pStyle w:val="28"/>
              <w:keepNext w:val="0"/>
              <w:keepLines w:val="0"/>
              <w:pageBreakBefore w:val="0"/>
              <w:widowControl w:val="0"/>
              <w:kinsoku/>
              <w:wordWrap/>
              <w:overflowPunct/>
              <w:topLinePunct w:val="0"/>
              <w:autoSpaceDE/>
              <w:autoSpaceDN/>
              <w:bidi w:val="0"/>
              <w:adjustRightInd/>
              <w:snapToGrid/>
              <w:spacing w:line="240" w:lineRule="auto"/>
              <w:ind w:left="63" w:leftChars="30" w:right="63" w:rightChars="30"/>
              <w:jc w:val="left"/>
              <w:textAlignment w:val="auto"/>
              <w:rPr>
                <w:rFonts w:hint="eastAsia" w:ascii="宋体" w:hAnsi="宋体" w:eastAsia="宋体" w:cs="宋体"/>
                <w:b/>
                <w:color w:val="000000" w:themeColor="text1"/>
                <w:kern w:val="0"/>
                <w:sz w:val="21"/>
                <w:szCs w:val="21"/>
                <w:lang w:val="en-US" w:eastAsia="zh-CN"/>
                <w14:textFill>
                  <w14:solidFill>
                    <w14:schemeClr w14:val="tx1"/>
                  </w14:solidFill>
                </w14:textFill>
              </w:rPr>
            </w:pPr>
            <w:r>
              <w:rPr>
                <w:rFonts w:hint="eastAsia" w:ascii="宋体" w:hAnsi="宋体" w:eastAsia="宋体" w:cs="宋体"/>
                <w:sz w:val="21"/>
                <w:szCs w:val="21"/>
                <w:lang w:eastAsia="zh-CN"/>
              </w:rPr>
              <w:t>{{summaryOfRresults.msi_status_state}}</w:t>
            </w:r>
          </w:p>
        </w:tc>
      </w:tr>
      <w:tr w14:paraId="7E681B16">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5892" w:type="dxa"/>
            <w:gridSpan w:val="5"/>
            <w:tcBorders>
              <w:top w:val="single" w:color="auto" w:sz="4" w:space="0"/>
              <w:bottom w:val="single" w:color="auto" w:sz="18" w:space="0"/>
              <w:right w:val="nil"/>
            </w:tcBorders>
            <w:vAlign w:val="center"/>
          </w:tcPr>
          <w:p w14:paraId="24F5F94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14:textFill>
                  <w14:solidFill>
                    <w14:schemeClr w14:val="tx1"/>
                  </w14:solidFill>
                </w14:textFill>
              </w:rPr>
            </w:pPr>
            <w:r>
              <w:rPr>
                <w:rFonts w:hint="eastAsia" w:ascii="宋体" w:hAnsi="宋体" w:eastAsia="宋体" w:cs="宋体"/>
                <w:b w:val="0"/>
                <w:bCs/>
                <w:kern w:val="0"/>
                <w:sz w:val="21"/>
                <w:szCs w:val="21"/>
                <w:lang w:val="en-US" w:eastAsia="zh-CN"/>
              </w:rPr>
              <w:t>NGS 质量控制评估结果</w:t>
            </w:r>
          </w:p>
        </w:tc>
        <w:tc>
          <w:tcPr>
            <w:tcW w:w="4489" w:type="dxa"/>
            <w:gridSpan w:val="3"/>
            <w:tcBorders>
              <w:top w:val="single" w:color="auto" w:sz="4" w:space="0"/>
              <w:left w:val="nil"/>
              <w:bottom w:val="single" w:color="auto" w:sz="18" w:space="0"/>
            </w:tcBorders>
            <w:vAlign w:val="center"/>
          </w:tcPr>
          <w:p w14:paraId="27259924">
            <w:pPr>
              <w:keepNext w:val="0"/>
              <w:keepLines w:val="0"/>
              <w:pageBreakBefore w:val="0"/>
              <w:widowControl w:val="0"/>
              <w:kinsoku/>
              <w:wordWrap/>
              <w:overflowPunct/>
              <w:topLinePunct w:val="0"/>
              <w:autoSpaceDE/>
              <w:autoSpaceDN/>
              <w:bidi w:val="0"/>
              <w:adjustRightInd/>
              <w:snapToGrid/>
              <w:spacing w:before="0" w:beforeLines="50" w:after="0" w:afterLines="50" w:line="240" w:lineRule="auto"/>
              <w:ind w:left="63" w:leftChars="30" w:right="63" w:rightChars="30"/>
              <w:jc w:val="left"/>
              <w:textAlignment w:val="auto"/>
              <w:rPr>
                <w:rFonts w:hint="eastAsia" w:ascii="宋体" w:hAnsi="宋体" w:eastAsia="宋体" w:cs="宋体"/>
                <w:b/>
                <w:color w:val="000000" w:themeColor="text1"/>
                <w:kern w:val="0"/>
                <w:sz w:val="21"/>
                <w:szCs w:val="21"/>
                <w:lang w:val="en-US" w:eastAsia="zh-CN"/>
                <w14:textFill>
                  <w14:solidFill>
                    <w14:schemeClr w14:val="tx1"/>
                  </w14:solidFill>
                </w14:textFill>
              </w:rPr>
            </w:pPr>
            <w:r>
              <w:rPr>
                <w:rFonts w:hint="eastAsia" w:ascii="宋体" w:hAnsi="宋体" w:eastAsia="宋体" w:cs="宋体"/>
                <w:sz w:val="21"/>
                <w:szCs w:val="21"/>
                <w:lang w:eastAsia="zh-CN"/>
              </w:rPr>
              <w:t>{{ overall_quality_assessment }}</w:t>
            </w:r>
          </w:p>
        </w:tc>
      </w:tr>
      <w:tr w14:paraId="062963F8">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6" w:hRule="atLeast"/>
        </w:trPr>
        <w:tc>
          <w:tcPr>
            <w:tcW w:w="10381" w:type="dxa"/>
            <w:gridSpan w:val="8"/>
            <w:tcBorders>
              <w:top w:val="single" w:color="auto" w:sz="18" w:space="0"/>
              <w:bottom w:val="single" w:color="auto" w:sz="4" w:space="0"/>
            </w:tcBorders>
            <w:shd w:val="clear" w:color="auto" w:fill="auto"/>
            <w:vAlign w:val="center"/>
          </w:tcPr>
          <w:p w14:paraId="604D9AC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0C81AD4E">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2B9CE44E">
            <w:pPr>
              <w:keepNext w:val="0"/>
              <w:keepLines w:val="0"/>
              <w:pageBreakBefore w:val="0"/>
              <w:widowControl w:val="0"/>
              <w:kinsoku/>
              <w:wordWrap/>
              <w:overflowPunct/>
              <w:topLinePunct w:val="0"/>
              <w:autoSpaceDE/>
              <w:autoSpaceDN/>
              <w:bidi w:val="0"/>
              <w:adjustRightInd w:val="0"/>
              <w:snapToGrid w:val="0"/>
              <w:ind w:right="63" w:rightChars="30"/>
              <w:textAlignment w:val="auto"/>
              <w:rPr>
                <w:rFonts w:hint="default" w:ascii="Times New Roman" w:hAnsi="Times New Roman" w:eastAsia="宋体" w:cs="Times New Roman"/>
                <w:sz w:val="24"/>
                <w:szCs w:val="24"/>
              </w:rPr>
            </w:pPr>
          </w:p>
          <w:p w14:paraId="684CBFF2">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143134FD">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6D18A44D">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2EB9C135">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val="en-US" w:eastAsia="zh-CN"/>
              </w:rPr>
              <w:t xml:space="preserve">         </w:t>
            </w:r>
          </w:p>
          <w:p w14:paraId="64BDED29">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0381" w:type="dxa"/>
            <w:gridSpan w:val="8"/>
            <w:tcBorders>
              <w:top w:val="single" w:color="auto" w:sz="4" w:space="0"/>
            </w:tcBorders>
            <w:shd w:val="clear" w:color="auto" w:fill="auto"/>
            <w:vAlign w:val="center"/>
          </w:tcPr>
          <w:p w14:paraId="03398E00">
            <w:pPr>
              <w:pStyle w:val="20"/>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宋体" w:cs="Times New Roman"/>
          <w:sz w:val="24"/>
          <w:szCs w:val="24"/>
        </w:rPr>
      </w:pPr>
      <w:r>
        <w:rPr>
          <w:rFonts w:ascii="Times New Roman" w:hAnsi="Times New Roman" w:eastAsia="宋体" w:cs="Times New Roman"/>
          <w:sz w:val="24"/>
          <w:szCs w:val="24"/>
        </w:rPr>
        <w:br w:type="page"/>
      </w:r>
    </w:p>
    <w:p w14:paraId="64748C25">
      <w:pPr>
        <w:keepNext w:val="0"/>
        <w:keepLines w:val="0"/>
        <w:pageBreakBefore w:val="0"/>
        <w:widowControl w:val="0"/>
        <w:kinsoku/>
        <w:wordWrap/>
        <w:overflowPunct/>
        <w:topLinePunct w:val="0"/>
        <w:autoSpaceDE/>
        <w:autoSpaceDN/>
        <w:bidi w:val="0"/>
        <w:adjustRightInd/>
        <w:snapToGrid/>
        <w:spacing w:before="2497" w:beforeLines="800" w:line="720" w:lineRule="auto"/>
        <w:textAlignment w:val="auto"/>
        <w:rPr>
          <w:rFonts w:hint="eastAsia" w:ascii="宋体" w:hAnsi="宋体" w:eastAsia="宋体" w:cs="宋体"/>
          <w:b/>
          <w:color w:val="18CF96"/>
          <w:sz w:val="28"/>
          <w:szCs w:val="24"/>
          <w:u w:color="006CB6"/>
          <w:lang w:val="zh-Hans"/>
        </w:rPr>
        <w:sectPr>
          <w:footerReference r:id="rId9" w:type="default"/>
          <w:pgSz w:w="11906" w:h="16838"/>
          <w:pgMar w:top="1440" w:right="726" w:bottom="1440" w:left="1298" w:header="454" w:footer="567" w:gutter="0"/>
          <w:pgBorders>
            <w:top w:val="none" w:sz="0" w:space="0"/>
            <w:left w:val="none" w:sz="0" w:space="0"/>
            <w:bottom w:val="none" w:sz="0" w:space="0"/>
            <w:right w:val="none" w:sz="0" w:space="0"/>
          </w:pgBorders>
          <w:pgNumType w:fmt="decimal" w:start="1" w:chapStyle="2"/>
          <w:cols w:space="0" w:num="1"/>
          <w:rtlGutter w:val="0"/>
          <w:docGrid w:linePitch="312" w:charSpace="0"/>
        </w:sectPr>
      </w:pPr>
    </w:p>
    <w:p w14:paraId="5C5BD499">
      <w:pPr>
        <w:keepNext w:val="0"/>
        <w:keepLines w:val="0"/>
        <w:pageBreakBefore w:val="0"/>
        <w:widowControl w:val="0"/>
        <w:kinsoku/>
        <w:wordWrap/>
        <w:overflowPunct/>
        <w:topLinePunct w:val="0"/>
        <w:autoSpaceDE/>
        <w:autoSpaceDN/>
        <w:bidi w:val="0"/>
        <w:adjustRightInd/>
        <w:snapToGrid/>
        <w:spacing w:before="177" w:beforeLines="50" w:after="177" w:afterLines="50"/>
        <w:textAlignment w:val="auto"/>
        <w:rPr>
          <w:rFonts w:hint="eastAsia" w:ascii="宋体" w:hAnsi="宋体" w:eastAsia="宋体" w:cs="宋体"/>
          <w:b/>
          <w:color w:val="18CF96"/>
          <w:sz w:val="28"/>
          <w:szCs w:val="24"/>
          <w:u w:color="006CB6"/>
          <w:lang w:val="zh-Hans"/>
        </w:rPr>
      </w:pPr>
      <w:r>
        <w:rPr>
          <w:rFonts w:hint="eastAsia" w:ascii="宋体" w:hAnsi="宋体" w:eastAsia="宋体" w:cs="宋体"/>
          <w:b/>
          <w:color w:val="18CF96"/>
          <w:sz w:val="28"/>
          <w:szCs w:val="24"/>
          <w:u w:color="006CB6"/>
          <w:lang w:val="zh-Hans"/>
        </w:rPr>
        <w:t>检测结果及详细解析</w:t>
      </w:r>
    </w:p>
    <w:p w14:paraId="23FF8760">
      <w:pPr>
        <w:keepNext w:val="0"/>
        <w:keepLines w:val="0"/>
        <w:pageBreakBefore w:val="0"/>
        <w:widowControl w:val="0"/>
        <w:kinsoku/>
        <w:wordWrap/>
        <w:overflowPunct/>
        <w:topLinePunct w:val="0"/>
        <w:autoSpaceDE/>
        <w:autoSpaceDN/>
        <w:bidi w:val="0"/>
        <w:adjustRightInd/>
        <w:snapToGrid/>
        <w:spacing w:before="157" w:beforeLines="50" w:after="157" w:afterLines="50" w:line="240" w:lineRule="auto"/>
        <w:textAlignment w:val="auto"/>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990" name="同侧圆角矩形 990"/>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Rt9KpNgAAAAEAQAADwAAAAAAAAABACAAAAAiAAAAZHJzL2Rvd25yZXYueG1sUEsBAhQAFAAAAAgA&#10;h07iQGgl50qXAgAAHAUAAA4AAAAAAAAAAQAgAAAAJwEAAGRycy9lMm9Eb2MueG1sUEsFBgAAAAAG&#10;AAYAWQEAADA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v:textbox>
                <w10:wrap type="none"/>
                <w10:anchorlock/>
              </v:shape>
            </w:pict>
          </mc:Fallback>
        </mc:AlternateContent>
      </w:r>
    </w:p>
    <w:p w14:paraId="29DA0E1B">
      <w:pPr>
        <w:jc w:val="both"/>
        <w:rPr>
          <w:rFonts w:hint="eastAsia" w:ascii="宋体" w:hAnsi="宋体" w:eastAsia="宋体" w:cs="宋体"/>
          <w:b/>
          <w:bCs/>
          <w:sz w:val="15"/>
          <w:szCs w:val="15"/>
          <w:highlight w:val="none"/>
          <w:lang w:eastAsia="zh-CN"/>
        </w:rPr>
      </w:pPr>
    </w:p>
    <w:tbl>
      <w:tblPr>
        <w:tblStyle w:val="13"/>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564"/>
        <w:gridCol w:w="7299"/>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nil"/>
              <w:bottom w:val="single" w:color="auto" w:sz="4" w:space="0"/>
              <w:right w:val="nil"/>
            </w:tcBorders>
            <w:shd w:val="clear" w:color="auto" w:fill="00D392"/>
            <w:vAlign w:val="center"/>
          </w:tcPr>
          <w:p w14:paraId="0061701D">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检测项目</w:t>
            </w:r>
          </w:p>
        </w:tc>
        <w:tc>
          <w:tcPr>
            <w:tcW w:w="7299" w:type="dxa"/>
            <w:tcBorders>
              <w:top w:val="nil"/>
              <w:left w:val="nil"/>
              <w:bottom w:val="single" w:color="auto" w:sz="4" w:space="0"/>
            </w:tcBorders>
            <w:shd w:val="clear" w:color="auto" w:fill="00D392"/>
            <w:vAlign w:val="center"/>
          </w:tcPr>
          <w:p w14:paraId="47BA4C0E">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single" w:color="auto" w:sz="4" w:space="0"/>
              <w:bottom w:val="single" w:color="auto" w:sz="4" w:space="0"/>
              <w:right w:val="nil"/>
            </w:tcBorders>
            <w:shd w:val="clear" w:color="auto" w:fill="auto"/>
            <w:vAlign w:val="center"/>
          </w:tcPr>
          <w:p w14:paraId="750775B7">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分子分型</w:t>
            </w:r>
          </w:p>
        </w:tc>
        <w:tc>
          <w:tcPr>
            <w:tcW w:w="7299" w:type="dxa"/>
            <w:tcBorders>
              <w:top w:val="single" w:color="auto" w:sz="4" w:space="0"/>
              <w:left w:val="nil"/>
              <w:bottom w:val="single" w:color="auto" w:sz="4" w:space="0"/>
            </w:tcBorders>
            <w:shd w:val="clear" w:color="auto" w:fill="auto"/>
            <w:vAlign w:val="center"/>
          </w:tcPr>
          <w:p w14:paraId="573091EF">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summaryOfRresults.tcga }}</w:t>
            </w:r>
          </w:p>
        </w:tc>
      </w:tr>
    </w:tbl>
    <w:p w14:paraId="53CB529F">
      <w:pPr>
        <w:numPr>
          <w:ilvl w:val="0"/>
          <w:numId w:val="0"/>
        </w:numPr>
        <w:ind w:leftChars="0"/>
        <w:rPr>
          <w:rFonts w:hint="default" w:ascii="Times New Roman" w:hAnsi="Times New Roman" w:eastAsia="微软雅黑" w:cs="Times New Roman"/>
          <w:sz w:val="24"/>
          <w:szCs w:val="24"/>
          <w:lang w:eastAsia="zh-CN"/>
        </w:rPr>
      </w:pPr>
    </w:p>
    <w:p w14:paraId="726EA21D">
      <w:pPr>
        <w:numPr>
          <w:ilvl w:val="0"/>
          <w:numId w:val="0"/>
        </w:numPr>
        <w:ind w:leftChars="0"/>
        <w:rPr>
          <w:rFonts w:hint="default" w:ascii="Times New Roman" w:hAnsi="Times New Roman" w:eastAsia="微软雅黑" w:cs="Times New Roman"/>
          <w:sz w:val="24"/>
          <w:szCs w:val="24"/>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eastAsia" w:ascii="宋体" w:hAnsi="宋体" w:eastAsia="宋体" w:cs="宋体"/>
          <w:b/>
          <w:bCs/>
          <w:sz w:val="30"/>
          <w:highlight w:val="none"/>
          <w:lang w:eastAsia="zh-CN"/>
        </w:rPr>
      </w:pPr>
      <w:r>
        <w:rPr>
          <w:rFonts w:hint="eastAsia" w:ascii="宋体" w:hAnsi="宋体" w:eastAsia="宋体" w:cs="宋体"/>
          <w:b/>
          <w:bCs/>
          <w:sz w:val="18"/>
          <w:highlight w:val="none"/>
          <w:lang w:eastAsia="zh-CN"/>
        </w:rPr>
        <w:t>图：子宫内膜癌分子分型规则（参考NCCN Guidelines Version 3.2025 Endometrial Carcinoma）</w:t>
      </w:r>
    </w:p>
    <w:p w14:paraId="7E018E5C">
      <w:pPr>
        <w:rPr>
          <w:rFonts w:hint="eastAsia"/>
          <w:color w:val="00D392"/>
          <w:sz w:val="30"/>
          <w:lang w:eastAsia="zh-CN"/>
        </w:rPr>
      </w:pPr>
      <w:r>
        <w:rPr>
          <w:rFonts w:hint="eastAsia"/>
          <w:color w:val="00D392"/>
          <w:sz w:val="30"/>
          <w:lang w:eastAsia="zh-CN"/>
        </w:rPr>
        <w:br w:type="page"/>
      </w:r>
    </w:p>
    <w:p w14:paraId="687A5A1F">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bookmarkStart w:id="0" w:name="_Toc149837259"/>
      <w:bookmarkStart w:id="1" w:name="_Toc30305"/>
    </w:p>
    <w:p w14:paraId="5CC658F5">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54849E4A">
      <w:pPr>
        <w:jc w:val="left"/>
        <w:rPr>
          <w:rFonts w:hint="eastAsia" w:ascii="宋体" w:hAnsi="宋体" w:eastAsia="宋体" w:cs="宋体"/>
          <w:b/>
          <w:color w:val="18CF96"/>
          <w:szCs w:val="21"/>
          <w:lang w:val="zh-Hans"/>
        </w:rPr>
      </w:pPr>
    </w:p>
    <w:p w14:paraId="745D44A8">
      <w:pPr>
        <w:keepNext w:val="0"/>
        <w:keepLines w:val="0"/>
        <w:pageBreakBefore w:val="0"/>
        <w:widowControl w:val="0"/>
        <w:kinsoku/>
        <w:wordWrap/>
        <w:overflowPunct/>
        <w:topLinePunct w:val="0"/>
        <w:autoSpaceDE/>
        <w:autoSpaceDN/>
        <w:bidi w:val="0"/>
        <w:adjustRightInd/>
        <w:snapToGrid/>
        <w:spacing w:after="72" w:afterLines="20"/>
        <w:jc w:val="left"/>
        <w:textAlignment w:val="auto"/>
        <w:rPr>
          <w:rFonts w:hint="eastAsia" w:ascii="宋体" w:hAnsi="宋体" w:eastAsia="宋体" w:cs="宋体"/>
          <w:b/>
          <w:color w:val="18CF96"/>
          <w:szCs w:val="21"/>
          <w:lang w:val="zh-Hans" w:eastAsia="zh-CN"/>
        </w:rPr>
      </w:pPr>
      <w:r>
        <w:rPr>
          <w:rFonts w:hint="eastAsia" w:ascii="宋体" w:hAnsi="宋体" w:eastAsia="宋体" w:cs="宋体"/>
          <w:b/>
          <w:color w:val="18CF96"/>
          <w:szCs w:val="21"/>
          <w:lang w:val="zh-Hans"/>
        </w:rPr>
        <w:t>明确/潜在临床意义的基因变异（靶药）</w:t>
      </w:r>
    </w:p>
    <w:tbl>
      <w:tblPr>
        <w:tblStyle w:val="29"/>
        <w:tblW w:w="9864"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906"/>
        <w:gridCol w:w="1694"/>
        <w:gridCol w:w="1608"/>
        <w:gridCol w:w="937"/>
        <w:gridCol w:w="2507"/>
        <w:gridCol w:w="2212"/>
      </w:tblGrid>
      <w:tr w14:paraId="786B1AB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tblHeader/>
          <w:jc w:val="center"/>
        </w:trPr>
        <w:tc>
          <w:tcPr>
            <w:tcW w:w="459" w:type="pct"/>
            <w:shd w:val="clear" w:color="auto" w:fill="00D392"/>
            <w:vAlign w:val="center"/>
          </w:tcPr>
          <w:p w14:paraId="15607CC5">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变异分类</w:t>
            </w:r>
          </w:p>
        </w:tc>
        <w:tc>
          <w:tcPr>
            <w:tcW w:w="858" w:type="pct"/>
            <w:shd w:val="clear" w:color="auto" w:fill="00D392"/>
            <w:vAlign w:val="center"/>
          </w:tcPr>
          <w:p w14:paraId="68AAE5F8">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突变基因</w:t>
            </w:r>
          </w:p>
        </w:tc>
        <w:tc>
          <w:tcPr>
            <w:tcW w:w="815" w:type="pct"/>
            <w:shd w:val="clear" w:color="auto" w:fill="00D392"/>
            <w:vAlign w:val="center"/>
          </w:tcPr>
          <w:p w14:paraId="288938AF">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474" w:type="pct"/>
            <w:shd w:val="clear" w:color="auto" w:fill="00D392"/>
            <w:vAlign w:val="center"/>
          </w:tcPr>
          <w:p w14:paraId="26B822D5">
            <w:pPr>
              <w:pStyle w:val="28"/>
              <w:keepNext w:val="0"/>
              <w:keepLines w:val="0"/>
              <w:suppressLineNumbers w:val="0"/>
              <w:spacing w:before="0" w:beforeAutospacing="0" w:after="0" w:afterAutospacing="0"/>
              <w:ind w:left="0" w:right="0"/>
              <w:jc w:val="center"/>
              <w:rPr>
                <w:rFonts w:hint="eastAsia" w:ascii="宋体" w:hAnsi="宋体" w:eastAsia="宋体" w:cs="宋体"/>
                <w:b/>
                <w:bCs/>
                <w:color w:val="FFFFFF"/>
                <w:sz w:val="18"/>
                <w:szCs w:val="18"/>
                <w:lang w:eastAsia="zh-CN" w:bidi="ar"/>
              </w:rPr>
            </w:pPr>
            <w:r>
              <w:rPr>
                <w:rFonts w:hint="eastAsia" w:ascii="宋体" w:hAnsi="宋体" w:eastAsia="宋体" w:cs="宋体"/>
                <w:b/>
                <w:bCs/>
                <w:color w:val="FFFFFF"/>
                <w:sz w:val="18"/>
                <w:szCs w:val="18"/>
                <w:lang w:eastAsia="zh-CN" w:bidi="ar"/>
              </w:rPr>
              <w:t>变异丰度</w:t>
            </w:r>
          </w:p>
          <w:p w14:paraId="42142CB6">
            <w:pPr>
              <w:pStyle w:val="28"/>
              <w:keepNext w:val="0"/>
              <w:keepLines w:val="0"/>
              <w:suppressLineNumbers w:val="0"/>
              <w:spacing w:before="0" w:beforeAutospacing="0" w:after="0" w:afterAutospacing="0"/>
              <w:ind w:left="0" w:right="0"/>
              <w:jc w:val="center"/>
              <w:rPr>
                <w:rFonts w:hint="eastAsia" w:ascii="宋体" w:hAnsi="宋体" w:eastAsia="宋体" w:cs="宋体"/>
                <w:b/>
                <w:bCs/>
                <w:color w:val="FFFFFF"/>
                <w:sz w:val="18"/>
                <w:szCs w:val="18"/>
                <w:lang w:val="en-US" w:eastAsia="zh-CN" w:bidi="ar"/>
              </w:rPr>
            </w:pPr>
            <w:r>
              <w:rPr>
                <w:rFonts w:hint="eastAsia" w:ascii="宋体" w:hAnsi="宋体" w:eastAsia="宋体" w:cs="宋体"/>
                <w:b/>
                <w:bCs/>
                <w:color w:val="FFFFFF"/>
                <w:sz w:val="18"/>
                <w:szCs w:val="18"/>
                <w:lang w:val="en-US" w:eastAsia="zh-CN" w:bidi="ar"/>
              </w:rPr>
              <w:t>/拷贝数</w:t>
            </w:r>
          </w:p>
        </w:tc>
        <w:tc>
          <w:tcPr>
            <w:tcW w:w="1270" w:type="pct"/>
            <w:shd w:val="clear" w:color="auto" w:fill="00D392"/>
            <w:vAlign w:val="center"/>
          </w:tcPr>
          <w:p w14:paraId="0A99E90E">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21" w:type="pct"/>
            <w:shd w:val="clear" w:color="auto" w:fill="00D392"/>
            <w:vAlign w:val="center"/>
          </w:tcPr>
          <w:p w14:paraId="58D5CADF">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24387C8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6"/>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5B7AD0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6"/>
            <w:shd w:val="clear" w:color="auto" w:fill="auto"/>
            <w:vAlign w:val="center"/>
          </w:tcPr>
          <w:p w14:paraId="0EFA5F9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1020" w:hRule="atLeast"/>
          <w:jc w:val="center"/>
        </w:trPr>
        <w:tc>
          <w:tcPr>
            <w:tcW w:w="459" w:type="pct"/>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 xml:space="preserve">{%if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 xml:space="preserve"> != ‘基因融合’ or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4" w:type="pct"/>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6"/>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6"/>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628" w:hRule="atLeast"/>
          <w:jc w:val="center"/>
        </w:trPr>
        <w:tc>
          <w:tcPr>
            <w:tcW w:w="5000" w:type="pct"/>
            <w:gridSpan w:val="6"/>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6"/>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24CA85C0">
      <w:pPr>
        <w:keepNext w:val="0"/>
        <w:keepLines w:val="0"/>
        <w:pageBreakBefore w:val="0"/>
        <w:widowControl/>
        <w:suppressLineNumbers w:val="0"/>
        <w:kinsoku/>
        <w:wordWrap/>
        <w:overflowPunct/>
        <w:topLinePunct w:val="0"/>
        <w:autoSpaceDE/>
        <w:autoSpaceDN/>
        <w:bidi w:val="0"/>
        <w:adjustRightInd/>
        <w:snapToGrid/>
        <w:spacing w:before="36" w:beforeLines="1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D95E0F3">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53A6114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080E6B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4FB232B0">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0B403CB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6267E5FA">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05D0E50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w:t>
      </w:r>
    </w:p>
    <w:p w14:paraId="3CDB5992">
      <w:pPr>
        <w:rPr>
          <w:rFonts w:ascii="Times New Roman" w:hAnsi="Times New Roman" w:eastAsia="微软雅黑" w:cs="Times New Roman"/>
          <w:sz w:val="30"/>
          <w:szCs w:val="30"/>
          <w:lang w:eastAsia="zh-CN"/>
        </w:rPr>
      </w:pPr>
      <w:r>
        <w:rPr>
          <w:rFonts w:ascii="Times New Roman" w:hAnsi="Times New Roman" w:eastAsia="微软雅黑" w:cs="Times New Roman"/>
          <w:sz w:val="30"/>
          <w:szCs w:val="30"/>
          <w:lang w:eastAsia="zh-CN"/>
        </w:rPr>
        <w:br w:type="page"/>
      </w:r>
    </w:p>
    <w:p w14:paraId="1313DFF2">
      <w:pPr>
        <w:rPr>
          <w:sz w:val="28"/>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4B6FFBC">
      <w:pPr>
        <w:keepNext w:val="0"/>
        <w:keepLines w:val="0"/>
        <w:pageBreakBefore w:val="0"/>
        <w:widowControl w:val="0"/>
        <w:kinsoku/>
        <w:wordWrap/>
        <w:overflowPunct/>
        <w:topLinePunct w:val="0"/>
        <w:autoSpaceDE/>
        <w:autoSpaceDN/>
        <w:bidi w:val="0"/>
        <w:adjustRightInd/>
        <w:snapToGrid/>
        <w:spacing w:before="177" w:beforeLines="50"/>
        <w:textAlignment w:val="auto"/>
        <w:rPr>
          <w:rFonts w:ascii="Times New Roman" w:hAnsi="Times New Roman" w:eastAsia="微软雅黑" w:cs="黑体"/>
          <w:b/>
          <w:bCs/>
          <w:sz w:val="21"/>
          <w:szCs w:val="21"/>
          <w:highlight w:val="yellow"/>
          <w:lang w:eastAsia="zh-CN"/>
        </w:rPr>
      </w:pPr>
    </w:p>
    <w:tbl>
      <w:tblPr>
        <w:tblStyle w:val="29"/>
        <w:tblW w:w="9864"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tblHeader/>
          <w:jc w:val="center"/>
        </w:trPr>
        <w:tc>
          <w:tcPr>
            <w:tcW w:w="498" w:type="pct"/>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shd w:val="clear" w:color="auto" w:fill="00D392"/>
            <w:vAlign w:val="center"/>
          </w:tcPr>
          <w:p w14:paraId="387719B0">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shd w:val="clear" w:color="auto" w:fill="00D392"/>
            <w:vAlign w:val="center"/>
          </w:tcPr>
          <w:p w14:paraId="3BB43E24">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shd w:val="clear" w:color="auto" w:fill="00D392"/>
            <w:vAlign w:val="center"/>
          </w:tcPr>
          <w:p w14:paraId="73CCE6A3">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shd w:val="clear" w:color="auto" w:fill="00D392"/>
            <w:vAlign w:val="center"/>
          </w:tcPr>
          <w:p w14:paraId="6485F1D1">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shd w:val="clear" w:color="auto" w:fill="00D392"/>
            <w:vAlign w:val="center"/>
          </w:tcPr>
          <w:p w14:paraId="29833753">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1B32D41F">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w:t>
            </w:r>
          </w:p>
        </w:tc>
      </w:tr>
      <w:tr w14:paraId="5285BA3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498" w:type="pct"/>
            <w:shd w:val="clear" w:color="auto" w:fill="auto"/>
            <w:vAlign w:val="center"/>
          </w:tcPr>
          <w:p w14:paraId="2D00AB51">
            <w:pPr>
              <w:ind w:left="162" w:right="163"/>
              <w:jc w:val="center"/>
              <w:rPr>
                <w:rFonts w:hint="eastAsia" w:ascii="宋体" w:hAnsi="宋体" w:eastAsia="宋体" w:cs="宋体"/>
                <w:b w:val="0"/>
                <w:bCs/>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shd w:val="clear" w:color="auto" w:fill="auto"/>
            <w:vAlign w:val="center"/>
          </w:tcPr>
          <w:p w14:paraId="3E0FE17E">
            <w:pPr>
              <w:spacing w:before="2"/>
              <w:ind w:left="116" w:right="116"/>
              <w:jc w:val="center"/>
              <w:rPr>
                <w:rFonts w:hint="eastAsia" w:ascii="宋体" w:hAnsi="宋体" w:eastAsia="宋体" w:cs="宋体"/>
                <w:b w:val="0"/>
                <w:bCs/>
                <w:sz w:val="18"/>
                <w:szCs w:val="18"/>
                <w:highlight w:val="yellow"/>
                <w:lang w:eastAsia="zh-CN"/>
              </w:rPr>
            </w:pPr>
            <w:r>
              <w:rPr>
                <w:rFonts w:hint="eastAsia" w:ascii="宋体" w:hAnsi="宋体" w:eastAsia="宋体" w:cs="宋体"/>
                <w:b w:val="0"/>
                <w:bCs/>
                <w:sz w:val="18"/>
                <w:szCs w:val="18"/>
                <w:highlight w:val="none"/>
                <w:lang w:eastAsia="zh-CN"/>
              </w:rPr>
              <w:t>{{ tip.Transcript}}</w:t>
            </w:r>
          </w:p>
        </w:tc>
        <w:tc>
          <w:tcPr>
            <w:tcW w:w="831" w:type="pct"/>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150B05D0">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5" w:leftChars="0" w:hanging="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3.</w:t>
      </w:r>
      <w:r>
        <w:rPr>
          <w:rFonts w:hint="eastAsia" w:ascii="宋体" w:hAnsi="宋体" w:eastAsia="宋体" w:cs="宋体"/>
          <w:bCs/>
          <w:kern w:val="2"/>
          <w:sz w:val="13"/>
          <w:szCs w:val="13"/>
          <w:shd w:val="clear" w:color="auto" w:fill="FFFFFF"/>
          <w:lang w:val="en-US" w:eastAsia="zh-CN" w:bidi="ar-SA"/>
        </w:rPr>
        <w:t>突变频率：肿瘤样本检测的数据中，支持该基因位点变异的分子数占该位点总分子数的比例。突变频率可能因测序深度和肿瘤取样部位的不同存在差异。</w:t>
      </w:r>
    </w:p>
    <w:p w14:paraId="788A6619">
      <w:pPr>
        <w:rPr>
          <w:rFonts w:ascii="Times New Roman" w:hAnsi="Times New Roman" w:eastAsia="微软雅黑" w:cs="黑体"/>
          <w:b/>
          <w:bCs/>
          <w:sz w:val="21"/>
          <w:szCs w:val="21"/>
          <w:highlight w:val="yellow"/>
          <w:lang w:eastAsia="zh-CN"/>
        </w:rPr>
      </w:pPr>
      <w:r>
        <w:rPr>
          <w:rFonts w:ascii="Times New Roman" w:hAnsi="Times New Roman" w:eastAsia="微软雅黑" w:cs="黑体"/>
          <w:b/>
          <w:bCs/>
          <w:sz w:val="21"/>
          <w:szCs w:val="21"/>
          <w:highlight w:val="yellow"/>
          <w:lang w:eastAsia="zh-CN"/>
        </w:rPr>
        <w:br w:type="page"/>
      </w:r>
    </w:p>
    <w:p w14:paraId="0180C508">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5A01090">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6" name="同侧圆角矩形 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002F9BD0">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其它获批本癌种药物提示（多靶点抑制剂、单抗类、激素类药物等）</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i&#10;3aAm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002F9BD0">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其它获批本癌种药物提示（多靶点抑制剂、单抗类、激素类药物等）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4"/>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after="72" w:afterLines="20" w:line="24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highlight w:val="none"/>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335B68D9">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eastAsia="微软雅黑" w:cs="Times New Roman"/>
          <w:sz w:val="30"/>
          <w:szCs w:val="30"/>
          <w:lang w:eastAsia="zh-CN"/>
        </w:rPr>
      </w:pPr>
      <w:r>
        <w:rPr>
          <w:rFonts w:hint="eastAsia" w:ascii="Times New Roman" w:hAnsi="Times New Roman" w:eastAsia="微软雅黑" w:cs="Times New Roman"/>
          <w:sz w:val="24"/>
          <w:szCs w:val="24"/>
          <w:highlight w:val="none"/>
          <w:lang w:eastAsia="zh-CN"/>
        </w:rPr>
        <w:t>{% endif %}</w:t>
      </w:r>
    </w:p>
    <w:p w14:paraId="2B3B1052">
      <w:pPr>
        <w:numPr>
          <w:ilvl w:val="0"/>
          <w:numId w:val="0"/>
        </w:numPr>
        <w:ind w:leftChars="0"/>
        <w:rPr>
          <w:sz w:val="28"/>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12700" b="2222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8"/>
        </w:rPr>
      </w:pPr>
    </w:p>
    <w:tbl>
      <w:tblPr>
        <w:tblStyle w:val="13"/>
        <w:tblW w:w="9938" w:type="dxa"/>
        <w:tblInd w:w="9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677"/>
        <w:gridCol w:w="2467"/>
        <w:gridCol w:w="4794"/>
      </w:tblGrid>
      <w:tr w14:paraId="1181A41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rPr>
          <w:trHeight w:val="510" w:hRule="atLeast"/>
        </w:trPr>
        <w:tc>
          <w:tcPr>
            <w:tcW w:w="2677" w:type="dxa"/>
            <w:shd w:val="clear" w:color="auto" w:fill="00D392"/>
            <w:vAlign w:val="center"/>
          </w:tcPr>
          <w:p w14:paraId="0D47C0A5">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2467" w:type="dxa"/>
            <w:shd w:val="clear" w:color="auto" w:fill="00D392"/>
            <w:vAlign w:val="center"/>
          </w:tcPr>
          <w:p w14:paraId="790BE062">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4794" w:type="dxa"/>
            <w:shd w:val="clear" w:color="auto" w:fill="00D392"/>
            <w:vAlign w:val="center"/>
          </w:tcPr>
          <w:p w14:paraId="3E891B20">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检测意义</w:t>
            </w:r>
          </w:p>
        </w:tc>
      </w:tr>
      <w:tr w14:paraId="3AD3128D">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134" w:hRule="atLeast"/>
        </w:trPr>
        <w:tc>
          <w:tcPr>
            <w:tcW w:w="2677" w:type="dxa"/>
            <w:tcBorders>
              <w:bottom w:val="single" w:color="auto" w:sz="4" w:space="0"/>
            </w:tcBorders>
            <w:shd w:val="clear" w:color="auto" w:fill="auto"/>
            <w:vAlign w:val="center"/>
          </w:tcPr>
          <w:p w14:paraId="1FF27A5C">
            <w:pPr>
              <w:widowControl/>
              <w:snapToGrid w:val="0"/>
              <w:jc w:val="center"/>
              <w:textAlignment w:val="center"/>
              <w:rPr>
                <w:rFonts w:hint="eastAsia" w:ascii="宋体" w:hAnsi="宋体" w:eastAsia="宋体" w:cs="宋体"/>
                <w:b/>
                <w:bCs/>
                <w:color w:val="000000"/>
                <w:sz w:val="18"/>
                <w:szCs w:val="18"/>
                <w:lang w:eastAsia="zh-CN"/>
              </w:rPr>
            </w:pPr>
            <w:r>
              <w:rPr>
                <w:rStyle w:val="32"/>
                <w:rFonts w:hint="eastAsia" w:ascii="宋体" w:hAnsi="宋体" w:eastAsia="宋体" w:cs="宋体"/>
                <w:sz w:val="18"/>
                <w:szCs w:val="18"/>
                <w:lang w:eastAsia="zh-CN" w:bidi="ar"/>
              </w:rPr>
              <w:t>微卫星不稳定（</w:t>
            </w:r>
            <w:r>
              <w:rPr>
                <w:rStyle w:val="33"/>
                <w:rFonts w:hint="eastAsia" w:ascii="宋体" w:hAnsi="宋体" w:eastAsia="宋体" w:cs="宋体"/>
                <w:sz w:val="18"/>
                <w:szCs w:val="18"/>
                <w:lang w:eastAsia="zh-CN" w:bidi="ar"/>
              </w:rPr>
              <w:t>MSI</w:t>
            </w:r>
            <w:r>
              <w:rPr>
                <w:rStyle w:val="32"/>
                <w:rFonts w:hint="eastAsia" w:ascii="宋体" w:hAnsi="宋体" w:eastAsia="宋体" w:cs="宋体"/>
                <w:sz w:val="18"/>
                <w:szCs w:val="18"/>
                <w:lang w:eastAsia="zh-CN" w:bidi="ar"/>
              </w:rPr>
              <w:t>）</w:t>
            </w:r>
          </w:p>
        </w:tc>
        <w:tc>
          <w:tcPr>
            <w:tcW w:w="2467" w:type="dxa"/>
            <w:tcBorders>
              <w:bottom w:val="single" w:color="auto" w:sz="4" w:space="0"/>
            </w:tcBorders>
            <w:shd w:val="clear" w:color="auto" w:fill="auto"/>
            <w:vAlign w:val="center"/>
          </w:tcPr>
          <w:p w14:paraId="2355E450">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4794" w:type="dxa"/>
            <w:tcBorders>
              <w:bottom w:val="single" w:color="auto" w:sz="4" w:space="0"/>
            </w:tcBorders>
            <w:shd w:val="clear" w:color="auto" w:fill="auto"/>
            <w:vAlign w:val="center"/>
          </w:tcPr>
          <w:p w14:paraId="04D8B8B0">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7"/>
                <w:rFonts w:hint="eastAsia" w:ascii="宋体" w:hAnsi="宋体" w:eastAsia="宋体" w:cs="宋体"/>
                <w:sz w:val="18"/>
                <w:szCs w:val="18"/>
                <w:lang w:eastAsia="zh-CN" w:bidi="ar"/>
              </w:rPr>
              <w:t>微卫星不稳定型（</w:t>
            </w:r>
            <w:r>
              <w:rPr>
                <w:rStyle w:val="34"/>
                <w:rFonts w:hint="eastAsia" w:ascii="宋体" w:hAnsi="宋体" w:eastAsia="宋体" w:cs="宋体"/>
                <w:sz w:val="18"/>
                <w:szCs w:val="18"/>
                <w:lang w:eastAsia="zh-CN" w:bidi="ar"/>
              </w:rPr>
              <w:t>MSI-H</w:t>
            </w:r>
            <w:r>
              <w:rPr>
                <w:rStyle w:val="37"/>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7"/>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2B4389">
      <w:pPr>
        <w:pStyle w:val="7"/>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2.</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B181A04">
      <w:pPr>
        <w:rPr>
          <w:sz w:val="28"/>
          <w:lang w:eastAsia="zh-CN"/>
        </w:rPr>
      </w:pPr>
      <w:r>
        <w:rPr>
          <w:sz w:val="28"/>
          <w:lang w:eastAsia="zh-CN"/>
        </w:rPr>
        <w:br w:type="page"/>
      </w:r>
    </w:p>
    <w:bookmarkEnd w:id="0"/>
    <w:bookmarkEnd w:id="1"/>
    <w:p w14:paraId="2F268E46">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0C335D20">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34A08E8F">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0C335D20">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34A08E8F">
                      <w:pPr>
                        <w:rPr>
                          <w:rFonts w:hint="default"/>
                          <w:lang w:val="en-US" w:eastAsia="zh-CN"/>
                        </w:rPr>
                      </w:pPr>
                    </w:p>
                  </w:txbxContent>
                </v:textbox>
                <w10:wrap type="none"/>
                <w10:anchorlock/>
              </v:shape>
            </w:pict>
          </mc:Fallback>
        </mc:AlternateContent>
      </w:r>
    </w:p>
    <w:p w14:paraId="58FA6ADC">
      <w:pPr>
        <w:spacing w:before="240" w:beforeLines="100" w:after="24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9"/>
        <w:tblW w:w="9844"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417A310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exact"/>
          <w:jc w:val="center"/>
        </w:trPr>
        <w:tc>
          <w:tcPr>
            <w:tcW w:w="983" w:type="dxa"/>
            <w:shd w:val="clear" w:color="auto" w:fill="00D392"/>
            <w:vAlign w:val="center"/>
          </w:tcPr>
          <w:p w14:paraId="755848B4">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突变</w:t>
            </w:r>
            <w:r>
              <w:rPr>
                <w:rFonts w:hint="eastAsia" w:ascii="宋体" w:hAnsi="宋体" w:eastAsia="宋体" w:cs="宋体"/>
                <w:b/>
                <w:bCs/>
                <w:color w:val="FFFFFF" w:themeColor="background1"/>
                <w:sz w:val="18"/>
                <w:szCs w:val="18"/>
                <w14:textFill>
                  <w14:solidFill>
                    <w14:schemeClr w14:val="bg1"/>
                  </w14:solidFill>
                </w14:textFill>
              </w:rPr>
              <w:t>基因</w:t>
            </w:r>
          </w:p>
        </w:tc>
        <w:tc>
          <w:tcPr>
            <w:tcW w:w="789" w:type="dxa"/>
            <w:shd w:val="clear" w:color="auto" w:fill="00D392"/>
            <w:vAlign w:val="center"/>
          </w:tcPr>
          <w:p w14:paraId="6ECC374C">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shd w:val="clear" w:color="auto" w:fill="00D392"/>
            <w:vAlign w:val="center"/>
          </w:tcPr>
          <w:p w14:paraId="61B35E1E">
            <w:pPr>
              <w:pStyle w:val="28"/>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shd w:val="clear" w:color="auto" w:fill="00D392"/>
            <w:vAlign w:val="center"/>
          </w:tcPr>
          <w:p w14:paraId="273C1105">
            <w:pPr>
              <w:pStyle w:val="28"/>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shd w:val="clear" w:color="auto" w:fill="00D392"/>
            <w:vAlign w:val="center"/>
          </w:tcPr>
          <w:p w14:paraId="743ABDD3">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shd w:val="clear" w:color="auto" w:fill="00D392"/>
            <w:vAlign w:val="center"/>
          </w:tcPr>
          <w:p w14:paraId="6D815924">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shd w:val="clear" w:color="auto" w:fill="00D392"/>
            <w:vAlign w:val="center"/>
          </w:tcPr>
          <w:p w14:paraId="76A4D4D9">
            <w:pPr>
              <w:pStyle w:val="28"/>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8D2B4D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35D50BB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5E3A0C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38374E1">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05B9D7F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3" w:type="dxa"/>
            <w:shd w:val="clear" w:color="auto" w:fill="auto"/>
            <w:vAlign w:val="center"/>
          </w:tcPr>
          <w:p w14:paraId="15E61F87">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shd w:val="clear" w:color="auto" w:fill="auto"/>
            <w:vAlign w:val="center"/>
          </w:tcPr>
          <w:p w14:paraId="763DF7B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shd w:val="clear" w:color="auto" w:fill="auto"/>
            <w:vAlign w:val="center"/>
          </w:tcPr>
          <w:p w14:paraId="192F5553">
            <w:pPr>
              <w:spacing w:before="20"/>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{{cr.Transcript}}</w:t>
            </w:r>
          </w:p>
          <w:p w14:paraId="3B7D0B7B">
            <w:pPr>
              <w:spacing w:before="20"/>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{{cr.Exon}}</w:t>
            </w:r>
          </w:p>
          <w:p w14:paraId="54FA97EE">
            <w:pPr>
              <w:spacing w:before="20"/>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{{cr.cHGVS}}</w:t>
            </w:r>
          </w:p>
          <w:p w14:paraId="51DE56F4">
            <w:pPr>
              <w:spacing w:before="20"/>
              <w:jc w:val="cente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{{cr.pHGVS}}</w:t>
            </w:r>
          </w:p>
        </w:tc>
        <w:tc>
          <w:tcPr>
            <w:tcW w:w="1464" w:type="dxa"/>
            <w:shd w:val="clear" w:color="auto" w:fill="auto"/>
            <w:vAlign w:val="center"/>
          </w:tcPr>
          <w:p w14:paraId="4FC7E01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shd w:val="clear" w:color="auto" w:fill="auto"/>
            <w:vAlign w:val="center"/>
          </w:tcPr>
          <w:p w14:paraId="04E59B2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shd w:val="clear" w:color="auto" w:fill="auto"/>
            <w:vAlign w:val="center"/>
          </w:tcPr>
          <w:p w14:paraId="66AAEB73">
            <w:pPr>
              <w:spacing w:before="20"/>
              <w:jc w:val="center"/>
              <w:rPr>
                <w:rFonts w:hint="default" w:ascii="宋体" w:hAnsi="宋体" w:eastAsia="宋体" w:cs="宋体"/>
                <w:sz w:val="18"/>
                <w:szCs w:val="18"/>
                <w:lang w:val="en-US"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shd w:val="clear" w:color="auto" w:fill="auto"/>
            <w:vAlign w:val="center"/>
          </w:tcPr>
          <w:p w14:paraId="66DB7A91">
            <w:pPr>
              <w:pStyle w:val="11"/>
              <w:keepNext w:val="0"/>
              <w:keepLines w:val="0"/>
              <w:widowControl/>
              <w:suppressLineNumbers w:val="0"/>
              <w:jc w:val="center"/>
              <w:rPr>
                <w:rFonts w:hint="default"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76202D0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7B186FB3">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74EEE80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7EBFD576">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5026C2E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2D697980">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FE9916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309A28FD">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spacing w:before="47" w:line="360" w:lineRule="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numPr>
          <w:ilvl w:val="0"/>
          <w:numId w:val="0"/>
        </w:numPr>
        <w:spacing w:line="360" w:lineRule="auto"/>
        <w:ind w:left="15" w:leftChars="0" w:hanging="15" w:firstLineChars="0"/>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numPr>
          <w:ilvl w:val="0"/>
          <w:numId w:val="0"/>
        </w:numPr>
        <w:spacing w:line="360" w:lineRule="auto"/>
        <w:ind w:left="295" w:leftChars="0" w:hanging="295" w:firstLineChars="0"/>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28DCA005">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9"/>
        <w:tblW w:w="5035" w:type="pct"/>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A4699A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tblHeader/>
          <w:jc w:val="center"/>
        </w:trPr>
        <w:tc>
          <w:tcPr>
            <w:tcW w:w="646" w:type="pct"/>
            <w:shd w:val="clear" w:color="auto" w:fill="00D392"/>
            <w:vAlign w:val="center"/>
          </w:tcPr>
          <w:p w14:paraId="39B0BC5E">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突变基因</w:t>
            </w:r>
          </w:p>
        </w:tc>
        <w:tc>
          <w:tcPr>
            <w:tcW w:w="895" w:type="pct"/>
            <w:shd w:val="clear" w:color="auto" w:fill="00D392"/>
            <w:vAlign w:val="center"/>
          </w:tcPr>
          <w:p w14:paraId="467DB15A">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shd w:val="clear" w:color="auto" w:fill="00D392"/>
            <w:vAlign w:val="center"/>
          </w:tcPr>
          <w:p w14:paraId="2C92F812">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shd w:val="clear" w:color="auto" w:fill="00D392"/>
            <w:vAlign w:val="center"/>
          </w:tcPr>
          <w:p w14:paraId="3366D739">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shd w:val="clear" w:color="auto" w:fill="00D392"/>
            <w:vAlign w:val="center"/>
          </w:tcPr>
          <w:p w14:paraId="1F0E0170">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shd w:val="clear" w:color="auto" w:fill="00D392"/>
            <w:vAlign w:val="center"/>
          </w:tcPr>
          <w:p w14:paraId="61ABEA13">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1321931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65B3015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7E66214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50CFA7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36BFB83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0" w:hRule="atLeast"/>
          <w:jc w:val="center"/>
        </w:trPr>
        <w:tc>
          <w:tcPr>
            <w:tcW w:w="1286" w:type="dxa"/>
            <w:shd w:val="clear" w:color="auto" w:fill="auto"/>
            <w:vAlign w:val="center"/>
          </w:tcPr>
          <w:p w14:paraId="228B2718">
            <w:pPr>
              <w:ind w:left="162" w:right="163"/>
              <w:jc w:val="center"/>
              <w:rPr>
                <w:rFonts w:hint="eastAsia" w:ascii="宋体" w:hAnsi="宋体" w:eastAsia="宋体" w:cs="宋体"/>
                <w:b w:val="0"/>
                <w:bCs/>
                <w:sz w:val="18"/>
                <w:szCs w:val="18"/>
                <w:lang w:eastAsia="zh-CN"/>
              </w:rPr>
            </w:pPr>
            <w:r>
              <w:rPr>
                <w:rFonts w:hint="eastAsia" w:ascii="宋体" w:hAnsi="宋体" w:eastAsia="宋体" w:cs="宋体"/>
                <w:b w:val="0"/>
                <w:bCs/>
                <w:sz w:val="18"/>
                <w:szCs w:val="18"/>
                <w:lang w:eastAsia="zh-CN"/>
              </w:rPr>
              <w:t>{{ tip.gene }}</w:t>
            </w:r>
          </w:p>
        </w:tc>
        <w:tc>
          <w:tcPr>
            <w:tcW w:w="1780" w:type="dxa"/>
            <w:shd w:val="clear" w:color="auto" w:fill="auto"/>
            <w:vAlign w:val="center"/>
          </w:tcPr>
          <w:p w14:paraId="3FB4E4EB">
            <w:pPr>
              <w:spacing w:before="2"/>
              <w:ind w:left="116" w:right="116"/>
              <w:jc w:val="center"/>
              <w:rPr>
                <w:rFonts w:hint="eastAsia" w:ascii="宋体" w:hAnsi="宋体" w:eastAsia="宋体" w:cs="宋体"/>
                <w:b w:val="0"/>
                <w:bCs/>
                <w:sz w:val="18"/>
                <w:szCs w:val="18"/>
                <w:lang w:eastAsia="zh-CN"/>
              </w:rPr>
            </w:pPr>
            <w:r>
              <w:rPr>
                <w:rFonts w:hint="eastAsia" w:ascii="宋体" w:hAnsi="宋体" w:eastAsia="宋体" w:cs="宋体"/>
                <w:b w:val="0"/>
                <w:bCs/>
                <w:sz w:val="18"/>
                <w:szCs w:val="18"/>
                <w:lang w:eastAsia="zh-CN"/>
              </w:rPr>
              <w:t>{{ tip.ori_variant }}</w:t>
            </w:r>
          </w:p>
        </w:tc>
        <w:tc>
          <w:tcPr>
            <w:tcW w:w="650" w:type="pct"/>
            <w:shd w:val="clear" w:color="auto" w:fill="auto"/>
            <w:vAlign w:val="center"/>
          </w:tcPr>
          <w:p w14:paraId="612BDC09">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bookmarkStart w:id="37" w:name="_GoBack"/>
            <w:bookmarkEnd w:id="37"/>
          </w:p>
        </w:tc>
        <w:tc>
          <w:tcPr>
            <w:tcW w:w="541" w:type="pct"/>
            <w:shd w:val="clear" w:color="auto" w:fill="auto"/>
            <w:vAlign w:val="center"/>
          </w:tcPr>
          <w:p w14:paraId="23DF459C">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60F8BA2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38575A62">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0D5AD0A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7D2337D1">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18546CB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9942" w:type="dxa"/>
            <w:gridSpan w:val="6"/>
            <w:shd w:val="clear" w:color="auto" w:fill="auto"/>
            <w:vAlign w:val="center"/>
          </w:tcPr>
          <w:p w14:paraId="4A6273B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2A8DBFD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078EBA5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spacing w:before="47"/>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53467748">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p>
    <w:p w14:paraId="7F55A648">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2024F8A7">
      <w:pPr>
        <w:rPr>
          <w:lang w:eastAsia="zh-CN"/>
        </w:rPr>
      </w:pPr>
      <w:bookmarkStart w:id="2" w:name="_Toc9663"/>
      <w:bookmarkStart w:id="3" w:name="_Toc180"/>
      <w:bookmarkStart w:id="4" w:name="_Toc149837263"/>
      <w:r>
        <w:rPr>
          <w:rFonts w:ascii="Gotham Book" w:hAnsi="Gotham Book" w:eastAsia="方正德赛黑简体 512B" w:cs="Times New Roman"/>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bookmarkEnd w:id="2"/>
      <w:bookmarkEnd w:id="3"/>
      <w:bookmarkEnd w:id="4"/>
    </w:p>
    <w:p w14:paraId="476FCC2C">
      <w:pPr>
        <w:bidi w:val="0"/>
        <w:rPr>
          <w:rFonts w:hint="eastAsia" w:ascii="宋体" w:hAnsi="宋体" w:eastAsia="宋体" w:cs="宋体"/>
          <w:b/>
          <w:sz w:val="18"/>
          <w:szCs w:val="18"/>
          <w:lang w:eastAsia="zh-CN"/>
        </w:rPr>
      </w:pPr>
      <w:bookmarkStart w:id="5" w:name="_Toc149837264"/>
    </w:p>
    <w:p w14:paraId="07BB7F19">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3"/>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55ECC186">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254F68E0">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4997BF81">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1C01F872">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357B03BB">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0EDC193F">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D69FFAB">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4AD01EE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2DD4AA34">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41A9A13F">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4A2FAC5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52F74E1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4001825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bookmarkEnd w:id="5"/>
    </w:tbl>
    <w:p w14:paraId="522EF906">
      <w:pPr>
        <w:spacing w:before="26"/>
        <w:rPr>
          <w:rFonts w:hint="eastAsia" w:ascii="宋体" w:hAnsi="宋体" w:eastAsia="宋体" w:cs="宋体"/>
          <w:b/>
          <w:sz w:val="18"/>
          <w:szCs w:val="18"/>
          <w:lang w:eastAsia="zh-CN"/>
        </w:rPr>
      </w:pPr>
      <w:bookmarkStart w:id="6" w:name="_Toc19842"/>
      <w:r>
        <w:rPr>
          <w:rFonts w:hint="eastAsia" w:ascii="宋体" w:hAnsi="宋体" w:eastAsia="宋体" w:cs="宋体"/>
          <w:b/>
          <w:sz w:val="18"/>
          <w:szCs w:val="18"/>
          <w:lang w:eastAsia="zh-CN"/>
        </w:rPr>
        <w:t>{%if tdd.drugResearchList != [] %}</w:t>
      </w:r>
    </w:p>
    <w:p w14:paraId="1AB0EB0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3"/>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A5024A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13F10DB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E45B51E">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1EBEB709">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6210D64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0F00F10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46F2A8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3372BE8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1160CBCF">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1007DBE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vAlign w:val="center"/>
          </w:tcPr>
          <w:p w14:paraId="36BF132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vAlign w:val="center"/>
          </w:tcPr>
          <w:p w14:paraId="750F00B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5C7847D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175ECAF">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A45AF7A">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703C1188">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3"/>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7AB0576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0EE550F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0FFE6389">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341223E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7363B3F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94E36D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E2218D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60C5C4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4F594307">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65F7204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vAlign w:val="center"/>
          </w:tcPr>
          <w:p w14:paraId="5155084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vAlign w:val="center"/>
          </w:tcPr>
          <w:p w14:paraId="2E53CEF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460248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7C4374">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1933F25">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3E52C17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3"/>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61E8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5DCFEBC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2035A7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207C8D3D">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3418656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238962E0">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4E0D7C6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64C73CF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228D6F71">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3266D3D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vAlign w:val="center"/>
          </w:tcPr>
          <w:p w14:paraId="3AB8F08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vAlign w:val="center"/>
          </w:tcPr>
          <w:p w14:paraId="7FD8D0F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vAlign w:val="center"/>
          </w:tcPr>
          <w:p w14:paraId="58EA38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vAlign w:val="center"/>
          </w:tcPr>
          <w:p w14:paraId="4BEED029">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vAlign w:val="center"/>
          </w:tcPr>
          <w:p w14:paraId="0CCDA225">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25411E7E">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vAlign w:val="center"/>
          </w:tcPr>
          <w:p w14:paraId="0F9FD983">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11ABDB5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1C0F5162">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42736C03">
      <w:pPr>
        <w:pStyle w:val="35"/>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7159E7E2">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3"/>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3585DC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9" w:hRule="atLeast"/>
        </w:trPr>
        <w:tc>
          <w:tcPr>
            <w:tcW w:w="1843" w:type="dxa"/>
            <w:shd w:val="clear" w:color="auto" w:fill="00D392"/>
            <w:vAlign w:val="center"/>
          </w:tcPr>
          <w:p w14:paraId="108A7CD1">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D370505">
            <w:pPr>
              <w:keepNex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08B12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3" w:type="dxa"/>
            <w:shd w:val="clear" w:color="auto" w:fill="00D392"/>
            <w:vAlign w:val="center"/>
          </w:tcPr>
          <w:p w14:paraId="5923CDD9">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044559EC">
            <w:pPr>
              <w:keepNex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4492F5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3" w:type="dxa"/>
            <w:shd w:val="clear" w:color="auto" w:fill="00D392"/>
            <w:vAlign w:val="center"/>
          </w:tcPr>
          <w:p w14:paraId="7DBE7C8E">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2DF2AC3E">
            <w:pPr>
              <w:keepNext/>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59E7EDE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 endif %}{%if geneticCancerRiskInfo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p w14:paraId="41B23E4E">
      <w:pPr>
        <w:rPr>
          <w:rFonts w:hint="eastAsia" w:ascii="宋体" w:hAnsi="宋体" w:eastAsia="宋体" w:cs="宋体"/>
          <w:b/>
          <w:sz w:val="18"/>
          <w:szCs w:val="18"/>
          <w:lang w:eastAsia="zh-CN"/>
        </w:rPr>
      </w:pPr>
    </w:p>
    <w:tbl>
      <w:tblPr>
        <w:tblStyle w:val="13"/>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157AFED0">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nil"/>
            </w:tcBorders>
            <w:shd w:val="clear" w:color="auto" w:fill="auto"/>
            <w:vAlign w:val="center"/>
          </w:tcPr>
          <w:p w14:paraId="5C2B0D1E">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nil"/>
              <w:bottom w:val="single" w:color="000000" w:themeColor="text1" w:sz="8" w:space="0"/>
              <w:right w:val="nil"/>
            </w:tcBorders>
            <w:shd w:val="clear" w:color="auto" w:fill="auto"/>
            <w:vAlign w:val="center"/>
          </w:tcPr>
          <w:p w14:paraId="5DEA23A4">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nil"/>
              <w:bottom w:val="single" w:color="000000" w:themeColor="text1" w:sz="8" w:space="0"/>
            </w:tcBorders>
            <w:shd w:val="clear" w:color="auto" w:fill="auto"/>
            <w:vAlign w:val="center"/>
          </w:tcPr>
          <w:p w14:paraId="60343C66">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00678E11">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5E104B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387399F1">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7D8B477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2C0ECBD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7C5F2F1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361C8665">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47BC8A4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6278947F">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1A18FDF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54267C96">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3"/>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3"/>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3"/>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D90028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433EB92B">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注：1. 本部分只展示与变异检测基因和癌种类型匹配的临床试验，不以基因/BIOMARKER为筛选条件可登录数据库查询；</w:t>
      </w:r>
    </w:p>
    <w:p w14:paraId="610913F2">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4261A393">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w:t>
      </w:r>
    </w:p>
    <w:p w14:paraId="48FAEEB1">
      <w:pPr>
        <w:spacing w:before="26"/>
        <w:rPr>
          <w:sz w:val="16"/>
        </w:rPr>
      </w:pPr>
      <w:r>
        <w:rPr>
          <w:sz w:val="16"/>
        </w:rPr>
        <w:br w:type="page"/>
      </w:r>
    </w:p>
    <w:p w14:paraId="6E064A74">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p w14:paraId="3CA1E8A3">
      <w:pPr>
        <w:spacing w:before="26"/>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2" name="同侧圆角矩形 22"/>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Ney3Ie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bookmarkEnd w:id="6"/>
    <w:tbl>
      <w:tblPr>
        <w:tblStyle w:val="13"/>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7"/>
        <w:gridCol w:w="6542"/>
      </w:tblGrid>
      <w:tr w14:paraId="03A911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tcBorders>
              <w:top w:val="nil"/>
              <w:bottom w:val="single" w:color="auto" w:sz="4" w:space="0"/>
              <w:right w:val="nil"/>
            </w:tcBorders>
            <w:shd w:val="clear" w:color="auto" w:fill="auto"/>
            <w:vAlign w:val="center"/>
          </w:tcPr>
          <w:p w14:paraId="3736D690">
            <w:pPr>
              <w:spacing w:before="13" w:line="252" w:lineRule="auto"/>
              <w:ind w:right="174"/>
              <w:jc w:val="left"/>
              <w:rPr>
                <w:rFonts w:hint="eastAsia" w:ascii="宋体" w:hAnsi="宋体" w:eastAsia="宋体" w:cs="宋体"/>
                <w:sz w:val="18"/>
                <w:szCs w:val="18"/>
                <w:lang w:eastAsia="zh-CN"/>
              </w:rPr>
            </w:pPr>
            <w:bookmarkStart w:id="7" w:name="_Toc2749"/>
            <w:r>
              <w:rPr>
                <w:rFonts w:hint="eastAsia" w:ascii="宋体" w:hAnsi="宋体" w:eastAsia="宋体" w:cs="宋体"/>
                <w:b/>
                <w:bCs/>
                <w:sz w:val="18"/>
                <w:szCs w:val="18"/>
                <w:lang w:eastAsia="zh-CN"/>
              </w:rPr>
              <w:t>微卫星不稳定（MSI）</w:t>
            </w:r>
          </w:p>
        </w:tc>
        <w:tc>
          <w:tcPr>
            <w:tcW w:w="6542" w:type="dxa"/>
            <w:tcBorders>
              <w:top w:val="nil"/>
              <w:left w:val="nil"/>
              <w:bottom w:val="single" w:color="auto" w:sz="4" w:space="0"/>
            </w:tcBorders>
            <w:shd w:val="clear" w:color="auto" w:fill="auto"/>
            <w:vAlign w:val="center"/>
          </w:tcPr>
          <w:p w14:paraId="3C497F0C">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0DAFD6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single" w:color="auto" w:sz="4" w:space="0"/>
              <w:bottom w:val="nil"/>
            </w:tcBorders>
            <w:shd w:val="clear" w:color="auto" w:fill="auto"/>
            <w:vAlign w:val="center"/>
          </w:tcPr>
          <w:p w14:paraId="4FA29F5E">
            <w:pPr>
              <w:keepNext w:val="0"/>
              <w:keepLines w:val="0"/>
              <w:pageBreakBefore w:val="0"/>
              <w:widowControl w:val="0"/>
              <w:kinsoku/>
              <w:wordWrap/>
              <w:overflowPunct/>
              <w:topLinePunct w:val="0"/>
              <w:autoSpaceDE/>
              <w:autoSpaceDN/>
              <w:bidi w:val="0"/>
              <w:adjustRightInd/>
              <w:snapToGrid/>
              <w:spacing w:before="0" w:beforeLines="5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432CAFD7">
            <w:pPr>
              <w:keepNext w:val="0"/>
              <w:keepLines w:val="0"/>
              <w:pageBreakBefore w:val="0"/>
              <w:widowControl w:val="0"/>
              <w:kinsoku/>
              <w:wordWrap/>
              <w:overflowPunct/>
              <w:topLinePunct w:val="0"/>
              <w:autoSpaceDE/>
              <w:autoSpaceDN/>
              <w:bidi w:val="0"/>
              <w:adjustRightInd/>
              <w:snapToGrid/>
              <w:spacing w:line="324"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05FD8911">
            <w:pPr>
              <w:keepNext w:val="0"/>
              <w:keepLines w:val="0"/>
              <w:pageBreakBefore w:val="0"/>
              <w:widowControl w:val="0"/>
              <w:kinsoku/>
              <w:wordWrap/>
              <w:overflowPunct/>
              <w:topLinePunct w:val="0"/>
              <w:autoSpaceDE/>
              <w:autoSpaceDN/>
              <w:bidi w:val="0"/>
              <w:adjustRightInd/>
              <w:snapToGrid/>
              <w:spacing w:before="0" w:beforeLines="5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0D77E5F6">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022AAE5">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191A320">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C3FD3B9">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CC1E489">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032B906">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2BEC848">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1C52305F">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0D62629">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309CB7F4">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4853424">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1A77557">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720FE850">
            <w:pPr>
              <w:keepNext w:val="0"/>
              <w:keepLines w:val="0"/>
              <w:pageBreakBefore w:val="0"/>
              <w:widowControl w:val="0"/>
              <w:kinsoku/>
              <w:wordWrap/>
              <w:overflowPunct/>
              <w:topLinePunct w:val="0"/>
              <w:autoSpaceDE/>
              <w:autoSpaceDN/>
              <w:bidi w:val="0"/>
              <w:adjustRightInd/>
              <w:snapToGrid/>
              <w:spacing w:before="0" w:line="324" w:lineRule="auto"/>
              <w:textAlignment w:val="auto"/>
              <w:rPr>
                <w:rFonts w:hint="eastAsia" w:ascii="宋体" w:hAnsi="宋体" w:eastAsia="宋体" w:cs="宋体"/>
                <w:sz w:val="18"/>
                <w:szCs w:val="18"/>
                <w:lang w:eastAsia="zh-CN"/>
              </w:rPr>
            </w:pPr>
            <w:r>
              <w:rPr>
                <w:rFonts w:hint="eastAsia" w:ascii="宋体" w:hAnsi="宋体" w:eastAsia="宋体" w:cs="宋体"/>
                <w:b/>
                <w:bCs/>
                <w:color w:val="000000"/>
                <w:kern w:val="0"/>
                <w:sz w:val="13"/>
                <w:szCs w:val="13"/>
                <w:lang w:val="en-US" w:eastAsia="zh-CN" w:bidi="ar"/>
              </w:rPr>
              <w:t>注：请结合其它检测结果和临床资料谨慎用药。</w:t>
            </w:r>
          </w:p>
        </w:tc>
      </w:tr>
    </w:tbl>
    <w:p w14:paraId="1752492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bookmarkEnd w:id="7"/>
    <w:p w14:paraId="2D7F185F">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8" w:name="_Toc149837268"/>
      <w:bookmarkStart w:id="9" w:name="_Toc11406"/>
      <w:bookmarkStart w:id="10" w:name="_Toc3034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8"/>
    </w:p>
    <w:p w14:paraId="122D4F89">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3BF2BC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63BF2BC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p w14:paraId="4FF3D1DF">
      <w:pPr>
        <w:rPr>
          <w:rFonts w:hint="eastAsia"/>
          <w:lang w:val="en-US" w:eastAsia="zh-CN"/>
        </w:rPr>
      </w:pPr>
    </w:p>
    <w:tbl>
      <w:tblPr>
        <w:tblStyle w:val="13"/>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uto" w:sz="4" w:space="0"/>
              <w:right w:val="nil"/>
            </w:tcBorders>
            <w:shd w:val="clear" w:color="auto" w:fill="00D392"/>
            <w:vAlign w:val="center"/>
          </w:tcPr>
          <w:p w14:paraId="7E2CCC8F">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val="en-US" w:eastAsia="zh-CN" w:bidi="ar"/>
                <w14:textFill>
                  <w14:solidFill>
                    <w14:schemeClr w14:val="bg1"/>
                  </w14:solidFill>
                </w14:textFill>
              </w:rPr>
              <w:t>类别</w:t>
            </w:r>
          </w:p>
        </w:tc>
        <w:tc>
          <w:tcPr>
            <w:tcW w:w="2717" w:type="dxa"/>
            <w:tcBorders>
              <w:top w:val="nil"/>
              <w:left w:val="nil"/>
              <w:bottom w:val="single" w:color="auto" w:sz="4" w:space="0"/>
              <w:right w:val="nil"/>
            </w:tcBorders>
            <w:shd w:val="clear" w:color="auto" w:fill="00D392"/>
            <w:vAlign w:val="center"/>
          </w:tcPr>
          <w:p w14:paraId="03C5425E">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w:t>
            </w:r>
            <w:r>
              <w:rPr>
                <w:rFonts w:hint="eastAsia" w:ascii="宋体" w:hAnsi="宋体" w:eastAsia="宋体" w:cs="宋体"/>
                <w:b/>
                <w:color w:val="FFFFFF" w:themeColor="background1"/>
                <w:sz w:val="18"/>
                <w:szCs w:val="18"/>
                <w:lang w:val="en-US" w:eastAsia="zh-CN" w:bidi="ar"/>
                <w14:textFill>
                  <w14:solidFill>
                    <w14:schemeClr w14:val="bg1"/>
                  </w14:solidFill>
                </w14:textFill>
              </w:rPr>
              <w:t>条目</w:t>
            </w:r>
          </w:p>
        </w:tc>
        <w:tc>
          <w:tcPr>
            <w:tcW w:w="2378" w:type="dxa"/>
            <w:tcBorders>
              <w:top w:val="nil"/>
              <w:left w:val="nil"/>
              <w:bottom w:val="single" w:color="auto" w:sz="4" w:space="0"/>
              <w:right w:val="nil"/>
            </w:tcBorders>
            <w:shd w:val="clear" w:color="auto" w:fill="00D392"/>
            <w:vAlign w:val="center"/>
          </w:tcPr>
          <w:p w14:paraId="55CA611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bottom w:val="single" w:color="auto" w:sz="4" w:space="0"/>
              <w:right w:val="nil"/>
            </w:tcBorders>
            <w:shd w:val="clear" w:color="auto" w:fill="00D392"/>
            <w:vAlign w:val="center"/>
          </w:tcPr>
          <w:p w14:paraId="4F19055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auto" w:sz="4" w:space="0"/>
              <w:left w:val="nil"/>
              <w:bottom w:val="single" w:color="auto" w:sz="4" w:space="0"/>
              <w:right w:val="nil"/>
            </w:tcBorders>
            <w:shd w:val="clear" w:color="auto" w:fill="auto"/>
            <w:vAlign w:val="center"/>
          </w:tcPr>
          <w:p w14:paraId="35B9D2BA">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717" w:type="dxa"/>
            <w:tcBorders>
              <w:top w:val="single" w:color="auto" w:sz="4" w:space="0"/>
              <w:left w:val="nil"/>
              <w:bottom w:val="single" w:color="auto" w:sz="4" w:space="0"/>
              <w:right w:val="nil"/>
            </w:tcBorders>
            <w:shd w:val="clear" w:color="auto" w:fill="auto"/>
            <w:vAlign w:val="center"/>
          </w:tcPr>
          <w:p w14:paraId="00400AB3">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肿瘤细胞含量</w:t>
            </w:r>
          </w:p>
        </w:tc>
        <w:tc>
          <w:tcPr>
            <w:tcW w:w="2378" w:type="dxa"/>
            <w:tcBorders>
              <w:top w:val="single" w:color="auto" w:sz="4" w:space="0"/>
              <w:left w:val="nil"/>
              <w:bottom w:val="single" w:color="auto" w:sz="4" w:space="0"/>
              <w:right w:val="nil"/>
            </w:tcBorders>
            <w:shd w:val="clear" w:color="auto" w:fill="auto"/>
            <w:vAlign w:val="center"/>
          </w:tcPr>
          <w:p w14:paraId="1BF64BDA">
            <w:pPr>
              <w:ind w:left="119" w:leftChars="0"/>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tcBorders>
              <w:top w:val="single" w:color="auto" w:sz="4" w:space="0"/>
              <w:left w:val="nil"/>
              <w:bottom w:val="single" w:color="auto" w:sz="4" w:space="0"/>
              <w:right w:val="nil"/>
            </w:tcBorders>
            <w:shd w:val="clear" w:color="auto" w:fill="auto"/>
            <w:vAlign w:val="center"/>
          </w:tcPr>
          <w:p w14:paraId="009F93D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6FF06E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uto" w:sz="4" w:space="0"/>
              <w:left w:val="nil"/>
              <w:bottom w:val="single" w:color="auto" w:sz="4" w:space="0"/>
              <w:right w:val="nil"/>
            </w:tcBorders>
            <w:shd w:val="clear" w:color="auto" w:fill="auto"/>
            <w:vAlign w:val="center"/>
          </w:tcPr>
          <w:p w14:paraId="0C7E98C0">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717" w:type="dxa"/>
            <w:tcBorders>
              <w:top w:val="single" w:color="auto" w:sz="4" w:space="0"/>
              <w:left w:val="nil"/>
              <w:bottom w:val="single" w:color="auto" w:sz="4" w:space="0"/>
              <w:right w:val="nil"/>
            </w:tcBorders>
            <w:shd w:val="clear" w:color="auto" w:fill="auto"/>
            <w:vAlign w:val="center"/>
          </w:tcPr>
          <w:p w14:paraId="306C0F0C">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DNA总量</w:t>
            </w:r>
            <w:r>
              <w:rPr>
                <w:rFonts w:hint="eastAsia" w:ascii="宋体" w:hAnsi="宋体" w:eastAsia="宋体" w:cs="宋体"/>
                <w:bCs/>
                <w:sz w:val="18"/>
                <w:szCs w:val="18"/>
                <w:lang w:eastAsia="zh-CN"/>
              </w:rPr>
              <w:t>（</w:t>
            </w:r>
            <w:r>
              <w:rPr>
                <w:rFonts w:hint="eastAsia" w:ascii="宋体" w:hAnsi="宋体" w:eastAsia="宋体" w:cs="宋体"/>
                <w:bCs/>
                <w:sz w:val="18"/>
                <w:szCs w:val="18"/>
              </w:rPr>
              <w:t>ng</w:t>
            </w:r>
            <w:r>
              <w:rPr>
                <w:rFonts w:hint="eastAsia" w:ascii="宋体" w:hAnsi="宋体" w:eastAsia="宋体" w:cs="宋体"/>
                <w:bCs/>
                <w:sz w:val="18"/>
                <w:szCs w:val="18"/>
                <w:lang w:eastAsia="zh-CN"/>
              </w:rPr>
              <w:t>）</w:t>
            </w:r>
          </w:p>
        </w:tc>
        <w:tc>
          <w:tcPr>
            <w:tcW w:w="2378" w:type="dxa"/>
            <w:tcBorders>
              <w:top w:val="single" w:color="auto" w:sz="4" w:space="0"/>
              <w:left w:val="nil"/>
              <w:bottom w:val="single" w:color="auto" w:sz="4" w:space="0"/>
              <w:right w:val="nil"/>
            </w:tcBorders>
            <w:shd w:val="clear" w:color="auto" w:fill="auto"/>
            <w:vAlign w:val="center"/>
          </w:tcPr>
          <w:p w14:paraId="48CE6D74">
            <w:pPr>
              <w:ind w:left="119" w:leftChars="0"/>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tcBorders>
              <w:top w:val="single" w:color="auto" w:sz="4" w:space="0"/>
              <w:left w:val="nil"/>
              <w:bottom w:val="single" w:color="auto" w:sz="4" w:space="0"/>
              <w:right w:val="nil"/>
            </w:tcBorders>
            <w:shd w:val="clear" w:color="auto" w:fill="auto"/>
            <w:vAlign w:val="center"/>
          </w:tcPr>
          <w:p w14:paraId="49A6E6D8">
            <w:pPr>
              <w:jc w:val="center"/>
              <w:rPr>
                <w:rFonts w:hint="eastAsia" w:ascii="宋体" w:hAnsi="宋体" w:eastAsia="宋体" w:cs="宋体"/>
                <w:sz w:val="18"/>
                <w:szCs w:val="18"/>
              </w:rPr>
            </w:pPr>
            <w:r>
              <w:rPr>
                <w:rFonts w:hint="eastAsia" w:ascii="宋体" w:hAnsi="宋体" w:eastAsia="宋体" w:cs="宋体"/>
                <w:sz w:val="18"/>
                <w:szCs w:val="18"/>
                <w:lang w:eastAsia="zh-CN"/>
              </w:rPr>
              <w:t>{% if type == “tissue” %}</w:t>
            </w:r>
            <w:r>
              <w:rPr>
                <w:rFonts w:hint="eastAsia" w:ascii="宋体" w:hAnsi="宋体" w:eastAsia="宋体" w:cs="宋体"/>
                <w:sz w:val="18"/>
                <w:szCs w:val="18"/>
                <w:lang w:eastAsia="zh-CN" w:bidi="ar"/>
              </w:rPr>
              <w:t>≥100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≥20</w:t>
            </w:r>
            <w:r>
              <w:rPr>
                <w:rFonts w:hint="eastAsia" w:ascii="宋体" w:hAnsi="宋体" w:eastAsia="宋体" w:cs="宋体"/>
                <w:sz w:val="18"/>
                <w:szCs w:val="18"/>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599DA20C">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60747669">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lang w:eastAsia="zh-CN"/>
              </w:rPr>
              <w:t>预</w:t>
            </w:r>
            <w:r>
              <w:rPr>
                <w:rFonts w:hint="eastAsia" w:ascii="宋体" w:hAnsi="宋体" w:eastAsia="宋体" w:cs="宋体"/>
                <w:bCs/>
                <w:sz w:val="18"/>
                <w:szCs w:val="18"/>
              </w:rPr>
              <w:t>文库</w:t>
            </w:r>
            <w:r>
              <w:rPr>
                <w:rFonts w:hint="eastAsia" w:ascii="宋体" w:hAnsi="宋体" w:eastAsia="宋体" w:cs="宋体"/>
                <w:bCs/>
                <w:sz w:val="18"/>
                <w:szCs w:val="18"/>
                <w:lang w:eastAsia="zh-CN"/>
              </w:rPr>
              <w:t>总</w:t>
            </w:r>
            <w:r>
              <w:rPr>
                <w:rFonts w:hint="eastAsia" w:ascii="宋体" w:hAnsi="宋体" w:eastAsia="宋体" w:cs="宋体"/>
                <w:bCs/>
                <w:sz w:val="18"/>
                <w:szCs w:val="18"/>
              </w:rPr>
              <w:t>量</w:t>
            </w:r>
            <w:r>
              <w:rPr>
                <w:rFonts w:hint="eastAsia" w:ascii="宋体" w:hAnsi="宋体" w:eastAsia="宋体" w:cs="宋体"/>
                <w:bCs/>
                <w:sz w:val="18"/>
                <w:szCs w:val="18"/>
                <w:lang w:eastAsia="zh-CN"/>
              </w:rPr>
              <w:t>（ng）</w:t>
            </w:r>
          </w:p>
        </w:tc>
        <w:tc>
          <w:tcPr>
            <w:tcW w:w="2378" w:type="dxa"/>
            <w:tcBorders>
              <w:top w:val="single" w:color="auto" w:sz="4" w:space="0"/>
              <w:left w:val="nil"/>
              <w:bottom w:val="single" w:color="auto" w:sz="4" w:space="0"/>
              <w:right w:val="nil"/>
            </w:tcBorders>
            <w:shd w:val="clear" w:color="auto" w:fill="auto"/>
            <w:vAlign w:val="center"/>
          </w:tcPr>
          <w:p w14:paraId="06617952">
            <w:pPr>
              <w:ind w:left="119" w:leftChars="0"/>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tcBorders>
              <w:top w:val="single" w:color="auto" w:sz="4" w:space="0"/>
              <w:left w:val="nil"/>
              <w:bottom w:val="single" w:color="auto" w:sz="4" w:space="0"/>
              <w:right w:val="nil"/>
            </w:tcBorders>
            <w:shd w:val="clear" w:color="auto" w:fill="auto"/>
            <w:vAlign w:val="center"/>
          </w:tcPr>
          <w:p w14:paraId="36CB4A08">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uto" w:sz="4" w:space="0"/>
              <w:left w:val="nil"/>
              <w:bottom w:val="single" w:color="auto" w:sz="4" w:space="0"/>
              <w:right w:val="nil"/>
            </w:tcBorders>
            <w:shd w:val="clear" w:color="auto" w:fill="auto"/>
            <w:vAlign w:val="center"/>
          </w:tcPr>
          <w:p w14:paraId="1EEA71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测序质量评估</w:t>
            </w:r>
          </w:p>
        </w:tc>
        <w:tc>
          <w:tcPr>
            <w:tcW w:w="2717" w:type="dxa"/>
            <w:tcBorders>
              <w:top w:val="single" w:color="auto" w:sz="4" w:space="0"/>
              <w:left w:val="nil"/>
              <w:bottom w:val="single" w:color="auto" w:sz="4" w:space="0"/>
              <w:right w:val="nil"/>
            </w:tcBorders>
            <w:shd w:val="clear" w:color="auto" w:fill="auto"/>
            <w:vAlign w:val="center"/>
          </w:tcPr>
          <w:p w14:paraId="3A0EE316">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平均测序深度</w:t>
            </w:r>
          </w:p>
        </w:tc>
        <w:tc>
          <w:tcPr>
            <w:tcW w:w="2378" w:type="dxa"/>
            <w:tcBorders>
              <w:top w:val="single" w:color="auto" w:sz="4" w:space="0"/>
              <w:left w:val="nil"/>
              <w:bottom w:val="single" w:color="auto" w:sz="4" w:space="0"/>
              <w:right w:val="nil"/>
            </w:tcBorders>
            <w:shd w:val="clear" w:color="auto" w:fill="auto"/>
            <w:vAlign w:val="center"/>
          </w:tcPr>
          <w:p w14:paraId="33CB22B0">
            <w:pPr>
              <w:ind w:left="119" w:leftChars="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tcBorders>
              <w:top w:val="single" w:color="auto" w:sz="4" w:space="0"/>
              <w:left w:val="nil"/>
              <w:bottom w:val="single" w:color="auto" w:sz="4" w:space="0"/>
              <w:right w:val="nil"/>
            </w:tcBorders>
            <w:shd w:val="clear" w:color="auto" w:fill="auto"/>
            <w:vAlign w:val="center"/>
          </w:tcPr>
          <w:p w14:paraId="02374D1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rPr>
              <w:t>{% if type == “tissue” %}</w:t>
            </w:r>
            <w:r>
              <w:rPr>
                <w:rFonts w:hint="eastAsia" w:ascii="宋体" w:hAnsi="宋体" w:eastAsia="宋体" w:cs="宋体"/>
                <w:sz w:val="18"/>
                <w:szCs w:val="18"/>
                <w:lang w:eastAsia="zh-CN" w:bidi="ar"/>
              </w:rPr>
              <w:t>≥500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color w:val="000000"/>
                <w:sz w:val="18"/>
                <w:szCs w:val="18"/>
                <w:lang w:eastAsia="zh-CN"/>
              </w:rPr>
              <w:t>15</w:t>
            </w:r>
            <w:r>
              <w:rPr>
                <w:rFonts w:hint="eastAsia" w:ascii="宋体" w:hAnsi="宋体" w:eastAsia="宋体" w:cs="宋体"/>
                <w:color w:val="000000"/>
                <w:sz w:val="18"/>
                <w:szCs w:val="18"/>
              </w:rPr>
              <w:t>00</w:t>
            </w:r>
            <w:r>
              <w:rPr>
                <w:rFonts w:hint="eastAsia" w:ascii="宋体" w:hAnsi="宋体" w:eastAsia="宋体" w:cs="宋体"/>
                <w:sz w:val="18"/>
                <w:szCs w:val="18"/>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0C78DC5D">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319F1ED9">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lang w:eastAsia="zh-CN"/>
              </w:rPr>
              <w:t>覆盖均一性</w:t>
            </w:r>
          </w:p>
        </w:tc>
        <w:tc>
          <w:tcPr>
            <w:tcW w:w="2378" w:type="dxa"/>
            <w:tcBorders>
              <w:top w:val="single" w:color="auto" w:sz="4" w:space="0"/>
              <w:left w:val="nil"/>
              <w:bottom w:val="single" w:color="auto" w:sz="4" w:space="0"/>
              <w:right w:val="nil"/>
            </w:tcBorders>
            <w:shd w:val="clear" w:color="auto" w:fill="auto"/>
            <w:vAlign w:val="center"/>
          </w:tcPr>
          <w:p w14:paraId="5653B673">
            <w:pPr>
              <w:ind w:left="119" w:leftChars="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tcBorders>
              <w:top w:val="single" w:color="auto" w:sz="4" w:space="0"/>
              <w:left w:val="nil"/>
              <w:bottom w:val="single" w:color="auto" w:sz="4" w:space="0"/>
              <w:right w:val="nil"/>
            </w:tcBorders>
            <w:shd w:val="clear" w:color="auto" w:fill="auto"/>
            <w:vAlign w:val="center"/>
          </w:tcPr>
          <w:p w14:paraId="468CE3C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6217B9B7">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4500E10A">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lang w:eastAsia="zh-CN"/>
              </w:rPr>
              <w:t>基因组比对率</w:t>
            </w:r>
          </w:p>
        </w:tc>
        <w:tc>
          <w:tcPr>
            <w:tcW w:w="2378" w:type="dxa"/>
            <w:tcBorders>
              <w:top w:val="single" w:color="auto" w:sz="4" w:space="0"/>
              <w:left w:val="nil"/>
              <w:bottom w:val="single" w:color="auto" w:sz="4" w:space="0"/>
              <w:right w:val="nil"/>
            </w:tcBorders>
            <w:shd w:val="clear" w:color="auto" w:fill="auto"/>
            <w:vAlign w:val="center"/>
          </w:tcPr>
          <w:p w14:paraId="75F6EC05">
            <w:pPr>
              <w:ind w:left="119" w:leftChars="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tcBorders>
              <w:top w:val="single" w:color="auto" w:sz="4" w:space="0"/>
              <w:left w:val="nil"/>
              <w:bottom w:val="single" w:color="auto" w:sz="4" w:space="0"/>
              <w:right w:val="nil"/>
            </w:tcBorders>
            <w:shd w:val="clear" w:color="auto" w:fill="auto"/>
            <w:vAlign w:val="center"/>
          </w:tcPr>
          <w:p w14:paraId="1EE09AD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1CEA37F6">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592F435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碱基质量Q30</w:t>
            </w:r>
            <w:r>
              <w:rPr>
                <w:rFonts w:hint="eastAsia" w:ascii="宋体" w:hAnsi="宋体" w:eastAsia="宋体" w:cs="宋体"/>
                <w:bCs/>
                <w:sz w:val="18"/>
                <w:szCs w:val="18"/>
                <w:lang w:eastAsia="zh-CN"/>
              </w:rPr>
              <w:t>占比</w:t>
            </w:r>
          </w:p>
        </w:tc>
        <w:tc>
          <w:tcPr>
            <w:tcW w:w="2378" w:type="dxa"/>
            <w:tcBorders>
              <w:top w:val="single" w:color="auto" w:sz="4" w:space="0"/>
              <w:left w:val="nil"/>
              <w:bottom w:val="single" w:color="auto" w:sz="4" w:space="0"/>
              <w:right w:val="nil"/>
            </w:tcBorders>
            <w:shd w:val="clear" w:color="auto" w:fill="auto"/>
            <w:vAlign w:val="center"/>
          </w:tcPr>
          <w:p w14:paraId="407FCC62">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tcBorders>
              <w:top w:val="single" w:color="auto" w:sz="4" w:space="0"/>
              <w:left w:val="nil"/>
              <w:bottom w:val="single" w:color="auto" w:sz="4" w:space="0"/>
              <w:right w:val="nil"/>
            </w:tcBorders>
            <w:shd w:val="clear" w:color="auto" w:fill="auto"/>
            <w:vAlign w:val="center"/>
          </w:tcPr>
          <w:p w14:paraId="30740C44">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uto" w:sz="4" w:space="0"/>
              <w:left w:val="nil"/>
              <w:bottom w:val="single" w:color="auto" w:sz="4" w:space="0"/>
              <w:right w:val="nil"/>
            </w:tcBorders>
            <w:shd w:val="clear" w:color="auto" w:fill="F1F1F1"/>
            <w:vAlign w:val="center"/>
          </w:tcPr>
          <w:p w14:paraId="537432B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tcBorders>
              <w:top w:val="single" w:color="auto" w:sz="4" w:space="0"/>
              <w:left w:val="nil"/>
              <w:bottom w:val="single" w:color="auto" w:sz="4" w:space="0"/>
              <w:right w:val="nil"/>
            </w:tcBorders>
            <w:shd w:val="clear" w:color="auto" w:fill="F1F1F1"/>
            <w:vAlign w:val="center"/>
          </w:tcPr>
          <w:p w14:paraId="4009FD6B">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overall_quality_assessment }}</w:t>
            </w:r>
          </w:p>
        </w:tc>
      </w:tr>
    </w:tbl>
    <w:p w14:paraId="378CD73A">
      <w:pPr>
        <w:spacing w:before="53" w:line="240" w:lineRule="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注：</w:t>
      </w:r>
    </w:p>
    <w:p w14:paraId="7608290B">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肿瘤细胞含量：送检样本经HE染色评估的肿瘤细胞含量。如送检样本不满足病理评估所需条件，则不进行此项评估。{% if type == “blood” %}血浆cfDNA样本不做此项评估。{% endif %}</w:t>
      </w:r>
    </w:p>
    <w:p w14:paraId="6E856E5E">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DNA总量：送检样本的DNA提取总量。</w:t>
      </w:r>
    </w:p>
    <w:p w14:paraId="014FC99F">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预文库总量：核酸片段经过接头连接和扩增纯化后中间产物的总量。</w:t>
      </w:r>
    </w:p>
    <w:p w14:paraId="629AC188">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平均测序深度：目标区域每个碱基被测到的平均次数。</w:t>
      </w:r>
    </w:p>
    <w:p w14:paraId="2F791A86">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覆盖均一性：测序深度达到平均测序深度20%的碱基占比。</w:t>
      </w:r>
    </w:p>
    <w:p w14:paraId="03DDA058">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基因组比对率：比对到参考基因组上的reads数目占比。</w:t>
      </w:r>
    </w:p>
    <w:p w14:paraId="703900C2">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碱基质量Q30占比：测序数据中碱基质量在Q30以上（即碱基识别错误率在千分之一以下）的占比。</w:t>
      </w:r>
    </w:p>
    <w:p w14:paraId="16580391">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总体质量评估：根据 DNA 平均测序深度进行评估，分为“合格”、“警戒”、“不合格”三个等级。总体质量评估为“警戒”或者“不合格”时，均会影响检测的准确性和敏感性。</w:t>
      </w:r>
    </w:p>
    <w:bookmarkEnd w:id="9"/>
    <w:bookmarkEnd w:id="10"/>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936EA18">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bookmarkStart w:id="11" w:name="_Toc16778"/>
      <w:bookmarkStart w:id="12" w:name="_Toc16593"/>
      <w:bookmarkStart w:id="13" w:name="_Toc15114"/>
      <w:bookmarkStart w:id="14" w:name="_Toc3409"/>
      <w:bookmarkStart w:id="15" w:name="_Toc20170_WPSOffice_Level1"/>
      <w:bookmarkStart w:id="16" w:name="_Toc28454_WPSOffice_Level1"/>
      <w:bookmarkStart w:id="17" w:name="_Toc20924"/>
      <w:bookmarkStart w:id="18" w:name="_Toc31185"/>
      <w:bookmarkStart w:id="19" w:name="_Toc26985_WPSOffice_Level1"/>
      <w:bookmarkStart w:id="20" w:name="_Toc27693"/>
    </w:p>
    <w:p w14:paraId="57E83C5A">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4" name="同侧圆角矩形 24"/>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D0406DE">
                            <w:pPr>
                              <w:rPr>
                                <w:rFonts w:hint="default"/>
                                <w:color w:val="FFFFFF" w:themeColor="background1"/>
                                <w:sz w:val="24"/>
                                <w:szCs w:val="24"/>
                                <w:lang w:val="en-US" w:eastAsia="zh-CN"/>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子宫内膜癌分子分型与预后的相关性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ICJFUCWAgAAHAUAAA4AAABkcnMvZTJvRG9jLnhtbK1UzW4T&#10;MRC+I/EOlu90k7QN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RJYZp7Pj+44efPy73n9//vvz068u3/fevBI3IVG39EC8s7cK1mkcxwt6VTsd/BER2id2La3bF&#10;LhCOh/3DztFJ95gSjrbeydPuINGf3dy2zodnAjSJQk4dbEzRW2JNL7GPiV62PfMBc+OlK+eY1oOS&#10;xVwqlRS3Xk2VI1uGPe8OpvOTfiwer9xxU4bUsah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ICJFUC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2D0406DE">
                      <w:pPr>
                        <w:rPr>
                          <w:rFonts w:hint="default"/>
                          <w:color w:val="FFFFFF" w:themeColor="background1"/>
                          <w:sz w:val="24"/>
                          <w:szCs w:val="24"/>
                          <w:lang w:val="en-US" w:eastAsia="zh-CN"/>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子宫内膜癌分子分型与预后的相关性</w:t>
                      </w:r>
                    </w:p>
                  </w:txbxContent>
                </v:textbox>
                <w10:wrap type="none"/>
                <w10:anchorlock/>
              </v:shape>
            </w:pict>
          </mc:Fallback>
        </mc:AlternateContent>
      </w:r>
    </w:p>
    <w:p w14:paraId="3650EFCE">
      <w:pPr>
        <w:spacing w:after="120" w:afterLines="50" w:line="440" w:lineRule="exact"/>
        <w:jc w:val="center"/>
        <w:rPr>
          <w:rFonts w:hint="eastAsia" w:ascii="宋体" w:hAnsi="宋体" w:eastAsia="宋体" w:cs="宋体"/>
          <w:b/>
          <w:bCs/>
          <w:sz w:val="18"/>
          <w:szCs w:val="18"/>
          <w:lang w:eastAsia="zh-CN"/>
        </w:rPr>
      </w:pPr>
      <w:r>
        <w:rPr>
          <w:rFonts w:hint="eastAsia" w:ascii="宋体" w:hAnsi="宋体" w:eastAsia="宋体" w:cs="宋体"/>
          <w:b/>
          <w:bCs/>
          <w:sz w:val="18"/>
          <w:szCs w:val="18"/>
          <w:lang w:eastAsia="zh-CN"/>
        </w:rPr>
        <w:t>表1. 预后危险因素定义和分组及术后辅助治疗方案</w:t>
      </w:r>
    </w:p>
    <w:tbl>
      <w:tblPr>
        <w:tblStyle w:val="14"/>
        <w:tblW w:w="0" w:type="auto"/>
        <w:tblInd w:w="111"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shd w:val="clear" w:color="auto" w:fill="00D392"/>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危险分期</w:t>
            </w:r>
          </w:p>
        </w:tc>
        <w:tc>
          <w:tcPr>
            <w:tcW w:w="2388" w:type="dxa"/>
            <w:shd w:val="clear" w:color="auto" w:fill="00D392"/>
            <w:vAlign w:val="center"/>
          </w:tcPr>
          <w:p w14:paraId="31F2AD0D">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分子分型未知</w:t>
            </w:r>
          </w:p>
        </w:tc>
        <w:tc>
          <w:tcPr>
            <w:tcW w:w="2976" w:type="dxa"/>
            <w:shd w:val="clear" w:color="auto" w:fill="00D392"/>
            <w:vAlign w:val="center"/>
          </w:tcPr>
          <w:p w14:paraId="69B19677">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分子分型已知</w:t>
            </w:r>
            <w:r>
              <w:rPr>
                <w:rFonts w:hint="eastAsia" w:ascii="宋体" w:hAnsi="宋体" w:eastAsia="宋体" w:cs="宋体"/>
                <w:b/>
                <w:bCs/>
                <w:color w:val="FFFFFF" w:themeColor="background1"/>
                <w:sz w:val="18"/>
                <w:szCs w:val="18"/>
                <w:vertAlign w:val="superscript"/>
                <w:lang w:eastAsia="zh-CN"/>
                <w14:textFill>
                  <w14:solidFill>
                    <w14:schemeClr w14:val="bg1"/>
                  </w14:solidFill>
                </w14:textFill>
              </w:rPr>
              <w:t>△</w:t>
            </w:r>
          </w:p>
        </w:tc>
        <w:tc>
          <w:tcPr>
            <w:tcW w:w="3533" w:type="dxa"/>
            <w:shd w:val="clear" w:color="auto" w:fill="00D392"/>
            <w:vAlign w:val="center"/>
          </w:tcPr>
          <w:p w14:paraId="37C07D6C">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辅助治疗方案</w:t>
            </w:r>
          </w:p>
        </w:tc>
      </w:tr>
      <w:tr w14:paraId="32AA68C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0ACF25CA">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低危</w:t>
            </w:r>
          </w:p>
        </w:tc>
        <w:tc>
          <w:tcPr>
            <w:tcW w:w="2388" w:type="dxa"/>
            <w:vAlign w:val="center"/>
          </w:tcPr>
          <w:p w14:paraId="3FC6BD1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w:t>
            </w:r>
          </w:p>
        </w:tc>
        <w:tc>
          <w:tcPr>
            <w:tcW w:w="2976" w:type="dxa"/>
            <w:vAlign w:val="center"/>
          </w:tcPr>
          <w:p w14:paraId="17BB1882">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Ⅰ~Ⅱ期，</w:t>
            </w:r>
            <w:r>
              <w:rPr>
                <w:rFonts w:hint="eastAsia" w:ascii="宋体" w:hAnsi="宋体" w:eastAsia="宋体" w:cs="宋体"/>
                <w:b/>
                <w:bCs/>
                <w:i/>
                <w:iCs/>
                <w:sz w:val="18"/>
                <w:szCs w:val="18"/>
                <w:lang w:eastAsia="zh-CN"/>
              </w:rPr>
              <w:t>POLE</w:t>
            </w:r>
            <w:r>
              <w:rPr>
                <w:rFonts w:hint="eastAsia" w:ascii="宋体" w:hAnsi="宋体" w:eastAsia="宋体" w:cs="宋体"/>
                <w:b/>
                <w:bCs/>
                <w:sz w:val="18"/>
                <w:szCs w:val="18"/>
                <w:lang w:eastAsia="zh-CN"/>
              </w:rPr>
              <w:t xml:space="preserve"> mut</w:t>
            </w:r>
            <w:r>
              <w:rPr>
                <w:rFonts w:hint="eastAsia" w:ascii="宋体" w:hAnsi="宋体" w:eastAsia="宋体" w:cs="宋体"/>
                <w:sz w:val="18"/>
                <w:szCs w:val="18"/>
                <w:lang w:eastAsia="zh-CN"/>
              </w:rPr>
              <w:t>内膜样癌，无残留病灶</w:t>
            </w:r>
          </w:p>
          <w:p w14:paraId="66D95599">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+LVSI无或局灶</w:t>
            </w:r>
          </w:p>
        </w:tc>
        <w:tc>
          <w:tcPr>
            <w:tcW w:w="3533" w:type="dxa"/>
            <w:vAlign w:val="center"/>
          </w:tcPr>
          <w:p w14:paraId="555B956E">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不推荐进行辅助治疗</w:t>
            </w:r>
          </w:p>
        </w:tc>
      </w:tr>
      <w:tr w14:paraId="24FE700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207E7A83">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中危</w:t>
            </w:r>
          </w:p>
        </w:tc>
        <w:tc>
          <w:tcPr>
            <w:tcW w:w="2388" w:type="dxa"/>
            <w:vAlign w:val="center"/>
          </w:tcPr>
          <w:p w14:paraId="3BDB047C">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3711B79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73EAF93C">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ⅠA期非内膜样癌（浆液性癌、透明细胞癌、未分化癌、癌肉瘤、混合细胞癌）不伴肌层浸润</w:t>
            </w:r>
          </w:p>
        </w:tc>
        <w:tc>
          <w:tcPr>
            <w:tcW w:w="2976" w:type="dxa"/>
            <w:vAlign w:val="center"/>
          </w:tcPr>
          <w:p w14:paraId="0C18415D">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29133F3F">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024C05FE">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w:t>
            </w:r>
            <w:r>
              <w:rPr>
                <w:rFonts w:hint="eastAsia" w:ascii="宋体" w:hAnsi="宋体" w:eastAsia="宋体" w:cs="宋体"/>
                <w:b/>
                <w:bCs/>
                <w:sz w:val="18"/>
                <w:szCs w:val="18"/>
                <w:lang w:eastAsia="zh-CN"/>
              </w:rPr>
              <w:t>p53abn</w:t>
            </w:r>
            <w:r>
              <w:rPr>
                <w:rFonts w:hint="eastAsia" w:ascii="宋体" w:hAnsi="宋体" w:eastAsia="宋体" w:cs="宋体"/>
                <w:sz w:val="18"/>
                <w:szCs w:val="18"/>
                <w:lang w:eastAsia="zh-CN"/>
              </w:rPr>
              <w:t>和（或）非内膜样癌（浆液性癌、透明细胞癌、未分化癌、癌肉瘤、混合细胞癌）不伴肌层浸润</w:t>
            </w:r>
          </w:p>
        </w:tc>
        <w:tc>
          <w:tcPr>
            <w:tcW w:w="3533" w:type="dxa"/>
            <w:vAlign w:val="center"/>
          </w:tcPr>
          <w:p w14:paraId="7BE8E968">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近距离腔内放疗可以减少中危子宫内膜癌患者的复发风险，对中危患者也可不进行辅助治疗，尤其是60岁以下的患者。已知分子分型后，</w:t>
            </w:r>
            <w:r>
              <w:rPr>
                <w:rFonts w:hint="eastAsia" w:ascii="宋体" w:hAnsi="宋体" w:eastAsia="宋体" w:cs="宋体"/>
                <w:b/>
                <w:bCs/>
                <w:sz w:val="18"/>
                <w:szCs w:val="18"/>
                <w:lang w:eastAsia="zh-CN"/>
              </w:rPr>
              <w:t>p53abn</w:t>
            </w:r>
            <w:r>
              <w:rPr>
                <w:rFonts w:hint="eastAsia" w:ascii="宋体" w:hAnsi="宋体" w:eastAsia="宋体" w:cs="宋体"/>
                <w:sz w:val="18"/>
                <w:szCs w:val="18"/>
                <w:lang w:eastAsia="zh-CN"/>
              </w:rPr>
              <w:t>内膜样癌局限于内膜层或不伴肌层浸润者，通常不建议辅助治疗。</w:t>
            </w:r>
          </w:p>
        </w:tc>
      </w:tr>
      <w:tr w14:paraId="3CE1EEF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223409EA">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高-中危</w:t>
            </w:r>
          </w:p>
        </w:tc>
        <w:tc>
          <w:tcPr>
            <w:tcW w:w="2388" w:type="dxa"/>
            <w:vAlign w:val="center"/>
          </w:tcPr>
          <w:p w14:paraId="2D2C4CFF">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Ⅰ期内膜样癌+弥漫LVSI，无论级别与浸润深度 </w:t>
            </w:r>
          </w:p>
          <w:p w14:paraId="665781F6">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，无论LVSI状态 </w:t>
            </w:r>
          </w:p>
          <w:p w14:paraId="48077D1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Ⅱ期</w:t>
            </w:r>
          </w:p>
        </w:tc>
        <w:tc>
          <w:tcPr>
            <w:tcW w:w="2976" w:type="dxa"/>
            <w:vAlign w:val="center"/>
          </w:tcPr>
          <w:p w14:paraId="313F45D1">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 xml:space="preserve">内膜样癌+弥漫LVSI，无论级别或浸润深度 </w:t>
            </w:r>
          </w:p>
          <w:p w14:paraId="20723D06">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，无论LVSI状态 </w:t>
            </w:r>
          </w:p>
          <w:p w14:paraId="18E72224">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Ⅱ期，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w:t>
            </w:r>
          </w:p>
        </w:tc>
        <w:tc>
          <w:tcPr>
            <w:tcW w:w="3533" w:type="dxa"/>
            <w:vAlign w:val="center"/>
          </w:tcPr>
          <w:p w14:paraId="050C1B1C">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淋巴结分期为pN</w:t>
            </w:r>
            <w:r>
              <w:rPr>
                <w:rFonts w:hint="eastAsia" w:ascii="宋体" w:hAnsi="宋体" w:eastAsia="宋体" w:cs="宋体"/>
                <w:sz w:val="18"/>
                <w:szCs w:val="18"/>
                <w:vertAlign w:val="subscript"/>
                <w:lang w:eastAsia="zh-CN"/>
              </w:rPr>
              <w:t>0</w:t>
            </w:r>
            <w:r>
              <w:rPr>
                <w:rFonts w:hint="eastAsia" w:ascii="宋体" w:hAnsi="宋体" w:eastAsia="宋体" w:cs="宋体"/>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未进行淋巴结分期手术（cN</w:t>
            </w:r>
            <w:r>
              <w:rPr>
                <w:rFonts w:hint="eastAsia" w:ascii="宋体" w:hAnsi="宋体" w:eastAsia="宋体" w:cs="宋体"/>
                <w:sz w:val="18"/>
                <w:szCs w:val="18"/>
                <w:vertAlign w:val="subscript"/>
                <w:lang w:eastAsia="zh-CN"/>
              </w:rPr>
              <w:t>0</w:t>
            </w:r>
            <w:r>
              <w:rPr>
                <w:rFonts w:hint="eastAsia" w:ascii="宋体" w:hAnsi="宋体" w:eastAsia="宋体" w:cs="宋体"/>
                <w:sz w:val="18"/>
                <w:szCs w:val="18"/>
                <w:lang w:eastAsia="zh-CN"/>
              </w:rPr>
              <w:t>/pN</w:t>
            </w:r>
            <w:r>
              <w:rPr>
                <w:rFonts w:hint="eastAsia" w:ascii="宋体" w:hAnsi="宋体" w:eastAsia="宋体" w:cs="宋体"/>
                <w:sz w:val="18"/>
                <w:szCs w:val="18"/>
                <w:vertAlign w:val="subscript"/>
                <w:lang w:eastAsia="zh-CN"/>
              </w:rPr>
              <w:t>x</w:t>
            </w:r>
            <w:r>
              <w:rPr>
                <w:rFonts w:hint="eastAsia" w:ascii="宋体" w:hAnsi="宋体" w:eastAsia="宋体" w:cs="宋体"/>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16A23CF1">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高危</w:t>
            </w:r>
          </w:p>
        </w:tc>
        <w:tc>
          <w:tcPr>
            <w:tcW w:w="2388" w:type="dxa"/>
            <w:vAlign w:val="center"/>
          </w:tcPr>
          <w:p w14:paraId="36921987">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Ⅲ~ⅣA期，无残留病灶 </w:t>
            </w:r>
          </w:p>
          <w:p w14:paraId="1CF38D7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Ⅰ~ⅣA期，非内膜样癌（浆液性癌、透明细胞癌、未分化癌、癌肉瘤、混合细胞癌）伴肌层浸润，无残留病灶</w:t>
            </w:r>
          </w:p>
        </w:tc>
        <w:tc>
          <w:tcPr>
            <w:tcW w:w="2976" w:type="dxa"/>
            <w:vAlign w:val="center"/>
          </w:tcPr>
          <w:p w14:paraId="3A31E727">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Ⅲ~ⅣA期，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 xml:space="preserve">内膜样癌无残留病灶 </w:t>
            </w:r>
          </w:p>
          <w:p w14:paraId="786FCE57">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Ⅰ~ⅣA期，</w:t>
            </w:r>
            <w:r>
              <w:rPr>
                <w:rFonts w:hint="eastAsia" w:ascii="宋体" w:hAnsi="宋体" w:eastAsia="宋体" w:cs="宋体"/>
                <w:b/>
                <w:bCs/>
                <w:sz w:val="18"/>
                <w:szCs w:val="18"/>
                <w:lang w:eastAsia="zh-CN"/>
              </w:rPr>
              <w:t>p53abn</w:t>
            </w:r>
            <w:r>
              <w:rPr>
                <w:rFonts w:hint="eastAsia" w:ascii="宋体" w:hAnsi="宋体" w:eastAsia="宋体" w:cs="宋体"/>
                <w:sz w:val="18"/>
                <w:szCs w:val="18"/>
                <w:lang w:eastAsia="zh-CN"/>
              </w:rPr>
              <w:t xml:space="preserve">内膜样癌伴肌层浸润，无残留病灶 </w:t>
            </w:r>
          </w:p>
          <w:p w14:paraId="48995DF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Ⅰ~ⅣA期，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非内膜样癌（浆液性癌、未分化癌、癌肉瘤），伴肌层浸润，无残留病灶</w:t>
            </w:r>
          </w:p>
        </w:tc>
        <w:tc>
          <w:tcPr>
            <w:tcW w:w="3533" w:type="dxa"/>
            <w:vAlign w:val="center"/>
          </w:tcPr>
          <w:p w14:paraId="6C9BFD83">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13A2EF2D">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晚期转移</w:t>
            </w:r>
          </w:p>
        </w:tc>
        <w:tc>
          <w:tcPr>
            <w:tcW w:w="2388" w:type="dxa"/>
            <w:vAlign w:val="center"/>
          </w:tcPr>
          <w:p w14:paraId="09E296FA">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Ⅲ~ⅣA期伴残留病灶 </w:t>
            </w:r>
          </w:p>
          <w:p w14:paraId="23A81EB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ⅣB期</w:t>
            </w:r>
          </w:p>
        </w:tc>
        <w:tc>
          <w:tcPr>
            <w:tcW w:w="2976" w:type="dxa"/>
            <w:vAlign w:val="center"/>
          </w:tcPr>
          <w:p w14:paraId="1C278C8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Ⅲ~ⅣA期，伴残留病灶，任何分子分型 </w:t>
            </w:r>
          </w:p>
          <w:p w14:paraId="42457182">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ⅣB期，任何分子分型</w:t>
            </w:r>
          </w:p>
        </w:tc>
        <w:tc>
          <w:tcPr>
            <w:tcW w:w="3533" w:type="dxa"/>
            <w:vAlign w:val="center"/>
          </w:tcPr>
          <w:p w14:paraId="46A8237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r>
        <w:rPr>
          <w:rFonts w:hint="eastAsia" w:ascii="宋体" w:hAnsi="宋体" w:eastAsia="宋体" w:cs="宋体"/>
          <w:b/>
          <w:bCs/>
          <w:sz w:val="13"/>
          <w:szCs w:val="13"/>
          <w:vertAlign w:val="superscript"/>
          <w:lang w:eastAsia="zh-CN"/>
        </w:rPr>
        <w:t>△</w:t>
      </w:r>
      <w:r>
        <w:rPr>
          <w:rFonts w:hint="eastAsia" w:ascii="宋体" w:hAnsi="宋体" w:eastAsia="宋体" w:cs="宋体"/>
          <w:b/>
          <w:bCs/>
          <w:sz w:val="13"/>
          <w:szCs w:val="13"/>
          <w:lang w:eastAsia="zh-CN"/>
        </w:rPr>
        <w:t>：对Ⅲ~ⅣA期POLEmut子宫内膜样癌和Ⅰ~ⅣA期dMMR或NSMP透明细胞癌伴肌层浸润者，没有充分的数据将这些患者分配到分子分型的预后危险组别中去。建议进行前瞻性登记；</w:t>
      </w:r>
      <w:r>
        <w:rPr>
          <w:rFonts w:hint="eastAsia" w:ascii="宋体" w:hAnsi="宋体" w:eastAsia="宋体" w:cs="宋体"/>
          <w:b/>
          <w:bCs/>
          <w:sz w:val="13"/>
          <w:szCs w:val="13"/>
          <w:vertAlign w:val="superscript"/>
          <w:lang w:eastAsia="zh-CN"/>
        </w:rPr>
        <w:t>*</w:t>
      </w:r>
      <w:r>
        <w:rPr>
          <w:rFonts w:hint="eastAsia" w:ascii="宋体" w:hAnsi="宋体" w:eastAsia="宋体" w:cs="宋体"/>
          <w:b/>
          <w:bCs/>
          <w:sz w:val="13"/>
          <w:szCs w:val="13"/>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宋体" w:hAnsi="宋体" w:eastAsia="宋体" w:cs="宋体"/>
          <w:b/>
          <w:bCs/>
          <w:sz w:val="18"/>
          <w:szCs w:val="18"/>
          <w:lang w:val="en-US" w:eastAsia="zh-CN"/>
        </w:rPr>
      </w:pPr>
      <w:r>
        <w:rPr>
          <w:rFonts w:hint="default" w:ascii="宋体" w:hAnsi="宋体" w:eastAsia="宋体" w:cs="宋体"/>
          <w:b/>
          <w:bCs/>
          <w:sz w:val="18"/>
          <w:szCs w:val="18"/>
          <w:lang w:val="en-US" w:eastAsia="zh-CN"/>
        </w:rPr>
        <w:t>表2 分子分型命名对照表</w:t>
      </w:r>
    </w:p>
    <w:tbl>
      <w:tblPr>
        <w:tblStyle w:val="14"/>
        <w:tblW w:w="0" w:type="auto"/>
        <w:tblInd w:w="111"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shd w:val="clear" w:color="auto" w:fill="00D392"/>
            <w:vAlign w:val="center"/>
          </w:tcPr>
          <w:p w14:paraId="10758677">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WHO</w:t>
            </w:r>
          </w:p>
        </w:tc>
        <w:tc>
          <w:tcPr>
            <w:tcW w:w="1662" w:type="dxa"/>
            <w:shd w:val="clear" w:color="auto" w:fill="00D392"/>
            <w:vAlign w:val="center"/>
          </w:tcPr>
          <w:p w14:paraId="5F34CA03">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ESGO</w:t>
            </w:r>
          </w:p>
        </w:tc>
        <w:tc>
          <w:tcPr>
            <w:tcW w:w="1662" w:type="dxa"/>
            <w:shd w:val="clear" w:color="auto" w:fill="00D392"/>
            <w:vAlign w:val="center"/>
          </w:tcPr>
          <w:p w14:paraId="5A5ECE9F">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NCCN</w:t>
            </w:r>
          </w:p>
        </w:tc>
        <w:tc>
          <w:tcPr>
            <w:tcW w:w="1662" w:type="dxa"/>
            <w:shd w:val="clear" w:color="auto" w:fill="00D392"/>
            <w:vAlign w:val="center"/>
          </w:tcPr>
          <w:p w14:paraId="42460E32">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TCGA</w:t>
            </w:r>
          </w:p>
        </w:tc>
        <w:tc>
          <w:tcPr>
            <w:tcW w:w="1662" w:type="dxa"/>
            <w:shd w:val="clear" w:color="auto" w:fill="00D392"/>
            <w:vAlign w:val="center"/>
          </w:tcPr>
          <w:p w14:paraId="3D983DF9">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ProMisE</w:t>
            </w:r>
          </w:p>
        </w:tc>
        <w:tc>
          <w:tcPr>
            <w:tcW w:w="1664" w:type="dxa"/>
            <w:shd w:val="clear" w:color="auto" w:fill="00D392"/>
            <w:vAlign w:val="center"/>
          </w:tcPr>
          <w:p w14:paraId="2DFF83EA">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Trans-PORTEC</w:t>
            </w:r>
          </w:p>
        </w:tc>
      </w:tr>
      <w:tr w14:paraId="2D7FA9D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3B4468E3">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mut</w:t>
            </w:r>
          </w:p>
        </w:tc>
        <w:tc>
          <w:tcPr>
            <w:tcW w:w="1662" w:type="dxa"/>
            <w:vAlign w:val="center"/>
          </w:tcPr>
          <w:p w14:paraId="3289E533">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mut</w:t>
            </w:r>
          </w:p>
        </w:tc>
        <w:tc>
          <w:tcPr>
            <w:tcW w:w="1662" w:type="dxa"/>
            <w:vAlign w:val="center"/>
          </w:tcPr>
          <w:p w14:paraId="761B41AC">
            <w:pPr>
              <w:widowControl/>
              <w:jc w:val="center"/>
              <w:rPr>
                <w:rFonts w:hint="eastAsia" w:ascii="宋体" w:hAnsi="宋体" w:eastAsia="宋体" w:cs="宋体"/>
                <w:i/>
                <w:iCs/>
                <w:sz w:val="18"/>
                <w:szCs w:val="18"/>
                <w:lang w:eastAsia="zh-CN"/>
              </w:rPr>
            </w:pPr>
            <w:r>
              <w:rPr>
                <w:rFonts w:hint="eastAsia" w:ascii="宋体" w:hAnsi="宋体" w:eastAsia="宋体" w:cs="宋体"/>
                <w:i/>
                <w:iCs/>
                <w:sz w:val="18"/>
                <w:szCs w:val="18"/>
                <w:lang w:eastAsia="zh-CN"/>
              </w:rPr>
              <w:t>POLE</w:t>
            </w:r>
          </w:p>
        </w:tc>
        <w:tc>
          <w:tcPr>
            <w:tcW w:w="1662" w:type="dxa"/>
            <w:vAlign w:val="center"/>
          </w:tcPr>
          <w:p w14:paraId="48D46CBD">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(ultramutated)</w:t>
            </w:r>
          </w:p>
        </w:tc>
        <w:tc>
          <w:tcPr>
            <w:tcW w:w="1662" w:type="dxa"/>
            <w:vAlign w:val="center"/>
          </w:tcPr>
          <w:p w14:paraId="76AAB1A5">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EDM</w:t>
            </w:r>
          </w:p>
        </w:tc>
        <w:tc>
          <w:tcPr>
            <w:tcW w:w="1664" w:type="dxa"/>
            <w:vAlign w:val="center"/>
          </w:tcPr>
          <w:p w14:paraId="774C52BD">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-mutant</w:t>
            </w:r>
          </w:p>
        </w:tc>
      </w:tr>
      <w:tr w14:paraId="53431AF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1CE28C18">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MMRd</w:t>
            </w:r>
          </w:p>
        </w:tc>
        <w:tc>
          <w:tcPr>
            <w:tcW w:w="1662" w:type="dxa"/>
            <w:vAlign w:val="center"/>
          </w:tcPr>
          <w:p w14:paraId="5E6ABAB4">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MMRd</w:t>
            </w:r>
          </w:p>
        </w:tc>
        <w:tc>
          <w:tcPr>
            <w:tcW w:w="1662" w:type="dxa"/>
            <w:vAlign w:val="center"/>
          </w:tcPr>
          <w:p w14:paraId="0F8F9C36">
            <w:pPr>
              <w:widowControl/>
              <w:jc w:val="center"/>
              <w:rPr>
                <w:rFonts w:hint="eastAsia" w:ascii="宋体" w:hAnsi="宋体" w:eastAsia="宋体" w:cs="宋体"/>
                <w:i w:val="0"/>
                <w:iCs w:val="0"/>
                <w:sz w:val="18"/>
                <w:szCs w:val="18"/>
                <w:highlight w:val="none"/>
                <w:lang w:eastAsia="zh-CN"/>
              </w:rPr>
            </w:pPr>
            <w:r>
              <w:rPr>
                <w:rFonts w:hint="eastAsia" w:ascii="宋体" w:hAnsi="宋体" w:eastAsia="宋体" w:cs="宋体"/>
                <w:i w:val="0"/>
                <w:iCs w:val="0"/>
                <w:sz w:val="18"/>
                <w:szCs w:val="18"/>
                <w:highlight w:val="none"/>
                <w:lang w:eastAsia="zh-CN"/>
              </w:rPr>
              <w:t>dMMR/MSI-H</w:t>
            </w:r>
          </w:p>
        </w:tc>
        <w:tc>
          <w:tcPr>
            <w:tcW w:w="1662" w:type="dxa"/>
            <w:vAlign w:val="center"/>
          </w:tcPr>
          <w:p w14:paraId="06FE5B32">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MSI (hypermutated)</w:t>
            </w:r>
          </w:p>
        </w:tc>
        <w:tc>
          <w:tcPr>
            <w:tcW w:w="1662" w:type="dxa"/>
            <w:vAlign w:val="center"/>
          </w:tcPr>
          <w:p w14:paraId="22654D6C">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MMR-D</w:t>
            </w:r>
          </w:p>
        </w:tc>
        <w:tc>
          <w:tcPr>
            <w:tcW w:w="1664" w:type="dxa"/>
            <w:vAlign w:val="center"/>
          </w:tcPr>
          <w:p w14:paraId="132B8183">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MSI</w:t>
            </w:r>
          </w:p>
        </w:tc>
      </w:tr>
      <w:tr w14:paraId="08507D4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38D97B49">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NSMP</w:t>
            </w:r>
          </w:p>
        </w:tc>
        <w:tc>
          <w:tcPr>
            <w:tcW w:w="1662" w:type="dxa"/>
            <w:vAlign w:val="center"/>
          </w:tcPr>
          <w:p w14:paraId="37781514">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NSMP</w:t>
            </w:r>
          </w:p>
        </w:tc>
        <w:tc>
          <w:tcPr>
            <w:tcW w:w="1662" w:type="dxa"/>
            <w:vAlign w:val="center"/>
          </w:tcPr>
          <w:p w14:paraId="7F788F81">
            <w:pPr>
              <w:widowControl/>
              <w:jc w:val="center"/>
              <w:rPr>
                <w:rFonts w:hint="eastAsia" w:ascii="宋体" w:hAnsi="宋体" w:eastAsia="宋体" w:cs="宋体"/>
                <w:i w:val="0"/>
                <w:iCs w:val="0"/>
                <w:sz w:val="18"/>
                <w:szCs w:val="18"/>
                <w:highlight w:val="none"/>
                <w:lang w:eastAsia="zh-CN"/>
              </w:rPr>
            </w:pPr>
            <w:r>
              <w:rPr>
                <w:rFonts w:hint="eastAsia" w:ascii="宋体" w:hAnsi="宋体" w:eastAsia="宋体" w:cs="宋体"/>
                <w:i w:val="0"/>
                <w:iCs w:val="0"/>
                <w:sz w:val="18"/>
                <w:szCs w:val="18"/>
                <w:highlight w:val="none"/>
                <w:lang w:eastAsia="zh-CN"/>
              </w:rPr>
              <w:t>NSMP</w:t>
            </w:r>
          </w:p>
        </w:tc>
        <w:tc>
          <w:tcPr>
            <w:tcW w:w="1662" w:type="dxa"/>
            <w:vAlign w:val="center"/>
          </w:tcPr>
          <w:p w14:paraId="7B02BF7B">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CNL (endometrioid)</w:t>
            </w:r>
          </w:p>
        </w:tc>
        <w:tc>
          <w:tcPr>
            <w:tcW w:w="1662" w:type="dxa"/>
            <w:vAlign w:val="center"/>
          </w:tcPr>
          <w:p w14:paraId="05038FA8">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p53 wt</w:t>
            </w:r>
          </w:p>
        </w:tc>
        <w:tc>
          <w:tcPr>
            <w:tcW w:w="1664" w:type="dxa"/>
            <w:vAlign w:val="center"/>
          </w:tcPr>
          <w:p w14:paraId="71951C9F">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NSMP</w:t>
            </w:r>
          </w:p>
        </w:tc>
      </w:tr>
      <w:tr w14:paraId="2DEB88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43CED113">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p53 abn</w:t>
            </w:r>
          </w:p>
        </w:tc>
        <w:tc>
          <w:tcPr>
            <w:tcW w:w="1662" w:type="dxa"/>
            <w:vAlign w:val="center"/>
          </w:tcPr>
          <w:p w14:paraId="66C13C7F">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p53 abn</w:t>
            </w:r>
          </w:p>
        </w:tc>
        <w:tc>
          <w:tcPr>
            <w:tcW w:w="1662" w:type="dxa"/>
            <w:vAlign w:val="center"/>
          </w:tcPr>
          <w:p w14:paraId="0638E243">
            <w:pPr>
              <w:widowControl/>
              <w:jc w:val="center"/>
              <w:rPr>
                <w:rFonts w:hint="eastAsia" w:ascii="宋体" w:hAnsi="宋体" w:eastAsia="宋体" w:cs="宋体"/>
                <w:i w:val="0"/>
                <w:iCs w:val="0"/>
                <w:sz w:val="18"/>
                <w:szCs w:val="18"/>
                <w:highlight w:val="none"/>
                <w:lang w:eastAsia="zh-CN"/>
              </w:rPr>
            </w:pPr>
            <w:r>
              <w:rPr>
                <w:rFonts w:hint="eastAsia" w:ascii="宋体" w:hAnsi="宋体" w:eastAsia="宋体" w:cs="宋体"/>
                <w:i w:val="0"/>
                <w:iCs w:val="0"/>
                <w:sz w:val="18"/>
                <w:szCs w:val="18"/>
                <w:highlight w:val="none"/>
                <w:lang w:eastAsia="zh-CN"/>
              </w:rPr>
              <w:t>p53-aberrant</w:t>
            </w:r>
          </w:p>
        </w:tc>
        <w:tc>
          <w:tcPr>
            <w:tcW w:w="1662" w:type="dxa"/>
            <w:vAlign w:val="center"/>
          </w:tcPr>
          <w:p w14:paraId="17CCC76D">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CNH (serous-like)</w:t>
            </w:r>
          </w:p>
        </w:tc>
        <w:tc>
          <w:tcPr>
            <w:tcW w:w="1662" w:type="dxa"/>
            <w:vAlign w:val="center"/>
          </w:tcPr>
          <w:p w14:paraId="56CF6CA9">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p53 abn</w:t>
            </w:r>
          </w:p>
        </w:tc>
        <w:tc>
          <w:tcPr>
            <w:tcW w:w="1664" w:type="dxa"/>
            <w:vAlign w:val="center"/>
          </w:tcPr>
          <w:p w14:paraId="47366A39">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p53-mutant</w:t>
            </w:r>
          </w:p>
        </w:tc>
      </w:tr>
    </w:tbl>
    <w:p w14:paraId="0F87CA76">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17A1362E">
      <w:pPr>
        <w:rPr>
          <w:rFonts w:hint="eastAsia" w:ascii="Times New Roman" w:hAnsi="Times New Roman" w:eastAsia="微软雅黑" w:cs="Times New Roman"/>
          <w:bCs/>
          <w:sz w:val="21"/>
          <w:szCs w:val="21"/>
          <w:lang w:eastAsia="zh-CN"/>
        </w:rPr>
      </w:pPr>
    </w:p>
    <w:p w14:paraId="2569164F">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bookmarkEnd w:id="11"/>
    <w:p w14:paraId="42CC37E7">
      <w:pPr>
        <w:rPr>
          <w:rFonts w:hint="eastAsia"/>
          <w:lang w:val="en-US" w:eastAsia="zh-CN"/>
        </w:rPr>
      </w:pPr>
    </w:p>
    <w:bookmarkEnd w:id="12"/>
    <w:tbl>
      <w:tblPr>
        <w:tblStyle w:val="14"/>
        <w:tblpPr w:leftFromText="181" w:rightFromText="181" w:vertAnchor="text" w:horzAnchor="page" w:tblpX="1390" w:tblpY="7"/>
        <w:tblOverlap w:val="never"/>
        <w:tblW w:w="986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3"/>
        <w:gridCol w:w="1233"/>
        <w:gridCol w:w="1233"/>
        <w:gridCol w:w="1233"/>
        <w:gridCol w:w="1233"/>
        <w:gridCol w:w="1233"/>
        <w:gridCol w:w="1233"/>
        <w:gridCol w:w="1233"/>
      </w:tblGrid>
      <w:tr w14:paraId="5465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76" w:type="dxa"/>
            <w:gridSpan w:val="8"/>
            <w:vAlign w:val="center"/>
          </w:tcPr>
          <w:p w14:paraId="693FB237">
            <w:pPr>
              <w:widowControl/>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8</w:t>
            </w:r>
            <w:r>
              <w:rPr>
                <w:rFonts w:hint="eastAsia" w:ascii="Times New Roman" w:hAnsi="Times New Roman" w:eastAsia="微软雅黑" w:cs="Times New Roman"/>
                <w:sz w:val="18"/>
                <w:szCs w:val="18"/>
                <w:lang w:eastAsia="zh-CN"/>
              </w:rPr>
              <w:t>,18,True) %}</w:t>
            </w:r>
          </w:p>
        </w:tc>
      </w:tr>
      <w:tr w14:paraId="35FDC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vAlign w:val="center"/>
          </w:tcPr>
          <w:p w14:paraId="2256731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247" w:type="dxa"/>
            <w:vAlign w:val="center"/>
          </w:tcPr>
          <w:p w14:paraId="06C344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247" w:type="dxa"/>
            <w:vAlign w:val="center"/>
          </w:tcPr>
          <w:p w14:paraId="3F9D680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247" w:type="dxa"/>
            <w:vAlign w:val="center"/>
          </w:tcPr>
          <w:p w14:paraId="080BF54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247" w:type="dxa"/>
            <w:vAlign w:val="center"/>
          </w:tcPr>
          <w:p w14:paraId="5002D99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247" w:type="dxa"/>
            <w:vAlign w:val="center"/>
          </w:tcPr>
          <w:p w14:paraId="1CADBA3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c>
          <w:tcPr>
            <w:tcW w:w="1247" w:type="dxa"/>
            <w:vAlign w:val="center"/>
          </w:tcPr>
          <w:p w14:paraId="453C9C12">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6</w:t>
            </w:r>
            <w:r>
              <w:rPr>
                <w:rFonts w:hint="eastAsia" w:ascii="Times New Roman" w:hAnsi="Times New Roman" w:eastAsia="微软雅黑" w:cs="Times New Roman"/>
                <w:i/>
                <w:sz w:val="21"/>
                <w:szCs w:val="21"/>
                <w:lang w:eastAsia="zh-CN"/>
              </w:rPr>
              <w:t>] }}</w:t>
            </w:r>
          </w:p>
        </w:tc>
        <w:tc>
          <w:tcPr>
            <w:tcW w:w="1247" w:type="dxa"/>
            <w:vAlign w:val="center"/>
          </w:tcPr>
          <w:p w14:paraId="7727EC31">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7</w:t>
            </w:r>
            <w:r>
              <w:rPr>
                <w:rFonts w:hint="eastAsia" w:ascii="Times New Roman" w:hAnsi="Times New Roman" w:eastAsia="微软雅黑" w:cs="Times New Roman"/>
                <w:i/>
                <w:sz w:val="21"/>
                <w:szCs w:val="21"/>
                <w:lang w:eastAsia="zh-CN"/>
              </w:rPr>
              <w:t>] }}</w:t>
            </w:r>
          </w:p>
        </w:tc>
      </w:tr>
      <w:tr w14:paraId="176AB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76" w:type="dxa"/>
            <w:gridSpan w:val="8"/>
            <w:vAlign w:val="center"/>
          </w:tcPr>
          <w:p w14:paraId="28FECCE8">
            <w:pPr>
              <w:spacing w:line="276" w:lineRule="auto"/>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7AAD0F9A">
      <w:pPr>
        <w:rPr>
          <w:rFonts w:hint="eastAsia"/>
          <w:sz w:val="30"/>
          <w:lang w:eastAsia="zh-CN"/>
        </w:rPr>
      </w:pPr>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p w14:paraId="575FF6CC">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bookmarkStart w:id="21" w:name="_Toc26028"/>
    </w:p>
    <w:p w14:paraId="3BBE394E">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C1A0D1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6"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6"/>
                          </w:p>
                          <w:p w14:paraId="513EFEC8">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C1A0D1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6"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6"/>
                    </w:p>
                    <w:p w14:paraId="513EFEC8">
                      <w:pPr>
                        <w:rPr>
                          <w:rFonts w:hint="default"/>
                          <w:lang w:val="en-US" w:eastAsia="zh-CN"/>
                        </w:rPr>
                      </w:pPr>
                    </w:p>
                  </w:txbxContent>
                </v:textbox>
                <w10:wrap type="none"/>
                <w10:anchorlock/>
              </v:shape>
            </w:pict>
          </mc:Fallback>
        </mc:AlternateContent>
      </w:r>
    </w:p>
    <w:bookmarkEnd w:id="13"/>
    <w:bookmarkEnd w:id="14"/>
    <w:bookmarkEnd w:id="21"/>
    <w:p w14:paraId="0A2C210C">
      <w:pPr>
        <w:rPr>
          <w:highlight w:val="yellow"/>
          <w:lang w:eastAsia="zh-CN"/>
        </w:rPr>
      </w:pPr>
    </w:p>
    <w:p w14:paraId="353D71D7">
      <w:pPr>
        <w:spacing w:line="276" w:lineRule="auto"/>
        <w:ind w:right="448"/>
        <w:rPr>
          <w:rFonts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bCs/>
          <w:color w:val="auto"/>
          <w:sz w:val="24"/>
          <w:szCs w:val="24"/>
          <w:lang w:eastAsia="zh-CN"/>
        </w:rPr>
        <w:t>检测方法</w:t>
      </w:r>
    </w:p>
    <w:p w14:paraId="1B1316ED">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eastAsia" w:ascii="宋体" w:hAnsi="宋体" w:eastAsia="宋体" w:cs="宋体"/>
          <w:bCs/>
          <w:sz w:val="21"/>
          <w:szCs w:val="21"/>
          <w:lang w:eastAsia="zh-CN"/>
        </w:rPr>
        <w:t>本次检测采用目标区域探针捕获技术，基于Illumina测序平台的二代高通量测序技术(NGS)对样本进行检测。检测结果包含：点突变、短片段插入缺失突变、拷贝数变异及基因重排等变异类型；</w:t>
      </w:r>
      <w:r>
        <w:rPr>
          <w:rFonts w:hint="eastAsia" w:ascii="宋体" w:hAnsi="宋体" w:eastAsia="宋体" w:cs="宋体"/>
          <w:bCs/>
          <w:sz w:val="21"/>
          <w:szCs w:val="21"/>
          <w:highlight w:val="none"/>
          <w:lang w:eastAsia="zh-CN"/>
        </w:rPr>
        <w:t>为</w:t>
      </w:r>
      <w:r>
        <w:rPr>
          <w:rFonts w:hint="eastAsia" w:ascii="宋体" w:hAnsi="宋体" w:eastAsia="宋体" w:cs="宋体"/>
          <w:bCs/>
          <w:sz w:val="21"/>
          <w:szCs w:val="21"/>
          <w:highlight w:val="none"/>
          <w:lang w:val="en-US" w:eastAsia="zh-CN"/>
        </w:rPr>
        <w:t>子宫内膜癌</w:t>
      </w:r>
      <w:r>
        <w:rPr>
          <w:rFonts w:hint="eastAsia" w:ascii="宋体" w:hAnsi="宋体" w:eastAsia="宋体" w:cs="宋体"/>
          <w:bCs/>
          <w:sz w:val="21"/>
          <w:szCs w:val="21"/>
          <w:highlight w:val="none"/>
          <w:lang w:eastAsia="zh-CN"/>
        </w:rPr>
        <w:t>个</w:t>
      </w:r>
      <w:r>
        <w:rPr>
          <w:rFonts w:hint="eastAsia" w:ascii="宋体" w:hAnsi="宋体" w:eastAsia="宋体" w:cs="宋体"/>
          <w:bCs/>
          <w:sz w:val="21"/>
          <w:szCs w:val="21"/>
          <w:lang w:eastAsia="zh-CN"/>
        </w:rPr>
        <w:t>性化精准诊疗提供分子分型、预后评估、靶向用药等参考信息。参考基因组为 GRCh37/hg19，变异命名原则参考HGVS规则。</w:t>
      </w:r>
    </w:p>
    <w:p w14:paraId="73084CC3">
      <w:pPr>
        <w:rPr>
          <w:rFonts w:ascii="Times New Roman" w:hAnsi="Times New Roman" w:eastAsia="微软雅黑" w:cs="Times New Roman"/>
          <w:bCs/>
          <w:sz w:val="21"/>
          <w:szCs w:val="21"/>
          <w:lang w:eastAsia="zh-CN"/>
        </w:rPr>
      </w:pPr>
    </w:p>
    <w:p w14:paraId="2201D570">
      <w:pPr>
        <w:spacing w:line="276" w:lineRule="auto"/>
        <w:ind w:right="448"/>
        <w:rPr>
          <w:rFonts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bCs/>
          <w:color w:val="auto"/>
          <w:sz w:val="24"/>
          <w:szCs w:val="24"/>
          <w:lang w:eastAsia="zh-CN"/>
        </w:rPr>
        <w:t>局限性说明</w:t>
      </w:r>
    </w:p>
    <w:p w14:paraId="2F1A5CF9">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突变检出的敏感度为1%，临床意义不明确的突变检出的敏感度为1%</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5398B467">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本检测报出的突变可能包括体细胞突变(非遗传性)，胚系突变(遗传性)。</w:t>
      </w:r>
    </w:p>
    <w:p w14:paraId="550DC97C">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p w14:paraId="19AC08DD">
      <w:pPr>
        <w:rPr>
          <w:rFonts w:hint="eastAsia" w:ascii="Times New Roman" w:hAnsi="Times New Roman" w:eastAsia="微软雅黑" w:cs="Times New Roman"/>
          <w:bCs/>
          <w:sz w:val="21"/>
          <w:szCs w:val="21"/>
          <w:lang w:eastAsia="zh-CN"/>
        </w:rPr>
      </w:pPr>
    </w:p>
    <w:bookmarkEnd w:id="15"/>
    <w:bookmarkEnd w:id="16"/>
    <w:bookmarkEnd w:id="17"/>
    <w:bookmarkEnd w:id="18"/>
    <w:bookmarkEnd w:id="19"/>
    <w:bookmarkEnd w:id="20"/>
    <w:p w14:paraId="6EE8A749">
      <w:pPr>
        <w:rPr>
          <w:rFonts w:hint="eastAsia"/>
          <w:lang w:val="en-US" w:eastAsia="zh-CN"/>
        </w:rPr>
      </w:pPr>
      <w:bookmarkStart w:id="22" w:name="_Toc23906"/>
      <w:bookmarkStart w:id="23" w:name="_Toc24849"/>
      <w:bookmarkStart w:id="24" w:name="_Toc22967"/>
      <w:bookmarkStart w:id="25" w:name="_Toc21361"/>
      <w:bookmarkStart w:id="26" w:name="_Toc13275"/>
      <w:bookmarkStart w:id="27" w:name="_Toc27809"/>
      <w:bookmarkStart w:id="28" w:name="_Toc22623"/>
      <w:bookmarkStart w:id="29" w:name="_Toc11901"/>
      <w:bookmarkStart w:id="30" w:name="_Toc19584_WPSOffice_Level1"/>
      <w:bookmarkStart w:id="31" w:name="_Toc3213"/>
      <w:bookmarkStart w:id="32" w:name="_Toc4503"/>
      <w:bookmarkStart w:id="33" w:name="_Toc17792_WPSOffice_Level2"/>
      <w:bookmarkStart w:id="34" w:name="_Toc22162_WPSOffice_Level1"/>
      <w:bookmarkStart w:id="35" w:name="_Toc14611_WPSOffice_Level1"/>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4A84E4D">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24A84E4D">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22"/>
      <w:bookmarkEnd w:id="23"/>
      <w:bookmarkEnd w:id="24"/>
      <w:bookmarkEnd w:id="25"/>
    </w:p>
    <w:bookmarkEnd w:id="26"/>
    <w:bookmarkEnd w:id="27"/>
    <w:bookmarkEnd w:id="28"/>
    <w:bookmarkEnd w:id="29"/>
    <w:bookmarkEnd w:id="30"/>
    <w:bookmarkEnd w:id="31"/>
    <w:bookmarkEnd w:id="32"/>
    <w:bookmarkEnd w:id="33"/>
    <w:bookmarkEnd w:id="34"/>
    <w:bookmarkEnd w:id="35"/>
    <w:p w14:paraId="4EA76210">
      <w:pPr>
        <w:widowControl/>
        <w:adjustRightInd w:val="0"/>
        <w:snapToGrid w:val="0"/>
        <w:spacing w:after="120" w:afterLines="50"/>
        <w:jc w:val="both"/>
        <w:rPr>
          <w:rFonts w:hint="default" w:ascii="Times New Roman" w:hAnsi="Times New Roman" w:eastAsia="宋体" w:cs="Times New Roman"/>
          <w:sz w:val="18"/>
          <w:szCs w:val="18"/>
          <w:shd w:val="clear" w:color="auto" w:fill="FFFFFF"/>
          <w:lang w:eastAsia="zh-CN" w:bidi="ar"/>
        </w:rPr>
      </w:pPr>
    </w:p>
    <w:p w14:paraId="709D1121">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Talhouk A, McConechy MK, Leung S, et al. Confirmation of ProMisE: A simple, genomics-based clinical classifier for endometrial cancer. Cancer. 2017 Mar 1;123(5):802-813. [PMID: 28061006]</w:t>
      </w:r>
    </w:p>
    <w:p w14:paraId="78BF922C">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Stelloo E, Bosse T, Nout RA, et al. Refining prognosis and identifying targetable pathways for high-risk endometrial cancer; a TransPORTEC initiative. Mod Pathol. 2015 Jun;28(6):836-44. [PMID: 25720322]</w:t>
      </w:r>
    </w:p>
    <w:p w14:paraId="7830B213">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Stelloo E, Nout RA, Osse EM, et al. Improved Risk Assessment by Integrating Molecular and Clinicopathological Factors in Early-stage Endometrial Cancer-Combined Analysis of the PORTEC Cohorts. Clin Cancer Res. 2016 Aug 15;22(16):4215-24. [PMID: 27006490]</w:t>
      </w:r>
    </w:p>
    <w:p w14:paraId="1F0ED43F">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Rios-Doria E, Momeni-Boroujeni A, Friedman CF, et al. Integration of clinical sequencing and immunohistochemistry for the molecular classification of endometrial carcinoma. Gynecol Oncol. 2023 Jul;174:262-272. doi: 10.1016/j.ygyno.2023.05.059. Epub 2023 May 26. [PMID: 37245486]</w:t>
      </w:r>
    </w:p>
    <w:p w14:paraId="74BCCB68">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Eskander RN, Sill MW, Beffa L, Moore RG, Hope JM, Musa FB, Mannel R, Shahin MS, Cantuaria GH, Girda E, Mathews C, Kavecansky J, Leath CA 3rd, Gien LT, Hinchcliff EM, Lele SB, Landrum LM, Backes F, O'Cearbhaill RE, Al Baghdadi T, Hill EK, Thaker PH, John VS, Welch S, Fader AN, Powell MA, Aghajanian C. Pembrolizumab plus Chemotherapy in Advanced Endometrial Cancer. N Engl J Med. 2023 Jun 8;388(23):2159-2170. doi: 10.1056/NEJMoa2302312. Epub 2023 Mar 27. [PMID: 36972022]</w:t>
      </w:r>
    </w:p>
    <w:p w14:paraId="601FF35D">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Makker V, Colombo N, Casado Herráez A, et al. Lenvatinib plus pembrolizumab in previously treated advanced endometrial cancer: updated efficacy and safety from the randomized phase III Study 309/KEYNOTE-775. J Clin Oncol 2023;41:2904-2910.</w:t>
      </w:r>
    </w:p>
    <w:p w14:paraId="3F022DA8">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子宫内膜癌诊断与治疗指南（2021年版）</w:t>
      </w:r>
    </w:p>
    <w:p w14:paraId="5F72A167">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NCCN Guidelines Version 3.2025 Uterine Neoplasms</w:t>
      </w:r>
    </w:p>
    <w:p w14:paraId="7DA70E87">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The TCGA Molecular Classification of Endometrial Cancer and Its Possible Impact on Adjuvant Treatment Decisions (2021)</w:t>
      </w:r>
    </w:p>
    <w:p w14:paraId="63D9614F">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WHO Classification of Female Genital Tumours, 5th Edition (2020)</w:t>
      </w:r>
    </w:p>
    <w:p w14:paraId="02A5E4BC">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ESGO/ESTRO/ESP Guidelines for Endometrial Carcinoma (2021)</w:t>
      </w:r>
    </w:p>
    <w:p w14:paraId="5A3C96AD">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ProMisE Talhouk et al., British Journal of Cancer (2015)</w:t>
      </w:r>
    </w:p>
    <w:p w14:paraId="6FE310C4">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Trans-PORTEC Stelloo et al., Clinical Cancer Research (2016)</w:t>
      </w:r>
    </w:p>
    <w:p w14:paraId="328E56F7">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NCCN Guidelines Version 3.2025 Endometrial Carcinoma</w:t>
      </w:r>
    </w:p>
    <w:p w14:paraId="525F94FA">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The TCGA Molecular Classification of Endometrial Cancer and Its Possible Impact on Adjuvant Treatment Decisions (2021)</w:t>
      </w:r>
    </w:p>
    <w:sectPr>
      <w:pgSz w:w="11906" w:h="16838"/>
      <w:pgMar w:top="1440" w:right="726" w:bottom="1440" w:left="1298" w:header="340" w:footer="567" w:gutter="0"/>
      <w:pgBorders>
        <w:top w:val="none" w:sz="0" w:space="0"/>
        <w:left w:val="none" w:sz="0" w:space="0"/>
        <w:bottom w:val="none" w:sz="0" w:space="0"/>
        <w:right w:val="none" w:sz="0" w:space="0"/>
      </w:pgBorders>
      <w:lnNumType w:countBy="0" w:restart="continuous"/>
      <w:pgNumType w:fmt="decimal" w:chapStyle="2"/>
      <w:cols w:space="0" w:num="1"/>
      <w:rtlGutter w:val="0"/>
      <w:docGrid w:linePitch="35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hint="eastAsia" w:ascii="宋体" w:hAnsi="宋体" w:eastAsia="宋体" w:cs="宋体"/>
        <w:color w:val="404040"/>
        <w:sz w:val="18"/>
        <w:szCs w:val="18"/>
      </w:rPr>
    </w:pPr>
    <w:r>
      <w:tab/>
    </w:r>
    <w:r>
      <w:rPr>
        <w:rFonts w:hint="eastAsia" w:ascii="宋体" w:hAnsi="宋体" w:eastAsia="宋体" w:cs="宋体"/>
        <w:color w:val="404040"/>
        <w:sz w:val="18"/>
        <w:szCs w:val="18"/>
      </w:rPr>
      <w:t>版权所有© 山东大学附属济南市中心医院医学实验诊断中心临床基因诊断与遗传实验室</w:t>
    </w:r>
  </w:p>
  <w:p w14:paraId="256EC259">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62E10BD2">
    <w:pPr>
      <w:tabs>
        <w:tab w:val="left" w:pos="600"/>
        <w:tab w:val="right" w:pos="9255"/>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9"/>
    </w:pPr>
  </w:p>
  <w:p w14:paraId="4DEF2698">
    <w:pPr>
      <w:pStyle w:val="9"/>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559435</wp:posOffset>
              </wp:positionH>
              <wp:positionV relativeFrom="paragraph">
                <wp:posOffset>37465</wp:posOffset>
              </wp:positionV>
              <wp:extent cx="5198110" cy="31496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3149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2AEF2F">
                          <w:pPr>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xml:space="preserve">第 </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- 1 -</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eastAsia="zh-CN"/>
                            </w:rPr>
                            <w:t xml:space="preserve"> 页 共 </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21</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18</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4.05pt;margin-top:2.95pt;height:24.8pt;width:409.3pt;mso-position-horizontal-relative:margin;z-index:251660288;mso-width-relative:page;mso-height-relative:page;" filled="f" stroked="f" coordsize="21600,21600" o:gfxdata="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j65tj1QAAAAcBAAAPAAAAAAAAAAEAIAAAACIAAABkcnMvZG93bnJldi54bWxQ&#10;SwECFAAUAAAACACHTuJAk3L7VjMCAABYBAAADgAAAAAAAAABACAAAAAkAQAAZHJzL2Uyb0RvYy54&#10;bWxQSwUGAAAAAAYABgBZAQAAyQUAAAAA&#10;">
              <v:fill on="f" focussize="0,0"/>
              <v:stroke on="f" weight="0.5pt"/>
              <v:imagedata o:title=""/>
              <o:lock v:ext="edit" aspectratio="f"/>
              <v:textbox inset="0mm,0mm,0mm,0mm">
                <w:txbxContent>
                  <w:p w14:paraId="022AEF2F">
                    <w:pPr>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xml:space="preserve">第 </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- 1 -</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eastAsia="zh-CN"/>
                      </w:rPr>
                      <w:t xml:space="preserve"> 页 共 </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21</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18</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597812">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2336" behindDoc="1" locked="0" layoutInCell="1" allowOverlap="1">
          <wp:simplePos x="0" y="0"/>
          <wp:positionH relativeFrom="column">
            <wp:posOffset>-88900</wp:posOffset>
          </wp:positionH>
          <wp:positionV relativeFrom="paragraph">
            <wp:posOffset>-159385</wp:posOffset>
          </wp:positionV>
          <wp:extent cx="680720" cy="680720"/>
          <wp:effectExtent l="0" t="0" r="5080" b="5080"/>
          <wp:wrapTight wrapText="bothSides">
            <wp:wrapPolygon>
              <wp:start x="0" y="0"/>
              <wp:lineTo x="0" y="21278"/>
              <wp:lineTo x="21278" y="21278"/>
              <wp:lineTo x="21278" y="0"/>
              <wp:lineTo x="0" y="0"/>
            </wp:wrapPolygon>
          </wp:wrapTight>
          <wp:docPr id="7" name="图片 7"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1" locked="0" layoutInCell="1" allowOverlap="1">
          <wp:simplePos x="0" y="0"/>
          <wp:positionH relativeFrom="column">
            <wp:posOffset>5109845</wp:posOffset>
          </wp:positionH>
          <wp:positionV relativeFrom="paragraph">
            <wp:posOffset>-139065</wp:posOffset>
          </wp:positionV>
          <wp:extent cx="1073150" cy="643890"/>
          <wp:effectExtent l="0" t="0" r="8890" b="11430"/>
          <wp:wrapTight wrapText="bothSides">
            <wp:wrapPolygon>
              <wp:start x="0" y="0"/>
              <wp:lineTo x="0" y="20961"/>
              <wp:lineTo x="21165" y="20961"/>
              <wp:lineTo x="21165" y="0"/>
              <wp:lineTo x="0" y="0"/>
            </wp:wrapPolygon>
          </wp:wrapTight>
          <wp:docPr id="19" name="图片 19"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5B26A9D8">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1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0288"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157"/>
              <wp:lineTo x="21157" y="21157"/>
              <wp:lineTo x="21157" y="0"/>
              <wp:lineTo x="0" y="0"/>
            </wp:wrapPolygon>
          </wp:wrapTight>
          <wp:docPr id="15" name="图片 15"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5109845</wp:posOffset>
          </wp:positionH>
          <wp:positionV relativeFrom="paragraph">
            <wp:posOffset>-93345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8876ED0">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7A3905E"/>
    <w:multiLevelType w:val="multilevel"/>
    <w:tmpl w:val="87A3905E"/>
    <w:lvl w:ilvl="0" w:tentative="0">
      <w:start w:val="1"/>
      <w:numFmt w:val="decimal"/>
      <w:lvlText w:val="%1."/>
      <w:lvlJc w:val="left"/>
      <w:pPr>
        <w:tabs>
          <w:tab w:val="left" w:pos="420"/>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4">
    <w:nsid w:val="7EF2D41A"/>
    <w:multiLevelType w:val="singleLevel"/>
    <w:tmpl w:val="7EF2D41A"/>
    <w:lvl w:ilvl="0" w:tentative="0">
      <w:start w:val="1"/>
      <w:numFmt w:val="decimal"/>
      <w:lvlText w:val="%1."/>
      <w:lvlJc w:val="left"/>
      <w:pPr>
        <w:ind w:left="425" w:hanging="425"/>
      </w:pPr>
      <w:rPr>
        <w:rFonts w:hint="default"/>
      </w:rPr>
    </w:lvl>
  </w:abstractNum>
  <w:num w:numId="1">
    <w:abstractNumId w:val="2"/>
  </w:num>
  <w:num w:numId="2">
    <w:abstractNumId w:val="0"/>
  </w:num>
  <w:num w:numId="3">
    <w:abstractNumId w:val="3"/>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10"/>
  <w:drawingGridVerticalSpacing w:val="17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10AD"/>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2433"/>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A70D4"/>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BE7797"/>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65C0C"/>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1543"/>
    <w:rsid w:val="00F54CB1"/>
    <w:rsid w:val="00F6141D"/>
    <w:rsid w:val="00F63905"/>
    <w:rsid w:val="00F646CD"/>
    <w:rsid w:val="00F7365C"/>
    <w:rsid w:val="00F90E98"/>
    <w:rsid w:val="00FD3096"/>
    <w:rsid w:val="00FD4CA2"/>
    <w:rsid w:val="00FE3C81"/>
    <w:rsid w:val="00FE3CAF"/>
    <w:rsid w:val="00FE40E3"/>
    <w:rsid w:val="00FE48BF"/>
    <w:rsid w:val="00FF150F"/>
    <w:rsid w:val="00FF223B"/>
    <w:rsid w:val="018151B6"/>
    <w:rsid w:val="01992715"/>
    <w:rsid w:val="01D658DA"/>
    <w:rsid w:val="01F52127"/>
    <w:rsid w:val="02AD361F"/>
    <w:rsid w:val="03173601"/>
    <w:rsid w:val="034B47D7"/>
    <w:rsid w:val="03E06E1F"/>
    <w:rsid w:val="04555ECA"/>
    <w:rsid w:val="05191617"/>
    <w:rsid w:val="052B4CCF"/>
    <w:rsid w:val="057448C8"/>
    <w:rsid w:val="05D63121"/>
    <w:rsid w:val="06206C00"/>
    <w:rsid w:val="0741676C"/>
    <w:rsid w:val="07AF7E3A"/>
    <w:rsid w:val="07BE1E2B"/>
    <w:rsid w:val="08243401"/>
    <w:rsid w:val="08D57F58"/>
    <w:rsid w:val="08EC575D"/>
    <w:rsid w:val="09016473"/>
    <w:rsid w:val="09057F6C"/>
    <w:rsid w:val="093C394F"/>
    <w:rsid w:val="09CD45A7"/>
    <w:rsid w:val="0A5B509B"/>
    <w:rsid w:val="0B732664"/>
    <w:rsid w:val="0BBC0357"/>
    <w:rsid w:val="0BCD4D32"/>
    <w:rsid w:val="0CC80500"/>
    <w:rsid w:val="0D4E2FA5"/>
    <w:rsid w:val="0D5C636E"/>
    <w:rsid w:val="0E0635FD"/>
    <w:rsid w:val="0E303356"/>
    <w:rsid w:val="0E4D368D"/>
    <w:rsid w:val="0E5A1041"/>
    <w:rsid w:val="0EE42C1E"/>
    <w:rsid w:val="0F17027A"/>
    <w:rsid w:val="0F320836"/>
    <w:rsid w:val="0F704352"/>
    <w:rsid w:val="0FA73347"/>
    <w:rsid w:val="103E5A9F"/>
    <w:rsid w:val="10C55FD8"/>
    <w:rsid w:val="1111121D"/>
    <w:rsid w:val="11CE1F0F"/>
    <w:rsid w:val="122F02AD"/>
    <w:rsid w:val="1244276E"/>
    <w:rsid w:val="124A1047"/>
    <w:rsid w:val="12696E37"/>
    <w:rsid w:val="12AF5735"/>
    <w:rsid w:val="12C127C8"/>
    <w:rsid w:val="13987F9F"/>
    <w:rsid w:val="13AD3836"/>
    <w:rsid w:val="13D447A0"/>
    <w:rsid w:val="14206CB7"/>
    <w:rsid w:val="14216C68"/>
    <w:rsid w:val="143F7FE6"/>
    <w:rsid w:val="14A625C4"/>
    <w:rsid w:val="14BC34EF"/>
    <w:rsid w:val="14D412B4"/>
    <w:rsid w:val="15D5070E"/>
    <w:rsid w:val="15ED309C"/>
    <w:rsid w:val="15ED6F84"/>
    <w:rsid w:val="16192126"/>
    <w:rsid w:val="163D6590"/>
    <w:rsid w:val="16740541"/>
    <w:rsid w:val="176123B1"/>
    <w:rsid w:val="17FD3D97"/>
    <w:rsid w:val="182B29AA"/>
    <w:rsid w:val="18F22303"/>
    <w:rsid w:val="193E726F"/>
    <w:rsid w:val="198736E1"/>
    <w:rsid w:val="1A2703DD"/>
    <w:rsid w:val="1A2D3B86"/>
    <w:rsid w:val="1A4B710F"/>
    <w:rsid w:val="1A4C316E"/>
    <w:rsid w:val="1A6353EE"/>
    <w:rsid w:val="1A8B2040"/>
    <w:rsid w:val="1B067919"/>
    <w:rsid w:val="1B96564F"/>
    <w:rsid w:val="1B9C1403"/>
    <w:rsid w:val="1BEE235D"/>
    <w:rsid w:val="1C170A7F"/>
    <w:rsid w:val="1C516C46"/>
    <w:rsid w:val="1C8D12C6"/>
    <w:rsid w:val="1CD43891"/>
    <w:rsid w:val="1D647A6D"/>
    <w:rsid w:val="1DDA31E4"/>
    <w:rsid w:val="1E36026B"/>
    <w:rsid w:val="1EB4180B"/>
    <w:rsid w:val="1ECA47D6"/>
    <w:rsid w:val="1EE15A6C"/>
    <w:rsid w:val="1FD617DD"/>
    <w:rsid w:val="1FFE0153"/>
    <w:rsid w:val="20343022"/>
    <w:rsid w:val="218C47D6"/>
    <w:rsid w:val="21E12E8E"/>
    <w:rsid w:val="22BD432B"/>
    <w:rsid w:val="22DF56C1"/>
    <w:rsid w:val="231A51C1"/>
    <w:rsid w:val="235042D2"/>
    <w:rsid w:val="243E7C8B"/>
    <w:rsid w:val="245A195E"/>
    <w:rsid w:val="249661B1"/>
    <w:rsid w:val="24F44C86"/>
    <w:rsid w:val="26151358"/>
    <w:rsid w:val="266F7A8A"/>
    <w:rsid w:val="26822E97"/>
    <w:rsid w:val="268873DC"/>
    <w:rsid w:val="26B6068C"/>
    <w:rsid w:val="273852FE"/>
    <w:rsid w:val="278754EE"/>
    <w:rsid w:val="27935073"/>
    <w:rsid w:val="27C11992"/>
    <w:rsid w:val="27DF391D"/>
    <w:rsid w:val="27EB002E"/>
    <w:rsid w:val="283270A3"/>
    <w:rsid w:val="28B27007"/>
    <w:rsid w:val="28C07C97"/>
    <w:rsid w:val="291D29FD"/>
    <w:rsid w:val="29A9011D"/>
    <w:rsid w:val="29D62ABF"/>
    <w:rsid w:val="29E15E23"/>
    <w:rsid w:val="29E929AE"/>
    <w:rsid w:val="2A4C184E"/>
    <w:rsid w:val="2A906B26"/>
    <w:rsid w:val="2ACE2EF1"/>
    <w:rsid w:val="2AEC1685"/>
    <w:rsid w:val="2B224FB0"/>
    <w:rsid w:val="2B76648E"/>
    <w:rsid w:val="2C5E4B24"/>
    <w:rsid w:val="2CBE62A5"/>
    <w:rsid w:val="2D12306E"/>
    <w:rsid w:val="2D8F379E"/>
    <w:rsid w:val="2E4D5C74"/>
    <w:rsid w:val="2E785B3D"/>
    <w:rsid w:val="2E884FDF"/>
    <w:rsid w:val="2E8A13DC"/>
    <w:rsid w:val="2F603644"/>
    <w:rsid w:val="2FA07702"/>
    <w:rsid w:val="2FEC6956"/>
    <w:rsid w:val="308C66BA"/>
    <w:rsid w:val="31806FE3"/>
    <w:rsid w:val="3193135A"/>
    <w:rsid w:val="31D420C7"/>
    <w:rsid w:val="3203475A"/>
    <w:rsid w:val="32CE6FD4"/>
    <w:rsid w:val="33353ADE"/>
    <w:rsid w:val="334B77CE"/>
    <w:rsid w:val="33745910"/>
    <w:rsid w:val="33775400"/>
    <w:rsid w:val="33B346CF"/>
    <w:rsid w:val="342A06C4"/>
    <w:rsid w:val="342E247E"/>
    <w:rsid w:val="3501691C"/>
    <w:rsid w:val="35727C2D"/>
    <w:rsid w:val="357937E9"/>
    <w:rsid w:val="35A5383E"/>
    <w:rsid w:val="35C024FF"/>
    <w:rsid w:val="35E52971"/>
    <w:rsid w:val="36213401"/>
    <w:rsid w:val="36451B65"/>
    <w:rsid w:val="3679148F"/>
    <w:rsid w:val="36833607"/>
    <w:rsid w:val="3699568D"/>
    <w:rsid w:val="36CB6362"/>
    <w:rsid w:val="36EC79C0"/>
    <w:rsid w:val="37224930"/>
    <w:rsid w:val="377203E0"/>
    <w:rsid w:val="37D6618D"/>
    <w:rsid w:val="38BC3F52"/>
    <w:rsid w:val="390C77BE"/>
    <w:rsid w:val="39B03C7D"/>
    <w:rsid w:val="39DE55F3"/>
    <w:rsid w:val="39FD7AC0"/>
    <w:rsid w:val="3A8B7AF3"/>
    <w:rsid w:val="3A9D5E85"/>
    <w:rsid w:val="3B2C2002"/>
    <w:rsid w:val="3BA725FA"/>
    <w:rsid w:val="3BB502A0"/>
    <w:rsid w:val="3BF97F56"/>
    <w:rsid w:val="3C942B48"/>
    <w:rsid w:val="3C9B7773"/>
    <w:rsid w:val="3CE63E54"/>
    <w:rsid w:val="3D3E3929"/>
    <w:rsid w:val="3D7E6C82"/>
    <w:rsid w:val="3DF17573"/>
    <w:rsid w:val="3E876C04"/>
    <w:rsid w:val="3EE94B5A"/>
    <w:rsid w:val="3F035D9A"/>
    <w:rsid w:val="3F1A38CA"/>
    <w:rsid w:val="40257820"/>
    <w:rsid w:val="407C5E04"/>
    <w:rsid w:val="41072EE9"/>
    <w:rsid w:val="41305226"/>
    <w:rsid w:val="41CC4B69"/>
    <w:rsid w:val="42344938"/>
    <w:rsid w:val="42380887"/>
    <w:rsid w:val="423A54E9"/>
    <w:rsid w:val="423E153C"/>
    <w:rsid w:val="43D22102"/>
    <w:rsid w:val="45AD6A5F"/>
    <w:rsid w:val="45BF5ADC"/>
    <w:rsid w:val="45F51780"/>
    <w:rsid w:val="45F52F72"/>
    <w:rsid w:val="464D4872"/>
    <w:rsid w:val="46971BE9"/>
    <w:rsid w:val="46C663AB"/>
    <w:rsid w:val="470A0A4E"/>
    <w:rsid w:val="473D3E13"/>
    <w:rsid w:val="47D71662"/>
    <w:rsid w:val="47FB1302"/>
    <w:rsid w:val="48380E77"/>
    <w:rsid w:val="487C7098"/>
    <w:rsid w:val="488D0130"/>
    <w:rsid w:val="495551BC"/>
    <w:rsid w:val="49B34FFC"/>
    <w:rsid w:val="49C35028"/>
    <w:rsid w:val="4A194AA5"/>
    <w:rsid w:val="4A1C2405"/>
    <w:rsid w:val="4A666C2E"/>
    <w:rsid w:val="4AD14476"/>
    <w:rsid w:val="4B5C190B"/>
    <w:rsid w:val="4B7A612B"/>
    <w:rsid w:val="4B8B3BFC"/>
    <w:rsid w:val="4C314188"/>
    <w:rsid w:val="4C433C79"/>
    <w:rsid w:val="4CAA019C"/>
    <w:rsid w:val="4D127FA2"/>
    <w:rsid w:val="4D626381"/>
    <w:rsid w:val="4D7D2537"/>
    <w:rsid w:val="4D903FFE"/>
    <w:rsid w:val="4DCE524B"/>
    <w:rsid w:val="4E1E029B"/>
    <w:rsid w:val="4EBF6FC0"/>
    <w:rsid w:val="4F764499"/>
    <w:rsid w:val="4F8943E1"/>
    <w:rsid w:val="4F8A02AF"/>
    <w:rsid w:val="5011275F"/>
    <w:rsid w:val="501B018E"/>
    <w:rsid w:val="50262EA8"/>
    <w:rsid w:val="505E1082"/>
    <w:rsid w:val="50D457E8"/>
    <w:rsid w:val="51103B4E"/>
    <w:rsid w:val="512371B6"/>
    <w:rsid w:val="51B722DE"/>
    <w:rsid w:val="53D17DBD"/>
    <w:rsid w:val="5410017C"/>
    <w:rsid w:val="54322F51"/>
    <w:rsid w:val="544C2CBF"/>
    <w:rsid w:val="54B8684D"/>
    <w:rsid w:val="54E03239"/>
    <w:rsid w:val="554973B1"/>
    <w:rsid w:val="55AF7A72"/>
    <w:rsid w:val="566D64C3"/>
    <w:rsid w:val="57911F10"/>
    <w:rsid w:val="57CA3935"/>
    <w:rsid w:val="57E91301"/>
    <w:rsid w:val="58321B3B"/>
    <w:rsid w:val="583603B6"/>
    <w:rsid w:val="591448F5"/>
    <w:rsid w:val="591F5792"/>
    <w:rsid w:val="59927636"/>
    <w:rsid w:val="59A83DCF"/>
    <w:rsid w:val="59D93E6F"/>
    <w:rsid w:val="5A2A0FD6"/>
    <w:rsid w:val="5A421BDE"/>
    <w:rsid w:val="5ADA39FB"/>
    <w:rsid w:val="5B077FC9"/>
    <w:rsid w:val="5B5E287E"/>
    <w:rsid w:val="5B710073"/>
    <w:rsid w:val="5BAC22FE"/>
    <w:rsid w:val="5BB02FCA"/>
    <w:rsid w:val="5BC1147D"/>
    <w:rsid w:val="5C02284B"/>
    <w:rsid w:val="5C0E2BD2"/>
    <w:rsid w:val="5C103694"/>
    <w:rsid w:val="5C2D3688"/>
    <w:rsid w:val="5C3C37CF"/>
    <w:rsid w:val="5CD251BD"/>
    <w:rsid w:val="5D966F15"/>
    <w:rsid w:val="5DA93220"/>
    <w:rsid w:val="5DF50FBE"/>
    <w:rsid w:val="5EA731C3"/>
    <w:rsid w:val="5EDF7AAC"/>
    <w:rsid w:val="5F263CD5"/>
    <w:rsid w:val="5F5B67A9"/>
    <w:rsid w:val="5F784221"/>
    <w:rsid w:val="5FD20E43"/>
    <w:rsid w:val="607C2AD2"/>
    <w:rsid w:val="613F58D9"/>
    <w:rsid w:val="61AF16FF"/>
    <w:rsid w:val="61FB6CFD"/>
    <w:rsid w:val="62212560"/>
    <w:rsid w:val="629152E7"/>
    <w:rsid w:val="62E00B42"/>
    <w:rsid w:val="6321538F"/>
    <w:rsid w:val="6321796C"/>
    <w:rsid w:val="639037F0"/>
    <w:rsid w:val="649410BE"/>
    <w:rsid w:val="65E619AC"/>
    <w:rsid w:val="66064CBA"/>
    <w:rsid w:val="663629FF"/>
    <w:rsid w:val="665400C7"/>
    <w:rsid w:val="665B5676"/>
    <w:rsid w:val="66F916AD"/>
    <w:rsid w:val="672A7AB8"/>
    <w:rsid w:val="67332F1E"/>
    <w:rsid w:val="67404958"/>
    <w:rsid w:val="67AB72BD"/>
    <w:rsid w:val="67C12384"/>
    <w:rsid w:val="680726BA"/>
    <w:rsid w:val="681B7EC8"/>
    <w:rsid w:val="68435627"/>
    <w:rsid w:val="689340DA"/>
    <w:rsid w:val="68F77E6E"/>
    <w:rsid w:val="690148AE"/>
    <w:rsid w:val="6AD02098"/>
    <w:rsid w:val="6AFF0A3C"/>
    <w:rsid w:val="6B1B598C"/>
    <w:rsid w:val="6B230036"/>
    <w:rsid w:val="6B7519B8"/>
    <w:rsid w:val="6B8E6F9E"/>
    <w:rsid w:val="6BA32A7D"/>
    <w:rsid w:val="6BCC3834"/>
    <w:rsid w:val="6BFF3C0B"/>
    <w:rsid w:val="6C4E51BA"/>
    <w:rsid w:val="6CB24CF1"/>
    <w:rsid w:val="6D60320B"/>
    <w:rsid w:val="6D7D4DE5"/>
    <w:rsid w:val="6DCE396C"/>
    <w:rsid w:val="6E597525"/>
    <w:rsid w:val="6E9C571A"/>
    <w:rsid w:val="6EC30F1E"/>
    <w:rsid w:val="6EFD0AA1"/>
    <w:rsid w:val="6F0C162D"/>
    <w:rsid w:val="6F4D4E57"/>
    <w:rsid w:val="6F5F78A3"/>
    <w:rsid w:val="6F6254D4"/>
    <w:rsid w:val="6F9257DB"/>
    <w:rsid w:val="70304695"/>
    <w:rsid w:val="703D085C"/>
    <w:rsid w:val="707E0E37"/>
    <w:rsid w:val="715011DE"/>
    <w:rsid w:val="71C04499"/>
    <w:rsid w:val="723D4EC0"/>
    <w:rsid w:val="726133C3"/>
    <w:rsid w:val="7261482B"/>
    <w:rsid w:val="734B0AAB"/>
    <w:rsid w:val="73786310"/>
    <w:rsid w:val="73B33669"/>
    <w:rsid w:val="7431035B"/>
    <w:rsid w:val="74642285"/>
    <w:rsid w:val="74CC0AC1"/>
    <w:rsid w:val="74F6547D"/>
    <w:rsid w:val="75461F61"/>
    <w:rsid w:val="754D5AA2"/>
    <w:rsid w:val="7569571C"/>
    <w:rsid w:val="759E7FEF"/>
    <w:rsid w:val="75CD5EAB"/>
    <w:rsid w:val="76881509"/>
    <w:rsid w:val="76A55DBC"/>
    <w:rsid w:val="76C770D1"/>
    <w:rsid w:val="76CECDB4"/>
    <w:rsid w:val="76F27584"/>
    <w:rsid w:val="77075720"/>
    <w:rsid w:val="77753BCB"/>
    <w:rsid w:val="777546A8"/>
    <w:rsid w:val="783000F4"/>
    <w:rsid w:val="78DC32F4"/>
    <w:rsid w:val="79194802"/>
    <w:rsid w:val="79710BC7"/>
    <w:rsid w:val="79722453"/>
    <w:rsid w:val="799F64B8"/>
    <w:rsid w:val="7A2219C5"/>
    <w:rsid w:val="7B2A7C2F"/>
    <w:rsid w:val="7B713AB0"/>
    <w:rsid w:val="7C0B6BCC"/>
    <w:rsid w:val="7C105077"/>
    <w:rsid w:val="7C1120EB"/>
    <w:rsid w:val="7C175DA6"/>
    <w:rsid w:val="7C363B18"/>
    <w:rsid w:val="7C444F7A"/>
    <w:rsid w:val="7D3B6123"/>
    <w:rsid w:val="7D806106"/>
    <w:rsid w:val="7DA53B40"/>
    <w:rsid w:val="7DFE4AFF"/>
    <w:rsid w:val="7E5A5C53"/>
    <w:rsid w:val="7F1255AA"/>
    <w:rsid w:val="7F381071"/>
    <w:rsid w:val="7F5161A6"/>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unhideWhenUsed/>
    <w:qFormat/>
    <w:uiPriority w:val="9"/>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9"/>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6">
    <w:name w:val="annotation text"/>
    <w:basedOn w:val="1"/>
    <w:link w:val="21"/>
    <w:semiHidden/>
    <w:unhideWhenUsed/>
    <w:qFormat/>
    <w:uiPriority w:val="99"/>
    <w:pPr>
      <w:jc w:val="left"/>
    </w:pPr>
  </w:style>
  <w:style w:type="paragraph" w:styleId="7">
    <w:name w:val="Body Text"/>
    <w:basedOn w:val="1"/>
    <w:link w:val="24"/>
    <w:qFormat/>
    <w:uiPriority w:val="1"/>
    <w:rPr>
      <w:sz w:val="18"/>
      <w:szCs w:val="18"/>
    </w:rPr>
  </w:style>
  <w:style w:type="paragraph" w:styleId="8">
    <w:name w:val="Balloon Text"/>
    <w:basedOn w:val="1"/>
    <w:link w:val="23"/>
    <w:semiHidden/>
    <w:unhideWhenUsed/>
    <w:qFormat/>
    <w:uiPriority w:val="99"/>
    <w:rPr>
      <w:sz w:val="18"/>
      <w:szCs w:val="18"/>
    </w:rPr>
  </w:style>
  <w:style w:type="paragraph" w:styleId="9">
    <w:name w:val="footer"/>
    <w:basedOn w:val="1"/>
    <w:link w:val="18"/>
    <w:unhideWhenUsed/>
    <w:qFormat/>
    <w:uiPriority w:val="99"/>
    <w:pPr>
      <w:tabs>
        <w:tab w:val="center" w:pos="4153"/>
        <w:tab w:val="right" w:pos="8306"/>
      </w:tabs>
      <w:snapToGrid w:val="0"/>
      <w:jc w:val="left"/>
    </w:pPr>
    <w:rPr>
      <w:sz w:val="18"/>
      <w:szCs w:val="18"/>
    </w:rPr>
  </w:style>
  <w:style w:type="paragraph" w:styleId="10">
    <w:name w:val="header"/>
    <w:basedOn w:val="1"/>
    <w:link w:val="17"/>
    <w:unhideWhenUsed/>
    <w:qFormat/>
    <w:uiPriority w:val="99"/>
    <w:pPr>
      <w:pBdr>
        <w:bottom w:val="single" w:color="auto" w:sz="6" w:space="1"/>
      </w:pBdr>
      <w:tabs>
        <w:tab w:val="center" w:pos="4153"/>
        <w:tab w:val="right" w:pos="8306"/>
      </w:tabs>
      <w:snapToGrid w:val="0"/>
      <w:jc w:val="center"/>
    </w:pPr>
    <w:rPr>
      <w:sz w:val="18"/>
      <w:szCs w:val="18"/>
    </w:rPr>
  </w:style>
  <w:style w:type="paragraph" w:styleId="11">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2">
    <w:name w:val="annotation subject"/>
    <w:basedOn w:val="6"/>
    <w:next w:val="6"/>
    <w:link w:val="22"/>
    <w:semiHidden/>
    <w:unhideWhenUsed/>
    <w:qFormat/>
    <w:uiPriority w:val="99"/>
    <w:rPr>
      <w:b/>
      <w:bCs/>
    </w:rPr>
  </w:style>
  <w:style w:type="table" w:styleId="14">
    <w:name w:val="Table Grid"/>
    <w:basedOn w:val="13"/>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annotation reference"/>
    <w:basedOn w:val="15"/>
    <w:semiHidden/>
    <w:unhideWhenUsed/>
    <w:qFormat/>
    <w:uiPriority w:val="99"/>
    <w:rPr>
      <w:sz w:val="21"/>
      <w:szCs w:val="21"/>
    </w:rPr>
  </w:style>
  <w:style w:type="character" w:customStyle="1" w:styleId="17">
    <w:name w:val="页眉 字符"/>
    <w:basedOn w:val="15"/>
    <w:link w:val="10"/>
    <w:qFormat/>
    <w:uiPriority w:val="99"/>
    <w:rPr>
      <w:sz w:val="18"/>
      <w:szCs w:val="18"/>
    </w:rPr>
  </w:style>
  <w:style w:type="character" w:customStyle="1" w:styleId="18">
    <w:name w:val="页脚 字符"/>
    <w:basedOn w:val="15"/>
    <w:link w:val="9"/>
    <w:qFormat/>
    <w:uiPriority w:val="99"/>
    <w:rPr>
      <w:sz w:val="18"/>
      <w:szCs w:val="18"/>
    </w:rPr>
  </w:style>
  <w:style w:type="character" w:customStyle="1" w:styleId="19">
    <w:name w:val="标题 2 字符"/>
    <w:basedOn w:val="15"/>
    <w:link w:val="3"/>
    <w:qFormat/>
    <w:uiPriority w:val="9"/>
    <w:rPr>
      <w:rFonts w:asciiTheme="majorHAnsi" w:hAnsiTheme="majorHAnsi" w:eastAsiaTheme="majorEastAsia" w:cstheme="majorBidi"/>
      <w:b/>
      <w:bCs/>
      <w:sz w:val="32"/>
      <w:szCs w:val="32"/>
    </w:rPr>
  </w:style>
  <w:style w:type="paragraph" w:styleId="20">
    <w:name w:val="List Paragraph"/>
    <w:basedOn w:val="1"/>
    <w:qFormat/>
    <w:uiPriority w:val="34"/>
    <w:pPr>
      <w:ind w:firstLine="420" w:firstLineChars="200"/>
    </w:pPr>
  </w:style>
  <w:style w:type="character" w:customStyle="1" w:styleId="21">
    <w:name w:val="批注文字 字符"/>
    <w:basedOn w:val="15"/>
    <w:link w:val="6"/>
    <w:semiHidden/>
    <w:qFormat/>
    <w:uiPriority w:val="99"/>
  </w:style>
  <w:style w:type="character" w:customStyle="1" w:styleId="22">
    <w:name w:val="批注主题 字符"/>
    <w:basedOn w:val="21"/>
    <w:link w:val="12"/>
    <w:semiHidden/>
    <w:qFormat/>
    <w:uiPriority w:val="99"/>
    <w:rPr>
      <w:b/>
      <w:bCs/>
    </w:rPr>
  </w:style>
  <w:style w:type="character" w:customStyle="1" w:styleId="23">
    <w:name w:val="批注框文本 字符"/>
    <w:basedOn w:val="15"/>
    <w:link w:val="8"/>
    <w:semiHidden/>
    <w:qFormat/>
    <w:uiPriority w:val="99"/>
    <w:rPr>
      <w:sz w:val="18"/>
      <w:szCs w:val="18"/>
    </w:rPr>
  </w:style>
  <w:style w:type="character" w:customStyle="1" w:styleId="24">
    <w:name w:val="正文文本 字符"/>
    <w:basedOn w:val="15"/>
    <w:link w:val="7"/>
    <w:qFormat/>
    <w:uiPriority w:val="1"/>
    <w:rPr>
      <w:kern w:val="2"/>
      <w:sz w:val="18"/>
      <w:szCs w:val="18"/>
    </w:rPr>
  </w:style>
  <w:style w:type="table" w:customStyle="1" w:styleId="25">
    <w:name w:val="网格型浅色1"/>
    <w:basedOn w:val="13"/>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6">
    <w:name w:val="列出段落1"/>
    <w:basedOn w:val="1"/>
    <w:qFormat/>
    <w:uiPriority w:val="34"/>
    <w:pPr>
      <w:ind w:firstLine="420" w:firstLineChars="200"/>
    </w:pPr>
  </w:style>
  <w:style w:type="paragraph" w:customStyle="1" w:styleId="27">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8">
    <w:name w:val="Table Paragraph"/>
    <w:basedOn w:val="1"/>
    <w:autoRedefine/>
    <w:qFormat/>
    <w:uiPriority w:val="1"/>
  </w:style>
  <w:style w:type="table" w:customStyle="1" w:styleId="29">
    <w:name w:val="Table Normal1"/>
    <w:basedOn w:val="13"/>
    <w:autoRedefine/>
    <w:unhideWhenUsed/>
    <w:qFormat/>
    <w:uiPriority w:val="2"/>
    <w:tblPr>
      <w:tblCellMar>
        <w:top w:w="0" w:type="dxa"/>
        <w:left w:w="0" w:type="dxa"/>
        <w:bottom w:w="0" w:type="dxa"/>
        <w:right w:w="0" w:type="dxa"/>
      </w:tblCellMar>
    </w:tblPr>
  </w:style>
  <w:style w:type="paragraph" w:customStyle="1" w:styleId="30">
    <w:name w:val="List Paragraph1"/>
    <w:basedOn w:val="1"/>
    <w:autoRedefine/>
    <w:qFormat/>
    <w:uiPriority w:val="34"/>
    <w:rPr>
      <w:rFonts w:asciiTheme="minorHAnsi" w:hAnsiTheme="minorHAnsi" w:eastAsiaTheme="minorEastAsia" w:cstheme="minorBidi"/>
    </w:rPr>
  </w:style>
  <w:style w:type="character" w:customStyle="1" w:styleId="31">
    <w:name w:val="font21"/>
    <w:basedOn w:val="15"/>
    <w:autoRedefine/>
    <w:qFormat/>
    <w:uiPriority w:val="0"/>
    <w:rPr>
      <w:rFonts w:hint="eastAsia" w:ascii="微软雅黑" w:hAnsi="微软雅黑" w:eastAsia="微软雅黑" w:cs="微软雅黑"/>
      <w:b/>
      <w:bCs/>
      <w:color w:val="FFFFFF"/>
      <w:sz w:val="21"/>
      <w:szCs w:val="21"/>
      <w:u w:val="none"/>
    </w:rPr>
  </w:style>
  <w:style w:type="character" w:customStyle="1" w:styleId="32">
    <w:name w:val="font31"/>
    <w:basedOn w:val="15"/>
    <w:autoRedefine/>
    <w:qFormat/>
    <w:uiPriority w:val="0"/>
    <w:rPr>
      <w:rFonts w:hint="eastAsia" w:ascii="微软雅黑" w:hAnsi="微软雅黑" w:eastAsia="微软雅黑" w:cs="微软雅黑"/>
      <w:b/>
      <w:bCs/>
      <w:color w:val="000000"/>
      <w:sz w:val="21"/>
      <w:szCs w:val="21"/>
      <w:u w:val="none"/>
    </w:rPr>
  </w:style>
  <w:style w:type="character" w:customStyle="1" w:styleId="33">
    <w:name w:val="font101"/>
    <w:basedOn w:val="15"/>
    <w:autoRedefine/>
    <w:qFormat/>
    <w:uiPriority w:val="0"/>
    <w:rPr>
      <w:rFonts w:hint="default" w:ascii="Times New Roman" w:hAnsi="Times New Roman" w:cs="Times New Roman"/>
      <w:b/>
      <w:bCs/>
      <w:color w:val="000000"/>
      <w:sz w:val="21"/>
      <w:szCs w:val="21"/>
      <w:u w:val="none"/>
    </w:rPr>
  </w:style>
  <w:style w:type="character" w:customStyle="1" w:styleId="34">
    <w:name w:val="font61"/>
    <w:basedOn w:val="15"/>
    <w:autoRedefine/>
    <w:qFormat/>
    <w:uiPriority w:val="0"/>
    <w:rPr>
      <w:rFonts w:hint="default" w:ascii="Times New Roman" w:hAnsi="Times New Roman" w:cs="Times New Roman"/>
      <w:color w:val="000000"/>
      <w:sz w:val="21"/>
      <w:szCs w:val="21"/>
      <w:u w:val="none"/>
    </w:rPr>
  </w:style>
  <w:style w:type="paragraph" w:customStyle="1" w:styleId="35">
    <w:name w:val="样式1"/>
    <w:basedOn w:val="7"/>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6">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7">
    <w:name w:val="font51"/>
    <w:basedOn w:val="15"/>
    <w:autoRedefine/>
    <w:qFormat/>
    <w:uiPriority w:val="0"/>
    <w:rPr>
      <w:rFonts w:hint="eastAsia" w:ascii="微软雅黑" w:hAnsi="微软雅黑" w:eastAsia="微软雅黑" w:cs="微软雅黑"/>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20</Pages>
  <Words>2635</Words>
  <Characters>5480</Characters>
  <Lines>1</Lines>
  <Paragraphs>1</Paragraphs>
  <TotalTime>3</TotalTime>
  <ScaleCrop>false</ScaleCrop>
  <LinksUpToDate>false</LinksUpToDate>
  <CharactersWithSpaces>5961</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yolo</cp:lastModifiedBy>
  <dcterms:modified xsi:type="dcterms:W3CDTF">2025-08-08T08:27:28Z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E4E2259273A4070124FA5C68029D99C2_43</vt:lpwstr>
  </property>
  <property fmtid="{D5CDD505-2E9C-101B-9397-08002B2CF9AE}" pid="4" name="KSOTemplateDocerSaveRecord">
    <vt:lpwstr>eyJoZGlkIjoiNzhjODRmNWJhZTVkNTI1OGI2YWZlNjVkNDIwMWYwMDkiLCJ1c2VySWQiOiIzMTAxODgzOTQifQ==</vt:lpwstr>
  </property>
</Properties>
</file>