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right"/>
      </w:pPr>
      <w:r>
        <w:rPr>
          <w:rFonts w:ascii="Times New Roman" w:hAnsi="Times New Roman" w:eastAsia="Times New Roman"/>
          <w:b w:val="0"/>
          <w:i w:val="0"/>
          <w:sz w:val="22"/>
        </w:rPr>
        <w:t>Częstochowa, 14 sierpnia 2026 r.</w:t>
      </w:r>
    </w:p>
    <w:p>
      <w:pPr>
        <w:spacing w:after="0" w:before="0" w:line="276" w:lineRule="auto"/>
      </w:pPr>
      <w:r>
        <w:rPr>
          <w:rFonts w:ascii="Times New Roman" w:hAnsi="Times New Roman" w:eastAsia="Times New Roman"/>
          <w:b/>
          <w:i w:val="0"/>
          <w:sz w:val="22"/>
        </w:rPr>
        <w:t>Wykonawca:</w:t>
      </w:r>
    </w:p>
    <w:p>
      <w:pPr>
        <w:spacing w:after="0" w:before="0" w:line="276" w:lineRule="auto"/>
      </w:pPr>
      <w:r>
        <w:rPr>
          <w:rFonts w:ascii="Times New Roman" w:hAnsi="Times New Roman" w:eastAsia="Times New Roman"/>
          <w:b/>
          <w:i w:val="0"/>
          <w:sz w:val="22"/>
        </w:rPr>
        <w:t>CUZO Jolanta Ledwoń</w:t>
      </w:r>
    </w:p>
    <w:p>
      <w:pPr>
        <w:spacing w:after="0" w:before="0" w:line="276" w:lineRule="auto"/>
      </w:pPr>
      <w:r>
        <w:rPr>
          <w:rFonts w:ascii="Times New Roman" w:hAnsi="Times New Roman" w:eastAsia="Times New Roman"/>
          <w:b w:val="0"/>
          <w:i w:val="0"/>
          <w:sz w:val="22"/>
        </w:rPr>
        <w:t>ul. Uczniowska 12, 42-280 Częstochowa</w:t>
      </w:r>
    </w:p>
    <w:p>
      <w:pPr>
        <w:spacing w:after="0" w:before="0" w:line="276" w:lineRule="auto"/>
      </w:pPr>
      <w:r>
        <w:rPr>
          <w:rFonts w:ascii="Times New Roman" w:hAnsi="Times New Roman" w:eastAsia="Times New Roman"/>
          <w:b w:val="0"/>
          <w:i w:val="0"/>
          <w:sz w:val="22"/>
        </w:rPr>
        <w:t>NIP: 5732627534    REGON: 382943659</w:t>
      </w:r>
    </w:p>
    <w:p>
      <w:pPr>
        <w:spacing w:after="240" w:before="0" w:line="276" w:lineRule="auto"/>
      </w:pPr>
      <w:r>
        <w:rPr>
          <w:rFonts w:ascii="Times New Roman" w:hAnsi="Times New Roman" w:eastAsia="Times New Roman"/>
          <w:b w:val="0"/>
          <w:i w:val="0"/>
          <w:sz w:val="22"/>
        </w:rPr>
        <w:t>e-mail: cuzo@cuzo.eu    tel. 506 171 003</w:t>
      </w:r>
    </w:p>
    <w:p>
      <w:pPr>
        <w:spacing w:after="0" w:before="0" w:line="276" w:lineRule="auto"/>
      </w:pPr>
      <w:r>
        <w:rPr>
          <w:rFonts w:ascii="Times New Roman" w:hAnsi="Times New Roman" w:eastAsia="Times New Roman"/>
          <w:b/>
          <w:i w:val="0"/>
          <w:sz w:val="22"/>
        </w:rPr>
        <w:t>Zamawiający:</w:t>
      </w:r>
    </w:p>
    <w:p>
      <w:pPr>
        <w:spacing w:after="0" w:before="0" w:line="276" w:lineRule="auto"/>
      </w:pPr>
      <w:r>
        <w:rPr>
          <w:rFonts w:ascii="Times New Roman" w:hAnsi="Times New Roman" w:eastAsia="Times New Roman"/>
          <w:b/>
          <w:i w:val="0"/>
          <w:sz w:val="22"/>
        </w:rPr>
        <w:t>Gmina Miejska Głogów</w:t>
      </w:r>
    </w:p>
    <w:p>
      <w:pPr>
        <w:spacing w:after="0" w:before="0" w:line="276" w:lineRule="auto"/>
      </w:pPr>
      <w:r>
        <w:rPr>
          <w:rFonts w:ascii="Times New Roman" w:hAnsi="Times New Roman" w:eastAsia="Times New Roman"/>
          <w:b w:val="0"/>
          <w:i w:val="0"/>
          <w:sz w:val="22"/>
        </w:rPr>
        <w:t>reprezentowana przez Prezydenta Miasta Głogowa</w:t>
      </w:r>
    </w:p>
    <w:p>
      <w:pPr>
        <w:spacing w:after="0" w:before="0" w:line="276" w:lineRule="auto"/>
      </w:pPr>
      <w:r>
        <w:rPr>
          <w:rFonts w:ascii="Times New Roman" w:hAnsi="Times New Roman" w:eastAsia="Times New Roman"/>
          <w:b w:val="0"/>
          <w:i w:val="0"/>
          <w:sz w:val="22"/>
        </w:rPr>
        <w:t>Rynek 10, 67-200 Głogów</w:t>
      </w:r>
    </w:p>
    <w:p>
      <w:pPr>
        <w:spacing w:after="0" w:before="0" w:line="276" w:lineRule="auto"/>
      </w:pPr>
      <w:r>
        <w:rPr>
          <w:rFonts w:ascii="Times New Roman" w:hAnsi="Times New Roman" w:eastAsia="Times New Roman"/>
          <w:b w:val="0"/>
          <w:i w:val="0"/>
          <w:sz w:val="22"/>
        </w:rPr>
        <w:t>za pośrednictwem platformy: https://glogow-um.ezamawiajacy.pl</w:t>
      </w:r>
    </w:p>
    <w:p>
      <w:pPr>
        <w:spacing w:after="280" w:before="0" w:line="276" w:lineRule="auto"/>
      </w:pPr>
      <w:r>
        <w:rPr>
          <w:rFonts w:ascii="Times New Roman" w:hAnsi="Times New Roman" w:eastAsia="Times New Roman"/>
          <w:b w:val="0"/>
          <w:i w:val="0"/>
          <w:sz w:val="22"/>
        </w:rPr>
        <w:t>e-mail: bzp@glogow.um.gov.pl</w:t>
      </w:r>
    </w:p>
    <w:p>
      <w:pPr>
        <w:spacing w:after="240" w:before="0" w:line="276" w:lineRule="auto"/>
        <w:jc w:val="both"/>
      </w:pPr>
      <w:r>
        <w:rPr>
          <w:rFonts w:ascii="Times New Roman" w:hAnsi="Times New Roman" w:eastAsia="Times New Roman"/>
          <w:b/>
          <w:i w:val="0"/>
          <w:sz w:val="22"/>
        </w:rPr>
        <w:t xml:space="preserve">Dotyczy: </w:t>
      </w:r>
      <w:r>
        <w:rPr>
          <w:rFonts w:ascii="Times New Roman" w:hAnsi="Times New Roman" w:eastAsia="Times New Roman"/>
          <w:b w:val="0"/>
          <w:i w:val="0"/>
          <w:sz w:val="22"/>
        </w:rPr>
        <w:t>postępowania o udzielenie zamówienia publicznego pn. „Dostawa sprzętu kwatermistrzowskiego”, znak sprawy BZP.271.24.2026, ogłoszenie BZP nr 2026/BZP 00304494; zawiadomienie o wyborze oferty najkorzystniejszej z dnia 11 sierpnia 2026 r., znak BZP.271.24.17.2026.</w:t>
      </w:r>
    </w:p>
    <w:p>
      <w:pPr>
        <w:spacing w:after="40" w:before="0" w:line="276" w:lineRule="auto"/>
        <w:jc w:val="center"/>
      </w:pPr>
      <w:r>
        <w:rPr>
          <w:rFonts w:ascii="Times New Roman" w:hAnsi="Times New Roman" w:eastAsia="Times New Roman"/>
          <w:b/>
          <w:i w:val="0"/>
          <w:sz w:val="26"/>
        </w:rPr>
        <w:t>WNIOSEK</w:t>
      </w:r>
    </w:p>
    <w:p>
      <w:pPr>
        <w:spacing w:after="0" w:before="0" w:line="276" w:lineRule="auto"/>
        <w:jc w:val="center"/>
      </w:pPr>
      <w:r>
        <w:rPr>
          <w:rFonts w:ascii="Times New Roman" w:hAnsi="Times New Roman" w:eastAsia="Times New Roman"/>
          <w:b/>
          <w:i w:val="0"/>
          <w:sz w:val="24"/>
        </w:rPr>
        <w:t>o unieważnienie czynności wyboru oferty,</w:t>
      </w:r>
    </w:p>
    <w:p>
      <w:pPr>
        <w:spacing w:after="0" w:before="0" w:line="276" w:lineRule="auto"/>
        <w:jc w:val="center"/>
      </w:pPr>
      <w:r>
        <w:rPr>
          <w:rFonts w:ascii="Times New Roman" w:hAnsi="Times New Roman" w:eastAsia="Times New Roman"/>
          <w:b/>
          <w:i w:val="0"/>
          <w:sz w:val="24"/>
        </w:rPr>
        <w:t>odrzucenie oferty BNR POLSKA sp. z o.o.</w:t>
      </w:r>
    </w:p>
    <w:p>
      <w:pPr>
        <w:spacing w:after="280" w:before="0" w:line="276" w:lineRule="auto"/>
        <w:jc w:val="center"/>
      </w:pPr>
      <w:r>
        <w:rPr>
          <w:rFonts w:ascii="Times New Roman" w:hAnsi="Times New Roman" w:eastAsia="Times New Roman"/>
          <w:b/>
          <w:i w:val="0"/>
          <w:sz w:val="24"/>
        </w:rPr>
        <w:t>oraz wybór oferty CUZO Jolanta Ledwoń</w:t>
      </w:r>
    </w:p>
    <w:p>
      <w:pPr>
        <w:spacing w:after="160" w:before="0" w:line="276" w:lineRule="auto"/>
        <w:jc w:val="both"/>
      </w:pPr>
      <w:r>
        <w:rPr>
          <w:rFonts w:ascii="Times New Roman" w:hAnsi="Times New Roman" w:eastAsia="Times New Roman"/>
          <w:b w:val="0"/>
          <w:i w:val="0"/>
          <w:sz w:val="22"/>
        </w:rPr>
        <w:t xml:space="preserve">Działając w imieniu wykonawcy CUZO Jolanta Ledwoń, uczestnika postępowania, którego oferta — zgodnie z zawiadomieniem z 11 sierpnia 2026 r. — została sklasyfikowana jako druga i jako jedyna poza ofertą BNR POLSKA sp. z o.o. nie podlegała odrzuceniu, na podstawie art. 16, art. 17, art. 107 ust. 1, art. 128, art. 226 ust. 1 oraz art. 239 ustawy z dnia 11 września 2019 r. — Prawo zamówień publicznych (t.j. Dz.U. z 2026 r. poz. 793, dalej: „Pzp”), </w:t>
      </w:r>
      <w:r>
        <w:rPr>
          <w:rFonts w:ascii="Times New Roman" w:hAnsi="Times New Roman" w:eastAsia="Times New Roman"/>
          <w:b/>
          <w:i w:val="0"/>
          <w:sz w:val="22"/>
        </w:rPr>
        <w:t>wnoszę o:</w:t>
      </w:r>
    </w:p>
    <w:p>
      <w:pPr>
        <w:spacing w:after="80"/>
        <w:ind w:left="425"/>
        <w:jc w:val="both"/>
      </w:pPr>
      <w:r>
        <w:rPr>
          <w:rFonts w:ascii="Times New Roman" w:hAnsi="Times New Roman" w:eastAsia="Times New Roman"/>
          <w:b w:val="0"/>
          <w:i w:val="0"/>
          <w:sz w:val="22"/>
        </w:rPr>
        <w:t>1. unieważnienie czynności wyboru oferty BNR POLSKA sp. z o.o. z siedzibą w Gdańsku, opisanej w zawiadomieniu znak BZP.271.24.17.2026 z dnia 11 sierpnia 2026 r.;</w:t>
      </w:r>
    </w:p>
    <w:p>
      <w:pPr>
        <w:spacing w:after="80"/>
        <w:ind w:left="425"/>
        <w:jc w:val="both"/>
      </w:pPr>
      <w:r>
        <w:rPr>
          <w:rFonts w:ascii="Times New Roman" w:hAnsi="Times New Roman" w:eastAsia="Times New Roman"/>
          <w:b w:val="0"/>
          <w:i w:val="0"/>
          <w:sz w:val="22"/>
        </w:rPr>
        <w:t>2. odrzucenie oferty BNR POLSKA sp. z o.o. na podstawie art. 226 ust. 1 pkt 2 lit. b i c oraz pkt 5 Pzp;</w:t>
      </w:r>
    </w:p>
    <w:p>
      <w:pPr>
        <w:spacing w:after="80"/>
        <w:ind w:left="425"/>
        <w:jc w:val="both"/>
      </w:pPr>
      <w:r>
        <w:rPr>
          <w:rFonts w:ascii="Times New Roman" w:hAnsi="Times New Roman" w:eastAsia="Times New Roman"/>
          <w:b w:val="0"/>
          <w:i w:val="0"/>
          <w:sz w:val="22"/>
        </w:rPr>
        <w:t>3. wybór oferty CUZO Jolanta Ledwoń, ul. Uczniowska 12, 42-280 Częstochowa, jako najkorzystniejszej spośród ofert niepodlegających odrzuceniu (cena 464 412,00 zł);</w:t>
      </w:r>
    </w:p>
    <w:p>
      <w:pPr>
        <w:spacing w:after="80"/>
        <w:ind w:left="425"/>
        <w:jc w:val="both"/>
      </w:pPr>
      <w:r>
        <w:rPr>
          <w:rFonts w:ascii="Times New Roman" w:hAnsi="Times New Roman" w:eastAsia="Times New Roman"/>
          <w:b w:val="0"/>
          <w:i w:val="0"/>
          <w:sz w:val="22"/>
        </w:rPr>
        <w:t>4. wstrzymanie zawarcia umowy zaplanowanego na dzień 18 sierpnia 2026 r. do czasu ponownego zbadania oferty BNR;</w:t>
      </w:r>
    </w:p>
    <w:p>
      <w:pPr>
        <w:spacing w:after="80"/>
        <w:ind w:left="425"/>
        <w:jc w:val="both"/>
      </w:pPr>
      <w:r>
        <w:rPr>
          <w:rFonts w:ascii="Times New Roman" w:hAnsi="Times New Roman" w:eastAsia="Times New Roman"/>
          <w:b w:val="0"/>
          <w:i w:val="0"/>
          <w:sz w:val="22"/>
        </w:rPr>
        <w:t>5. udostępnienie Wykonawcy — w trybie art. 18 i art. 74 Pzp — pełnej oferty BNR POLSKA sp. z o.o., w tym w szczególności: referencji (poświadczeń należytego wykonania) załączonych do wykazu dostaw, wezwań z art. 107 i 128 Pzp wraz z odpowiedziami, karty technicznej, fotografii, sprawozdania z badań palności oraz oświadczeń o pochodzeniu łóżek.</w:t>
      </w:r>
    </w:p>
    <w:p>
      <w:pPr>
        <w:spacing w:after="120" w:before="0" w:line="276" w:lineRule="auto"/>
      </w:pPr>
    </w:p>
    <w:p>
      <w:pPr>
        <w:spacing w:after="200" w:before="160" w:line="276" w:lineRule="auto"/>
        <w:jc w:val="center"/>
      </w:pPr>
      <w:r>
        <w:rPr>
          <w:rFonts w:ascii="Times New Roman" w:hAnsi="Times New Roman" w:eastAsia="Times New Roman"/>
          <w:b/>
          <w:i w:val="0"/>
          <w:sz w:val="24"/>
        </w:rPr>
        <w:t>UZASADNIENIE</w:t>
      </w:r>
    </w:p>
    <w:p>
      <w:pPr>
        <w:spacing w:after="120" w:before="0" w:line="276" w:lineRule="auto"/>
      </w:pPr>
      <w:r>
        <w:rPr>
          <w:rFonts w:ascii="Times New Roman" w:hAnsi="Times New Roman" w:eastAsia="Times New Roman"/>
          <w:b/>
          <w:i w:val="0"/>
          <w:sz w:val="22"/>
        </w:rPr>
        <w:t>I. Stan postępowania</w:t>
      </w:r>
    </w:p>
    <w:p>
      <w:pPr>
        <w:spacing w:after="160" w:before="0" w:line="276" w:lineRule="auto"/>
        <w:jc w:val="both"/>
      </w:pPr>
      <w:r>
        <w:rPr>
          <w:rFonts w:ascii="Times New Roman" w:hAnsi="Times New Roman" w:eastAsia="Times New Roman"/>
          <w:b w:val="0"/>
          <w:i w:val="0"/>
          <w:sz w:val="22"/>
        </w:rPr>
        <w:t xml:space="preserve">Zawiadomieniem z 11 sierpnia 2026 r. (BZP.271.24.17.2026) Zamawiający wybrał ofertę BNR POLSKA sp. z o.o. (cena 421 096,80 zł, 100 pkt) i wskazał, że umowa ma zostać zawarta </w:t>
      </w:r>
      <w:r>
        <w:rPr>
          <w:rFonts w:ascii="Times New Roman" w:hAnsi="Times New Roman" w:eastAsia="Times New Roman"/>
          <w:b/>
          <w:i w:val="0"/>
          <w:sz w:val="22"/>
        </w:rPr>
        <w:t>18 sierpnia 2026 r.</w:t>
      </w:r>
      <w:r>
        <w:rPr>
          <w:rFonts w:ascii="Times New Roman" w:hAnsi="Times New Roman" w:eastAsia="Times New Roman"/>
          <w:b w:val="0"/>
          <w:i w:val="0"/>
          <w:sz w:val="22"/>
        </w:rPr>
        <w:t xml:space="preserve"> Oferta CUZO Jolanta Ledwoń (464 412,00 zł, 90,67 pkt) jest jedyną pozostałą ofertą niepodlegającą odrzuceniu. Oferty AS DEAL sp. z o.o., PLAST-STOL Krzysztof Czarnotta, 4 DREAM sp. z o.o., AVEXA Damian Pałaszewski oraz STREFA998 sp. z o.o. zostały odrzucone — m.in. z powodu braku wadium, braku zgody na przedłużenie związania ofertą, braku przedmiotowych środków dowodowych oraz niezgodności treści oferty z warunkami zamówienia.</w:t>
      </w:r>
    </w:p>
    <w:p>
      <w:pPr>
        <w:spacing w:after="200" w:before="0" w:line="276" w:lineRule="auto"/>
        <w:jc w:val="both"/>
      </w:pPr>
      <w:r>
        <w:rPr>
          <w:rFonts w:ascii="Times New Roman" w:hAnsi="Times New Roman" w:eastAsia="Times New Roman"/>
          <w:b w:val="0"/>
          <w:i w:val="0"/>
          <w:sz w:val="22"/>
        </w:rPr>
        <w:t xml:space="preserve">Zamawiający odrzucił ofertę STREFA998 sp. z o.o. m.in. na podstawie art. 226 ust. 1 pkt 5 Pzp (treść oferty niezgodna z warunkami zamówienia) oraz ofertę AVEXA z powodu niezłożenia przedmiotowego środka dowodowego. Tej samej miary nie zastosowano wobec oferty BNR, mimo że złożone przez BNR przedmiotowe środki dowodowe </w:t>
      </w:r>
      <w:r>
        <w:rPr>
          <w:rFonts w:ascii="Times New Roman" w:hAnsi="Times New Roman" w:eastAsia="Times New Roman"/>
          <w:b/>
          <w:i w:val="0"/>
          <w:sz w:val="22"/>
        </w:rPr>
        <w:t>nie potwierdzają zgodności oferowanego łóżka z OPZ, a w części jej przeczą.</w:t>
      </w:r>
      <w:r>
        <w:rPr>
          <w:rFonts w:ascii="Times New Roman" w:hAnsi="Times New Roman" w:eastAsia="Times New Roman"/>
          <w:b w:val="0"/>
          <w:i w:val="0"/>
          <w:sz w:val="22"/>
        </w:rPr>
        <w:t xml:space="preserve"> Stanowi to naruszenie zasady równego traktowania i proporcjonalności (art. 16 Pzp).</w:t>
      </w:r>
    </w:p>
    <w:p>
      <w:pPr>
        <w:spacing w:after="120" w:before="0" w:line="276" w:lineRule="auto"/>
      </w:pPr>
      <w:r>
        <w:rPr>
          <w:rFonts w:ascii="Times New Roman" w:hAnsi="Times New Roman" w:eastAsia="Times New Roman"/>
          <w:b/>
          <w:i w:val="0"/>
          <w:sz w:val="22"/>
        </w:rPr>
        <w:t>II. Referencje — w przekazanej ofercie ich nie ma. Jest tylko wykaz.</w:t>
      </w:r>
    </w:p>
    <w:p>
      <w:pPr>
        <w:spacing w:after="120" w:before="0" w:line="276" w:lineRule="auto"/>
        <w:jc w:val="both"/>
      </w:pPr>
      <w:r>
        <w:rPr>
          <w:rFonts w:ascii="Times New Roman" w:hAnsi="Times New Roman" w:eastAsia="Times New Roman"/>
          <w:b w:val="0"/>
          <w:i w:val="0"/>
          <w:sz w:val="22"/>
        </w:rPr>
        <w:t>W załączniku nr 4 do oferty BNR (wykaz dostaw) wpisano jedną pozycję:</w:t>
      </w:r>
    </w:p>
    <w:p>
      <w:pPr>
        <w:spacing w:after="40"/>
        <w:ind w:left="425"/>
      </w:pPr>
      <w:r>
        <w:rPr>
          <w:rFonts w:ascii="Times New Roman" w:hAnsi="Times New Roman" w:eastAsia="Times New Roman"/>
          <w:b w:val="0"/>
          <w:i w:val="0"/>
          <w:sz w:val="22"/>
        </w:rPr>
        <w:t>–  odbiorca: Bener Michał Benka, ul. Wileńska 59B/15, 80-215 Gdańsk;</w:t>
      </w:r>
    </w:p>
    <w:p>
      <w:pPr>
        <w:spacing w:after="40"/>
        <w:ind w:left="425"/>
      </w:pPr>
      <w:r>
        <w:rPr>
          <w:rFonts w:ascii="Times New Roman" w:hAnsi="Times New Roman" w:eastAsia="Times New Roman"/>
          <w:b w:val="0"/>
          <w:i w:val="0"/>
          <w:sz w:val="22"/>
        </w:rPr>
        <w:t>–  przedmiot: „sprzęt kwatermistrzowski” — bez asortymentu, ilości i specyfikacji;</w:t>
      </w:r>
    </w:p>
    <w:p>
      <w:pPr>
        <w:spacing w:after="40"/>
        <w:ind w:left="425"/>
      </w:pPr>
      <w:r>
        <w:rPr>
          <w:rFonts w:ascii="Times New Roman" w:hAnsi="Times New Roman" w:eastAsia="Times New Roman"/>
          <w:b w:val="0"/>
          <w:i w:val="0"/>
          <w:sz w:val="22"/>
        </w:rPr>
        <w:t>–  wartość: 469 441,80 zł brutto;</w:t>
      </w:r>
    </w:p>
    <w:p>
      <w:pPr>
        <w:spacing w:after="40"/>
        <w:ind w:left="425"/>
      </w:pPr>
      <w:r>
        <w:rPr>
          <w:rFonts w:ascii="Times New Roman" w:hAnsi="Times New Roman" w:eastAsia="Times New Roman"/>
          <w:b w:val="0"/>
          <w:i w:val="0"/>
          <w:sz w:val="22"/>
        </w:rPr>
        <w:t>–  miejsce i data: Łask, 11.02.2025–11.03.2025 r.</w:t>
      </w:r>
    </w:p>
    <w:p>
      <w:pPr>
        <w:spacing w:after="160" w:before="0" w:line="276" w:lineRule="auto"/>
        <w:jc w:val="both"/>
      </w:pPr>
      <w:r>
        <w:rPr>
          <w:rFonts w:ascii="Times New Roman" w:hAnsi="Times New Roman" w:eastAsia="Times New Roman"/>
          <w:b w:val="0"/>
          <w:i w:val="0"/>
          <w:sz w:val="22"/>
        </w:rPr>
        <w:t xml:space="preserve">Na dole wykazu znajduje się standardowa klauzula wzoru: „Do wykazu załączamy referencje (lub poświadczenia) potwierdzające należyte wykonanie wymienionych dostaw.” </w:t>
      </w:r>
      <w:r>
        <w:rPr>
          <w:rFonts w:ascii="Times New Roman" w:hAnsi="Times New Roman" w:eastAsia="Times New Roman"/>
          <w:b/>
          <w:i w:val="0"/>
          <w:sz w:val="22"/>
        </w:rPr>
        <w:t>Samo pismo referencyjne / poświadczenie należytego wykonania nie zostało jednak przekazane w dokumentach oferty, które są znane składającemu niniejszy wniosek.</w:t>
      </w:r>
      <w:r>
        <w:rPr>
          <w:rFonts w:ascii="Times New Roman" w:hAnsi="Times New Roman" w:eastAsia="Times New Roman"/>
          <w:b w:val="0"/>
          <w:i w:val="0"/>
          <w:sz w:val="22"/>
        </w:rPr>
        <w:t xml:space="preserve"> W publicznie dostępnych źródłach (BZP, platformy zakupowe jednostek z terenu Łasku, w tym 32. Baza Lotnictwa Taktycznego) </w:t>
      </w:r>
      <w:r>
        <w:rPr>
          <w:rFonts w:ascii="Times New Roman" w:hAnsi="Times New Roman" w:eastAsia="Times New Roman"/>
          <w:b/>
          <w:i w:val="0"/>
          <w:sz w:val="22"/>
        </w:rPr>
        <w:t>nie odnaleziono</w:t>
      </w:r>
      <w:r>
        <w:rPr>
          <w:rFonts w:ascii="Times New Roman" w:hAnsi="Times New Roman" w:eastAsia="Times New Roman"/>
          <w:b w:val="0"/>
          <w:i w:val="0"/>
          <w:sz w:val="22"/>
        </w:rPr>
        <w:t xml:space="preserve"> postępowania ani umowy z lutego–marca 2025 r. na rzecz BNR POLSKA ani Bener Michał Benka, które odpowiadałyby wskazanej dostawie co do miejsca, daty i wartości.</w:t>
      </w:r>
    </w:p>
    <w:p>
      <w:pPr>
        <w:spacing w:after="160" w:before="0" w:line="276" w:lineRule="auto"/>
        <w:jc w:val="both"/>
      </w:pPr>
      <w:r>
        <w:rPr>
          <w:rFonts w:ascii="Times New Roman" w:hAnsi="Times New Roman" w:eastAsia="Times New Roman"/>
          <w:b w:val="0"/>
          <w:i w:val="0"/>
          <w:sz w:val="22"/>
        </w:rPr>
        <w:t>Niezależnie od braku referencji, sam wykaz jest wadliwy. Rozporządzenie w sprawie podmiotowych środków dowodowych oraz wzór załącznika nr 4 SWZ wymagają podania rodzaju i zakresu dostaw. Wpis ograniczony do powtórzenia treści warunku („sprzęt kwatermistrzowski”) nie pozwala ocenić, czy dostawa w ogóle dotyczyła asortymentu objętego warunkiem.</w:t>
      </w:r>
    </w:p>
    <w:p>
      <w:pPr>
        <w:spacing w:after="160" w:before="0" w:line="276" w:lineRule="auto"/>
        <w:jc w:val="both"/>
      </w:pPr>
      <w:r>
        <w:rPr>
          <w:rFonts w:ascii="Times New Roman" w:hAnsi="Times New Roman" w:eastAsia="Times New Roman"/>
          <w:b w:val="0"/>
          <w:i w:val="0"/>
          <w:sz w:val="22"/>
        </w:rPr>
        <w:t>Odbiorca nie jest podmiotem niezależnym. Z KRS 0001106115 wynika, że Michał Maciej Benka posiada 51% udziałów BNR i jest wiceprezesem zarządu, a jednocześnie prowadzi JDG Bener Michał Benka. Referencja — jeżeli w ogóle istnieje — byłaby wystawiona wykonawcy przez jego większościowego wspólnika. Takie poświadczenie nie ma waloru niezależnego dowodu należytego wykonania i podlega szczególnie wnikliwej ocenie (art. 128 ust. 4 i 5 Pzp).</w:t>
      </w:r>
    </w:p>
    <w:p>
      <w:pPr>
        <w:spacing w:after="160" w:before="0" w:line="276" w:lineRule="auto"/>
        <w:jc w:val="both"/>
      </w:pPr>
      <w:r>
        <w:rPr>
          <w:rFonts w:ascii="Times New Roman" w:hAnsi="Times New Roman" w:eastAsia="Times New Roman"/>
          <w:b w:val="0"/>
          <w:i w:val="0"/>
          <w:sz w:val="22"/>
        </w:rPr>
        <w:t>W ofercie BNR oświadczono wykonywanie zamówienia siłami własnymi, bez polegania na zasobach podmiotu trzeciego (art. 118 Pzp). Jeżeli rzeczywistym wykonawcą dostawy w Łasku był Bener Michał Benka, a nie BNR, warunek udziału z rozdziału VI SWZ nie został wykazany przez wykonawcę, który złożył ofertę.</w:t>
      </w:r>
    </w:p>
    <w:p>
      <w:pPr>
        <w:spacing w:after="200" w:before="0" w:line="276" w:lineRule="auto"/>
        <w:jc w:val="both"/>
      </w:pPr>
      <w:r>
        <w:rPr>
          <w:rFonts w:ascii="Times New Roman" w:hAnsi="Times New Roman" w:eastAsia="Times New Roman"/>
          <w:b w:val="0"/>
          <w:i w:val="0"/>
          <w:sz w:val="22"/>
        </w:rPr>
        <w:t>Wnoszę o: (a) udostępnienie składającemu wniosek referencji, które BNR miał załączyć do wykazu; (b) wezwanie BNR — w trybie art. 128 ust. 4 i 5 Pzp — do złożenia umowy, protokołów odbioru, faktur VAT, potwierdzeń zapłaty i dokumentów przewozowych tej dostawy oraz do sprecyzowania asortymentu i ilości; (c) zwrócenie się bezpośrednio do Bener Michał Benka. Brak realnego, niezależnie potwierdzonego wykonania dostawy oznacza niespełnienie warunku udziału i odrzucenie oferty z art. 226 ust. 1 pkt 2 lit. b Pzp.</w:t>
      </w:r>
    </w:p>
    <w:p>
      <w:pPr>
        <w:spacing w:after="120" w:before="0" w:line="276" w:lineRule="auto"/>
      </w:pPr>
      <w:r>
        <w:rPr>
          <w:rFonts w:ascii="Times New Roman" w:hAnsi="Times New Roman" w:eastAsia="Times New Roman"/>
          <w:b/>
          <w:i w:val="0"/>
          <w:sz w:val="22"/>
        </w:rPr>
        <w:t>III. Sprawozdanie z badań palności dotyczy innego wyrobu</w:t>
      </w:r>
    </w:p>
    <w:p>
      <w:pPr>
        <w:spacing w:after="120" w:before="0" w:line="276" w:lineRule="auto"/>
        <w:jc w:val="both"/>
      </w:pPr>
      <w:r>
        <w:rPr>
          <w:rFonts w:ascii="Times New Roman" w:hAnsi="Times New Roman" w:eastAsia="Times New Roman"/>
          <w:b w:val="0"/>
          <w:i w:val="0"/>
          <w:sz w:val="22"/>
        </w:rPr>
        <w:t xml:space="preserve">Na potwierdzenie PN-EN 597-1:2016-02 i PN-EN 597-2:2016-03 BNR złożył sprawozdanie TZ/PN597/006/2026 z 2 lutego 2026 r. (ZUT Szczecin, PCA AB 304). Laboratorium jest akredytowane. Problem polega na tym, że badano </w:t>
      </w:r>
      <w:r>
        <w:rPr>
          <w:rFonts w:ascii="Times New Roman" w:hAnsi="Times New Roman" w:eastAsia="Times New Roman"/>
          <w:b/>
          <w:i w:val="0"/>
          <w:sz w:val="22"/>
        </w:rPr>
        <w:t>inny materiał</w:t>
      </w:r>
      <w:r>
        <w:rPr>
          <w:rFonts w:ascii="Times New Roman" w:hAnsi="Times New Roman" w:eastAsia="Times New Roman"/>
          <w:b w:val="0"/>
          <w:i w:val="0"/>
          <w:sz w:val="22"/>
        </w:rPr>
        <w:t xml:space="preserve"> niż oferowane łóżko WP5-2 V. BNR:</w:t>
      </w:r>
    </w:p>
    <w:p>
      <w:pPr>
        <w:spacing w:after="40"/>
        <w:ind w:left="425"/>
        <w:jc w:val="both"/>
      </w:pPr>
      <w:r>
        <w:rPr>
          <w:rFonts w:ascii="Times New Roman" w:hAnsi="Times New Roman" w:eastAsia="Times New Roman"/>
          <w:b w:val="0"/>
          <w:i w:val="0"/>
          <w:sz w:val="22"/>
        </w:rPr>
        <w:t>–  deklaracja zleceniodawcy: tkanina Oxford 50% poliester + 50% PVC, wypełnienie gąbka PU; OPZ i karta: tkanina poliestrowa khaki, pianka niepalna 20 mm, gęstość T25;</w:t>
      </w:r>
    </w:p>
    <w:p>
      <w:pPr>
        <w:spacing w:after="40"/>
        <w:ind w:left="425"/>
        <w:jc w:val="both"/>
      </w:pPr>
      <w:r>
        <w:rPr>
          <w:rFonts w:ascii="Times New Roman" w:hAnsi="Times New Roman" w:eastAsia="Times New Roman"/>
          <w:b w:val="0"/>
          <w:i w:val="0"/>
          <w:sz w:val="22"/>
        </w:rPr>
        <w:t>–  próbka 460 × 460 mm, grubość 50 mm, tkanina szara — wobec wymaganych 20 mm i koloru khaki;</w:t>
      </w:r>
    </w:p>
    <w:p>
      <w:pPr>
        <w:spacing w:after="40"/>
        <w:ind w:left="425"/>
        <w:jc w:val="both"/>
      </w:pPr>
      <w:r>
        <w:rPr>
          <w:rFonts w:ascii="Times New Roman" w:hAnsi="Times New Roman" w:eastAsia="Times New Roman"/>
          <w:b w:val="0"/>
          <w:i w:val="0"/>
          <w:sz w:val="22"/>
        </w:rPr>
        <w:t>–  próbki dostarczył sam BNR; w teście równoważnikiem zapałki wynik podano dla dwóch z trzech próbek;</w:t>
      </w:r>
    </w:p>
    <w:p>
      <w:pPr>
        <w:spacing w:after="40"/>
        <w:ind w:left="425"/>
        <w:jc w:val="both"/>
      </w:pPr>
      <w:r>
        <w:rPr>
          <w:rFonts w:ascii="Times New Roman" w:hAnsi="Times New Roman" w:eastAsia="Times New Roman"/>
          <w:b w:val="0"/>
          <w:i w:val="0"/>
          <w:sz w:val="22"/>
        </w:rPr>
        <w:t>–  w treści pojawia się oznaczenie „PN-EN ISO 597”, podczas gdy właściwa norma to PN-EN 597-1/2 (EN 597 nie jest normą ISO);</w:t>
      </w:r>
    </w:p>
    <w:p>
      <w:pPr>
        <w:spacing w:after="40"/>
        <w:ind w:left="425"/>
        <w:jc w:val="both"/>
      </w:pPr>
      <w:r>
        <w:rPr>
          <w:rFonts w:ascii="Times New Roman" w:hAnsi="Times New Roman" w:eastAsia="Times New Roman"/>
          <w:b w:val="0"/>
          <w:i w:val="0"/>
          <w:sz w:val="22"/>
        </w:rPr>
        <w:t>–  samo sprawozdanie zastrzega, że dotyczy wyłącznie badanych próbek.</w:t>
      </w:r>
    </w:p>
    <w:p>
      <w:pPr>
        <w:spacing w:after="200" w:before="0" w:line="276" w:lineRule="auto"/>
        <w:jc w:val="both"/>
      </w:pPr>
      <w:r>
        <w:rPr>
          <w:rFonts w:ascii="Times New Roman" w:hAnsi="Times New Roman" w:eastAsia="Times New Roman"/>
          <w:b w:val="0"/>
          <w:i w:val="0"/>
          <w:sz w:val="22"/>
        </w:rPr>
        <w:t>Zgodnie z art. 107 ust. 1 Pzp, jeżeli przedmiotowy środek dowodowy nie potwierdza zgodności oferowanych dostaw z wymaganiami, ofertę odrzuca się. Uzupełnienie z art. 107 ust. 2 jest jednokrotne. Skoro BNR złożył już dokumenty datowane 13 lipca 2026 r., a nadal nie potwierdzają one zgodności, ponowne wezwanie jest niedopuszczalne.</w:t>
      </w:r>
    </w:p>
    <w:p>
      <w:pPr>
        <w:spacing w:after="120" w:before="0" w:line="276" w:lineRule="auto"/>
      </w:pPr>
      <w:r>
        <w:rPr>
          <w:rFonts w:ascii="Times New Roman" w:hAnsi="Times New Roman" w:eastAsia="Times New Roman"/>
          <w:b/>
          <w:i w:val="0"/>
          <w:sz w:val="22"/>
        </w:rPr>
        <w:t>IV. Karta techniczna sporządzona po otwarciu ofert, na potrzeby tego postępowania</w:t>
      </w:r>
    </w:p>
    <w:p>
      <w:pPr>
        <w:spacing w:after="200" w:before="0" w:line="276" w:lineRule="auto"/>
        <w:jc w:val="both"/>
      </w:pPr>
      <w:r>
        <w:rPr>
          <w:rFonts w:ascii="Times New Roman" w:hAnsi="Times New Roman" w:eastAsia="Times New Roman"/>
          <w:b w:val="0"/>
          <w:i w:val="0"/>
          <w:sz w:val="22"/>
        </w:rPr>
        <w:t>Karta katalogowa łóżka WP5-2 V. BNR nosi datę 13 lipca 2026 r. — jedenaście dni po terminie składania ofert (2 lipca 2026 r., godz. 10:00). Zawiera sformułowanie „Specjalnie dla Gminy Miejskiej Głogów”. To nie jest istniejący dokument katalogowy producenta, lecz dokument wytworzony pod niniejsze postępowanie. Jej treść (pianka 20 mm T25, khaki) jest sprzeczna ze złożonym przez tego samego wykonawcę sprawozdaniem z badań (próbka 50 mm, tkanina szara Oxford/PVC). Uzupełnienie nie może zmieniać treści oferty.</w:t>
      </w:r>
    </w:p>
    <w:p>
      <w:pPr>
        <w:spacing w:after="120" w:before="0" w:line="276" w:lineRule="auto"/>
      </w:pPr>
      <w:r>
        <w:rPr>
          <w:rFonts w:ascii="Times New Roman" w:hAnsi="Times New Roman" w:eastAsia="Times New Roman"/>
          <w:b/>
          <w:i w:val="0"/>
          <w:sz w:val="22"/>
        </w:rPr>
        <w:t>V. Fotografie oferowanego modelu przeczą OPZ</w:t>
      </w:r>
    </w:p>
    <w:p>
      <w:pPr>
        <w:spacing w:after="200" w:before="0" w:line="276" w:lineRule="auto"/>
        <w:jc w:val="both"/>
      </w:pPr>
      <w:r>
        <w:rPr>
          <w:rFonts w:ascii="Times New Roman" w:hAnsi="Times New Roman" w:eastAsia="Times New Roman"/>
          <w:b w:val="0"/>
          <w:i w:val="0"/>
          <w:sz w:val="22"/>
        </w:rPr>
        <w:t>Rozdział IX SWZ wymaga fotografii oferowanego modelu w stanie złożonym i rozłożonym jako przedmiotowego środka dowodowego. OPZ wymaga stelaża w lakierze zbliżonym do RAL 6003 (zieleń oliwkowa) oraz materaca w kolorze zielonym (khaki). Na fotografiach złożonych przez BNR widoczny jest stelaż czarny i materac beżowo-piaskowy. Środek dowodowy dokumentuje niezgodność treści oferty z warunkami zamówienia (art. 226 ust. 1 pkt 5 Pzp). Zamawiający nie może pominąć własnych zdjęć wykonawcy na rzecz karty przepisanej z OPZ.</w:t>
      </w:r>
    </w:p>
    <w:p>
      <w:pPr>
        <w:spacing w:after="120" w:before="0" w:line="276" w:lineRule="auto"/>
      </w:pPr>
      <w:r>
        <w:rPr>
          <w:rFonts w:ascii="Times New Roman" w:hAnsi="Times New Roman" w:eastAsia="Times New Roman"/>
          <w:b/>
          <w:i w:val="0"/>
          <w:sz w:val="22"/>
        </w:rPr>
        <w:t>VI. Pochodzenie łóżek i atest PZH</w:t>
      </w:r>
    </w:p>
    <w:p>
      <w:pPr>
        <w:spacing w:after="200" w:before="0" w:line="276" w:lineRule="auto"/>
        <w:jc w:val="both"/>
      </w:pPr>
      <w:r>
        <w:rPr>
          <w:rFonts w:ascii="Times New Roman" w:hAnsi="Times New Roman" w:eastAsia="Times New Roman"/>
          <w:b w:val="0"/>
          <w:i w:val="0"/>
          <w:sz w:val="22"/>
        </w:rPr>
        <w:t>Rozdział I ust. 27 SWZ wyłącza łóżka z państw trzecich poza GPA/umowami UE; pochodzenie ustala się według art. 60 unijnego kodeksu celnego. BNR wpisał „kraj pochodzenia: Polska” bez jakiegokolwiek dowodu. Karta stwierdza posiadanie atestu PZH „w systemie BENBOX”, podczas gdy w znanej części oferty dokumentu PZH nie ma. Wnoszę o wezwanie do wykazania pochodzenia (zakład, zakres przetworzenia, dokumenty celne) oraz do złożenia atestu PZH na oferowany wyrób — a w razie braku: odrzucenie oferty.</w:t>
      </w:r>
    </w:p>
    <w:p>
      <w:pPr>
        <w:spacing w:after="120" w:before="0" w:line="276" w:lineRule="auto"/>
      </w:pPr>
      <w:r>
        <w:rPr>
          <w:rFonts w:ascii="Times New Roman" w:hAnsi="Times New Roman" w:eastAsia="Times New Roman"/>
          <w:b/>
          <w:i w:val="0"/>
          <w:sz w:val="22"/>
        </w:rPr>
        <w:t>VII. Skutek prawny</w:t>
      </w:r>
    </w:p>
    <w:p>
      <w:pPr>
        <w:spacing w:after="160" w:before="0" w:line="276" w:lineRule="auto"/>
        <w:jc w:val="both"/>
      </w:pPr>
      <w:r>
        <w:rPr>
          <w:rFonts w:ascii="Times New Roman" w:hAnsi="Times New Roman" w:eastAsia="Times New Roman"/>
          <w:b w:val="0"/>
          <w:i w:val="0"/>
          <w:sz w:val="22"/>
        </w:rPr>
        <w:t>Po odrzuceniu oferty BNR jedyną ofertą niepodlegającą odrzuceniu pozostaje oferta CUZO Jolanta Ledwoń. Zgodnie z art. 239 Pzp Zamawiający wybiera ofertę najkorzystniejszą spośród ofert niepodlegających odrzuceniu. Zawarcie umowy z BNR w dniu 18 sierpnia 2026 r. przy zaniechaniu zbadania powyższych okoliczności utrwali naruszenie art. 16 i art. 226 Pzp.</w:t>
      </w:r>
    </w:p>
    <w:p>
      <w:pPr>
        <w:spacing w:after="280" w:before="0" w:line="276" w:lineRule="auto"/>
        <w:jc w:val="both"/>
      </w:pPr>
      <w:r>
        <w:rPr>
          <w:rFonts w:ascii="Times New Roman" w:hAnsi="Times New Roman" w:eastAsia="Times New Roman"/>
          <w:b w:val="0"/>
          <w:i w:val="0"/>
          <w:sz w:val="22"/>
        </w:rPr>
        <w:t>Zastrzegam prawo wniesienia odwołania do Krajowej Izby Odwoławczej. Kopię niniejszego pisma składa się jednocześnie na platformie postępowania, aby Zamawiający mógł zapoznać się z jego treścią przed planowanym terminem zawarcia umowy.</w:t>
      </w:r>
    </w:p>
    <w:p>
      <w:pPr>
        <w:spacing w:after="40" w:before="0" w:line="276" w:lineRule="auto"/>
      </w:pPr>
      <w:r>
        <w:rPr>
          <w:rFonts w:ascii="Times New Roman" w:hAnsi="Times New Roman" w:eastAsia="Times New Roman"/>
          <w:b w:val="0"/>
          <w:i w:val="0"/>
          <w:sz w:val="22"/>
        </w:rPr>
        <w:t>Z poważaniem</w:t>
      </w:r>
    </w:p>
    <w:p>
      <w:pPr>
        <w:spacing w:after="120" w:before="0" w:line="276" w:lineRule="auto"/>
      </w:pPr>
    </w:p>
    <w:p>
      <w:pPr>
        <w:spacing w:after="0" w:before="0" w:line="276" w:lineRule="auto"/>
      </w:pPr>
      <w:r>
        <w:rPr>
          <w:rFonts w:ascii="Times New Roman" w:hAnsi="Times New Roman" w:eastAsia="Times New Roman"/>
          <w:b w:val="0"/>
          <w:i w:val="0"/>
          <w:sz w:val="22"/>
        </w:rPr>
        <w:t>................................................</w:t>
      </w:r>
    </w:p>
    <w:p>
      <w:pPr>
        <w:spacing w:after="0" w:before="0" w:line="276" w:lineRule="auto"/>
      </w:pPr>
      <w:r>
        <w:rPr>
          <w:rFonts w:ascii="Times New Roman" w:hAnsi="Times New Roman" w:eastAsia="Times New Roman"/>
          <w:b w:val="0"/>
          <w:i w:val="0"/>
          <w:sz w:val="22"/>
        </w:rPr>
        <w:t>Jolanta Ledwoń</w:t>
      </w:r>
    </w:p>
    <w:p>
      <w:pPr>
        <w:spacing w:after="320" w:before="0" w:line="276" w:lineRule="auto"/>
      </w:pPr>
      <w:r>
        <w:rPr>
          <w:rFonts w:ascii="Times New Roman" w:hAnsi="Times New Roman" w:eastAsia="Times New Roman"/>
          <w:b w:val="0"/>
          <w:i w:val="0"/>
          <w:sz w:val="22"/>
        </w:rPr>
        <w:t>CUZO Jolanta Ledwoń</w:t>
      </w:r>
    </w:p>
    <w:p>
      <w:pPr>
        <w:spacing w:after="80" w:before="0" w:line="276" w:lineRule="auto"/>
      </w:pPr>
      <w:r>
        <w:rPr>
          <w:rFonts w:ascii="Times New Roman" w:hAnsi="Times New Roman" w:eastAsia="Times New Roman"/>
          <w:b/>
          <w:i w:val="0"/>
          <w:sz w:val="22"/>
        </w:rPr>
        <w:t>Załączniki:</w:t>
      </w:r>
    </w:p>
    <w:p>
      <w:pPr>
        <w:spacing w:after="40"/>
        <w:ind w:left="283"/>
      </w:pPr>
      <w:r>
        <w:rPr>
          <w:rFonts w:ascii="Times New Roman" w:hAnsi="Times New Roman" w:eastAsia="Times New Roman"/>
          <w:b w:val="0"/>
          <w:i w:val="0"/>
          <w:sz w:val="22"/>
        </w:rPr>
        <w:t>1) zawiadomienie o wyborze oferty najkorzystniejszej z 11.08.2026 r. (BZP.271.24.17.2026) — w posiadaniu Zamawiającego;</w:t>
      </w:r>
    </w:p>
    <w:p>
      <w:pPr>
        <w:spacing w:after="40"/>
        <w:ind w:left="283"/>
      </w:pPr>
      <w:r>
        <w:rPr>
          <w:rFonts w:ascii="Times New Roman" w:hAnsi="Times New Roman" w:eastAsia="Times New Roman"/>
          <w:b w:val="0"/>
          <w:i w:val="0"/>
          <w:sz w:val="22"/>
        </w:rPr>
        <w:t>2) załącznik nr 4 do oferty BNR (wykaz dostaw) — w zakresie znanym składającemu wniosek;</w:t>
      </w:r>
    </w:p>
    <w:p>
      <w:pPr>
        <w:spacing w:after="40"/>
        <w:ind w:left="283"/>
      </w:pPr>
      <w:r>
        <w:rPr>
          <w:rFonts w:ascii="Times New Roman" w:hAnsi="Times New Roman" w:eastAsia="Times New Roman"/>
          <w:b w:val="0"/>
          <w:i w:val="0"/>
          <w:sz w:val="22"/>
        </w:rPr>
        <w:t>3) karta techniczna WP5-2 V. BNR z 13.07.2026 r.;</w:t>
      </w:r>
    </w:p>
    <w:p>
      <w:pPr>
        <w:spacing w:after="40"/>
        <w:ind w:left="283"/>
      </w:pPr>
      <w:r>
        <w:rPr>
          <w:rFonts w:ascii="Times New Roman" w:hAnsi="Times New Roman" w:eastAsia="Times New Roman"/>
          <w:b w:val="0"/>
          <w:i w:val="0"/>
          <w:sz w:val="22"/>
        </w:rPr>
        <w:t>4) sprawozdanie z badań TZ/PN597/006/2026;</w:t>
      </w:r>
    </w:p>
    <w:p>
      <w:pPr>
        <w:spacing w:after="40"/>
        <w:ind w:left="283"/>
      </w:pPr>
      <w:r>
        <w:rPr>
          <w:rFonts w:ascii="Times New Roman" w:hAnsi="Times New Roman" w:eastAsia="Times New Roman"/>
          <w:b w:val="0"/>
          <w:i w:val="0"/>
          <w:sz w:val="22"/>
        </w:rPr>
        <w:t>5) fotografie oferowanego modelu złożone przez BNR;</w:t>
      </w:r>
    </w:p>
    <w:p>
      <w:pPr>
        <w:spacing w:after="40"/>
        <w:ind w:left="283"/>
      </w:pPr>
      <w:r>
        <w:rPr>
          <w:rFonts w:ascii="Times New Roman" w:hAnsi="Times New Roman" w:eastAsia="Times New Roman"/>
          <w:b w:val="0"/>
          <w:i w:val="0"/>
          <w:sz w:val="22"/>
        </w:rPr>
        <w:t>6) odpis z KRS BNR POLSKA sp. z o.o. oraz informacja z CEIDG Bener Michał Benka (do złożenia niezwłocznie / w załączeniu, o ile posiadane).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