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366BE" w:rsidRDefault="00E671CF" w:rsidP="004A44CD">
      <w:pPr>
        <w:pStyle w:val="LabTitle"/>
        <w:rPr>
          <w:rStyle w:val="LabTitleInstVersred"/>
          <w:b/>
          <w:color w:val="auto"/>
        </w:rPr>
      </w:pPr>
      <w:r w:rsidRPr="00F366BE">
        <w:t xml:space="preserve">Packet Tracer – Implementieren eines in Subnetze unterteilten IPv6-Adressierungsschemas </w:t>
      </w:r>
    </w:p>
    <w:p w:rsidR="003C6BCA" w:rsidRPr="00F366BE" w:rsidRDefault="001E38E0" w:rsidP="0014219C">
      <w:pPr>
        <w:pStyle w:val="LabSection"/>
      </w:pPr>
      <w:r w:rsidRPr="00F366BE">
        <w:t>Topologie</w:t>
      </w:r>
    </w:p>
    <w:p w:rsidR="00B95EA8" w:rsidRPr="00F366BE" w:rsidRDefault="00C13AA4" w:rsidP="00B95EA8">
      <w:pPr>
        <w:pStyle w:val="BodyText1"/>
        <w:jc w:val="center"/>
      </w:pPr>
      <w:r w:rsidRPr="00F366BE">
        <w:rPr>
          <w:noProof/>
          <w:lang w:val="en-US" w:eastAsia="zh-CN" w:bidi="ar-SA"/>
        </w:rPr>
        <w:drawing>
          <wp:inline distT="0" distB="0" distL="0" distR="0">
            <wp:extent cx="4191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6" w:rsidRPr="00F366BE" w:rsidRDefault="00421FF6" w:rsidP="00F366BE">
      <w:pPr>
        <w:pStyle w:val="LabSection"/>
        <w:keepNext w:val="0"/>
      </w:pPr>
      <w:r w:rsidRPr="00F366BE">
        <w:t>Adressierungstabelle</w:t>
      </w:r>
    </w:p>
    <w:tbl>
      <w:tblPr>
        <w:tblW w:w="6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73"/>
        <w:gridCol w:w="1420"/>
        <w:gridCol w:w="2799"/>
        <w:gridCol w:w="1498"/>
      </w:tblGrid>
      <w:tr w:rsidR="00DC1827" w:rsidRPr="00F366BE" w:rsidTr="00F366BE">
        <w:trPr>
          <w:cantSplit/>
          <w:jc w:val="center"/>
        </w:trPr>
        <w:tc>
          <w:tcPr>
            <w:tcW w:w="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F366BE" w:rsidRDefault="00DC1827" w:rsidP="00F366BE">
            <w:pPr>
              <w:pStyle w:val="TableHeading"/>
              <w:keepNext w:val="0"/>
            </w:pPr>
            <w:r w:rsidRPr="00F366BE">
              <w:t>Gerät</w:t>
            </w:r>
          </w:p>
        </w:tc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F366BE" w:rsidRDefault="00DC1827" w:rsidP="00F366BE">
            <w:pPr>
              <w:pStyle w:val="TableHeading"/>
              <w:keepNext w:val="0"/>
            </w:pPr>
            <w:r w:rsidRPr="00F366BE">
              <w:t>Schnittstelle</w:t>
            </w:r>
          </w:p>
        </w:tc>
        <w:tc>
          <w:tcPr>
            <w:tcW w:w="27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F366BE" w:rsidRDefault="00DC1827" w:rsidP="00F366BE">
            <w:pPr>
              <w:pStyle w:val="TableHeading"/>
              <w:keepNext w:val="0"/>
            </w:pPr>
            <w:r w:rsidRPr="00F366BE">
              <w:t>IPv6-Adresse</w:t>
            </w:r>
          </w:p>
        </w:tc>
        <w:tc>
          <w:tcPr>
            <w:tcW w:w="1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C1827" w:rsidRPr="00F366BE" w:rsidRDefault="00DC1827" w:rsidP="00F366BE">
            <w:pPr>
              <w:pStyle w:val="TableHeading"/>
              <w:keepNext w:val="0"/>
            </w:pPr>
            <w:r w:rsidRPr="00F366BE">
              <w:t>Link-Local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 w:val="restart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R1</w:t>
            </w: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G0/0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FE80::1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G0/1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FE80::1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S0/0/0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FE80::1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 w:val="restart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R2</w:t>
            </w: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G0/0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FE80::2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G0/1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FE80::2</w:t>
            </w:r>
          </w:p>
        </w:tc>
      </w:tr>
      <w:tr w:rsidR="00DC1827" w:rsidRPr="00F366BE" w:rsidTr="00F366BE">
        <w:trPr>
          <w:cantSplit/>
          <w:jc w:val="center"/>
        </w:trPr>
        <w:tc>
          <w:tcPr>
            <w:tcW w:w="773" w:type="dxa"/>
            <w:vMerge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</w:p>
        </w:tc>
        <w:tc>
          <w:tcPr>
            <w:tcW w:w="1420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S0/0/0</w:t>
            </w:r>
          </w:p>
        </w:tc>
        <w:tc>
          <w:tcPr>
            <w:tcW w:w="2799" w:type="dxa"/>
            <w:vAlign w:val="center"/>
          </w:tcPr>
          <w:p w:rsidR="00DC1827" w:rsidRPr="00F366BE" w:rsidRDefault="00DC1827" w:rsidP="00F366BE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498" w:type="dxa"/>
          </w:tcPr>
          <w:p w:rsidR="00DC1827" w:rsidRPr="00F366BE" w:rsidRDefault="00DC1827" w:rsidP="00F366BE">
            <w:pPr>
              <w:pStyle w:val="TableText"/>
              <w:keepNext w:val="0"/>
            </w:pPr>
            <w:r w:rsidRPr="00F366BE">
              <w:t>FE80::2</w:t>
            </w:r>
          </w:p>
        </w:tc>
      </w:tr>
      <w:tr w:rsidR="00B95EA8" w:rsidRPr="00F366BE" w:rsidTr="00F366BE">
        <w:trPr>
          <w:cantSplit/>
          <w:jc w:val="center"/>
        </w:trPr>
        <w:tc>
          <w:tcPr>
            <w:tcW w:w="773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PC1</w:t>
            </w:r>
          </w:p>
        </w:tc>
        <w:tc>
          <w:tcPr>
            <w:tcW w:w="1420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NIC</w:t>
            </w:r>
          </w:p>
        </w:tc>
        <w:tc>
          <w:tcPr>
            <w:tcW w:w="4297" w:type="dxa"/>
            <w:gridSpan w:val="2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Auto Config</w:t>
            </w:r>
          </w:p>
        </w:tc>
      </w:tr>
      <w:tr w:rsidR="00B95EA8" w:rsidRPr="00F366BE" w:rsidTr="00F366BE">
        <w:trPr>
          <w:cantSplit/>
          <w:jc w:val="center"/>
        </w:trPr>
        <w:tc>
          <w:tcPr>
            <w:tcW w:w="773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PC2</w:t>
            </w:r>
          </w:p>
        </w:tc>
        <w:tc>
          <w:tcPr>
            <w:tcW w:w="1420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NIC</w:t>
            </w:r>
          </w:p>
        </w:tc>
        <w:tc>
          <w:tcPr>
            <w:tcW w:w="4297" w:type="dxa"/>
            <w:gridSpan w:val="2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Auto Config</w:t>
            </w:r>
          </w:p>
        </w:tc>
      </w:tr>
      <w:tr w:rsidR="00B95EA8" w:rsidRPr="00F366BE" w:rsidTr="00F366BE">
        <w:trPr>
          <w:cantSplit/>
          <w:jc w:val="center"/>
        </w:trPr>
        <w:tc>
          <w:tcPr>
            <w:tcW w:w="773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PC3</w:t>
            </w:r>
          </w:p>
        </w:tc>
        <w:tc>
          <w:tcPr>
            <w:tcW w:w="1420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NIC</w:t>
            </w:r>
          </w:p>
        </w:tc>
        <w:tc>
          <w:tcPr>
            <w:tcW w:w="4297" w:type="dxa"/>
            <w:gridSpan w:val="2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Auto Config</w:t>
            </w:r>
          </w:p>
        </w:tc>
      </w:tr>
      <w:tr w:rsidR="00B95EA8" w:rsidRPr="00F366BE" w:rsidTr="00F366BE">
        <w:trPr>
          <w:cantSplit/>
          <w:jc w:val="center"/>
        </w:trPr>
        <w:tc>
          <w:tcPr>
            <w:tcW w:w="773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PC4</w:t>
            </w:r>
          </w:p>
        </w:tc>
        <w:tc>
          <w:tcPr>
            <w:tcW w:w="1420" w:type="dxa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NIC</w:t>
            </w:r>
          </w:p>
        </w:tc>
        <w:tc>
          <w:tcPr>
            <w:tcW w:w="4297" w:type="dxa"/>
            <w:gridSpan w:val="2"/>
            <w:vAlign w:val="center"/>
          </w:tcPr>
          <w:p w:rsidR="00B95EA8" w:rsidRPr="00F366BE" w:rsidRDefault="00B95EA8" w:rsidP="00F366BE">
            <w:pPr>
              <w:pStyle w:val="TableText"/>
              <w:keepNext w:val="0"/>
            </w:pPr>
            <w:r w:rsidRPr="00F366BE">
              <w:t>Auto Config</w:t>
            </w:r>
          </w:p>
        </w:tc>
      </w:tr>
    </w:tbl>
    <w:p w:rsidR="009D2C27" w:rsidRPr="00F366BE" w:rsidRDefault="009D2C27" w:rsidP="0014219C">
      <w:pPr>
        <w:pStyle w:val="LabSection"/>
      </w:pPr>
      <w:r w:rsidRPr="00F366BE">
        <w:t>Zielsetzung</w:t>
      </w:r>
    </w:p>
    <w:p w:rsidR="00554B4E" w:rsidRPr="00F366BE" w:rsidRDefault="00963E34" w:rsidP="00963E34">
      <w:pPr>
        <w:pStyle w:val="BodyTextL25Bold"/>
      </w:pPr>
      <w:r w:rsidRPr="00F366BE">
        <w:t>Teil 1: Bestimmen der IPv6-Subnetze und des -Adressierungsschemas</w:t>
      </w:r>
    </w:p>
    <w:p w:rsidR="0020275E" w:rsidRPr="00F366BE" w:rsidRDefault="0020275E" w:rsidP="0020275E">
      <w:pPr>
        <w:pStyle w:val="BodyTextL25Bold"/>
      </w:pPr>
      <w:r w:rsidRPr="00F366BE">
        <w:t>Teil 2: Konfigurieren von IPv6-Adressen auf Routern und PCs und Überprüfen der Netzwerkverbindungen</w:t>
      </w:r>
    </w:p>
    <w:p w:rsidR="00C07FD9" w:rsidRPr="00F366BE" w:rsidRDefault="00672919" w:rsidP="0014219C">
      <w:pPr>
        <w:pStyle w:val="LabSection"/>
      </w:pPr>
      <w:r w:rsidRPr="00F366BE">
        <w:lastRenderedPageBreak/>
        <w:t>Szenario</w:t>
      </w:r>
    </w:p>
    <w:p w:rsidR="00A96B65" w:rsidRPr="00F366BE" w:rsidRDefault="00421FF6" w:rsidP="00F64F61">
      <w:pPr>
        <w:pStyle w:val="BodyTextL25"/>
      </w:pPr>
      <w:r w:rsidRPr="00F366BE">
        <w:t>Ihr Netzwerkadministrator möchte, dass Sie dem in der Topologie gezeigten Netzwerk fünf /64-IPv6-Subnetze zuweisen. Ihre Aufgabe ist es, die IPv6-Subnetze zu bestimmen, den Routern IPv6-Adressen zuzuweisen und die PCs so einzurichten, dass sie ihre IPv6-Adressen automatisch erhalten. Als Letztes müssen Sie die Verbindungen zwischen IPv6-Hosts überprüfen.</w:t>
      </w:r>
    </w:p>
    <w:p w:rsidR="00112AC5" w:rsidRPr="00F366BE" w:rsidRDefault="00F64F61" w:rsidP="00F366BE">
      <w:pPr>
        <w:pStyle w:val="PartHead"/>
      </w:pPr>
      <w:r w:rsidRPr="00F366BE">
        <w:t>Bestimmen der IPv6-Subnetze und des -Adressierungsschemas</w:t>
      </w:r>
    </w:p>
    <w:p w:rsidR="00112AC5" w:rsidRPr="00F366BE" w:rsidRDefault="00C665A7" w:rsidP="00F366BE">
      <w:pPr>
        <w:pStyle w:val="StepHead"/>
      </w:pPr>
      <w:r w:rsidRPr="00F366BE">
        <w:t xml:space="preserve">Ermitteln der Anzahl der benötigten Subnetze </w:t>
      </w:r>
    </w:p>
    <w:p w:rsidR="00112AC5" w:rsidRPr="00F366BE" w:rsidRDefault="007564B2" w:rsidP="007564B2">
      <w:pPr>
        <w:pStyle w:val="BodyTextL25"/>
      </w:pPr>
      <w:r w:rsidRPr="00F366BE">
        <w:t xml:space="preserve">Beginnen Sie mit dem IPv6-Subnetz 2001:DB8:ACAD:00C8::/64 und weisen Sie es dem R1-LAN zu, das mit „GigabitEthernet 0/0“ verbunden ist, wie in der </w:t>
      </w:r>
      <w:r w:rsidRPr="00F366BE">
        <w:rPr>
          <w:b/>
          <w:shd w:val="clear" w:color="auto" w:fill="FFFFFF"/>
        </w:rPr>
        <w:t>Subnetztabelle</w:t>
      </w:r>
      <w:r w:rsidRPr="00F366BE">
        <w:t xml:space="preserve"> gezeigt. Für die übrigen IPv6-Subnetze erhöhen Sie die 2001:DB8:ACAD:00C8::/64-Subnetzadresse um 1 und vervollständigen Sie die </w:t>
      </w:r>
      <w:r w:rsidRPr="00F366BE">
        <w:rPr>
          <w:b/>
          <w:shd w:val="clear" w:color="auto" w:fill="FFFFFF"/>
        </w:rPr>
        <w:t>Subnetztabelle</w:t>
      </w:r>
      <w:r w:rsidRPr="00F366BE">
        <w:t xml:space="preserve"> mit den IPv6-Subnetzadressen.</w:t>
      </w:r>
    </w:p>
    <w:p w:rsidR="007564B2" w:rsidRPr="00F366BE" w:rsidRDefault="007564B2" w:rsidP="007564B2">
      <w:pPr>
        <w:pStyle w:val="LabSection"/>
      </w:pPr>
      <w:r w:rsidRPr="00F366BE">
        <w:t>Subnetztabelle</w:t>
      </w:r>
    </w:p>
    <w:tbl>
      <w:tblPr>
        <w:tblW w:w="0" w:type="auto"/>
        <w:jc w:val="center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94"/>
        <w:gridCol w:w="2970"/>
      </w:tblGrid>
      <w:tr w:rsidR="007564B2" w:rsidRPr="00F366BE" w:rsidTr="001545B3">
        <w:trPr>
          <w:cantSplit/>
          <w:jc w:val="center"/>
        </w:trPr>
        <w:tc>
          <w:tcPr>
            <w:tcW w:w="2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F366BE" w:rsidRDefault="007564B2" w:rsidP="007564B2">
            <w:pPr>
              <w:pStyle w:val="TableHeading"/>
            </w:pPr>
            <w:r w:rsidRPr="00F366BE">
              <w:t>Subnetzbeschreibung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F366BE" w:rsidRDefault="007564B2" w:rsidP="007564B2">
            <w:pPr>
              <w:pStyle w:val="TableHeading"/>
            </w:pPr>
            <w:r w:rsidRPr="00F366BE">
              <w:t>Subnetzadresse</w:t>
            </w:r>
          </w:p>
        </w:tc>
      </w:tr>
      <w:tr w:rsidR="007564B2" w:rsidRPr="00F366BE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F366BE" w:rsidRDefault="007564B2" w:rsidP="007564B2">
            <w:pPr>
              <w:pStyle w:val="TableText"/>
            </w:pPr>
            <w:r w:rsidRPr="00F366BE">
              <w:t>R1 G0/0 LAN</w:t>
            </w:r>
          </w:p>
        </w:tc>
        <w:tc>
          <w:tcPr>
            <w:tcW w:w="2970" w:type="dxa"/>
            <w:vAlign w:val="center"/>
          </w:tcPr>
          <w:p w:rsidR="007564B2" w:rsidRPr="00F366BE" w:rsidRDefault="007564B2" w:rsidP="007564B2">
            <w:pPr>
              <w:pStyle w:val="TableText"/>
              <w:rPr>
                <w:highlight w:val="lightGray"/>
              </w:rPr>
            </w:pPr>
            <w:r w:rsidRPr="00F366BE">
              <w:t>2001:DB8:ACAD:00C8::0/64</w:t>
            </w:r>
          </w:p>
        </w:tc>
      </w:tr>
      <w:tr w:rsidR="007564B2" w:rsidRPr="00F366BE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F366BE" w:rsidRDefault="007564B2" w:rsidP="007564B2">
            <w:pPr>
              <w:pStyle w:val="TableText"/>
            </w:pPr>
            <w:r w:rsidRPr="00F366BE">
              <w:t>R1 G0/1 LAN</w:t>
            </w:r>
          </w:p>
        </w:tc>
        <w:tc>
          <w:tcPr>
            <w:tcW w:w="2970" w:type="dxa"/>
            <w:vAlign w:val="center"/>
          </w:tcPr>
          <w:p w:rsidR="007564B2" w:rsidRPr="00F366BE" w:rsidRDefault="007564B2" w:rsidP="00573122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F366BE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F366BE" w:rsidRDefault="007564B2" w:rsidP="007564B2">
            <w:pPr>
              <w:pStyle w:val="TableText"/>
            </w:pPr>
            <w:r w:rsidRPr="00F366BE">
              <w:t>R2 G0/0 LAN</w:t>
            </w:r>
          </w:p>
        </w:tc>
        <w:tc>
          <w:tcPr>
            <w:tcW w:w="2970" w:type="dxa"/>
            <w:vAlign w:val="center"/>
          </w:tcPr>
          <w:p w:rsidR="007564B2" w:rsidRPr="00F366BE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F366BE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F366BE" w:rsidRDefault="007564B2" w:rsidP="007564B2">
            <w:pPr>
              <w:pStyle w:val="TableText"/>
            </w:pPr>
            <w:r w:rsidRPr="00F366BE">
              <w:t>R2 G0/1 LAN</w:t>
            </w:r>
          </w:p>
        </w:tc>
        <w:tc>
          <w:tcPr>
            <w:tcW w:w="2970" w:type="dxa"/>
            <w:vAlign w:val="center"/>
          </w:tcPr>
          <w:p w:rsidR="007564B2" w:rsidRPr="00F366BE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F366BE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F366BE" w:rsidRDefault="007564B2" w:rsidP="007564B2">
            <w:pPr>
              <w:pStyle w:val="TableText"/>
            </w:pPr>
            <w:r w:rsidRPr="00F366BE">
              <w:t>WAN-Verbindung</w:t>
            </w:r>
          </w:p>
        </w:tc>
        <w:tc>
          <w:tcPr>
            <w:tcW w:w="2970" w:type="dxa"/>
            <w:vAlign w:val="center"/>
          </w:tcPr>
          <w:p w:rsidR="007564B2" w:rsidRPr="00F366BE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</w:tbl>
    <w:p w:rsidR="007564B2" w:rsidRPr="00F366BE" w:rsidRDefault="00C70F3E" w:rsidP="007564B2">
      <w:pPr>
        <w:pStyle w:val="StepHead"/>
      </w:pPr>
      <w:r w:rsidRPr="00F366BE">
        <w:t>Zuweisen von IPv6-Adressen zu den Routern</w:t>
      </w:r>
    </w:p>
    <w:p w:rsidR="007564B2" w:rsidRPr="00F366BE" w:rsidRDefault="00C70F3E" w:rsidP="00C70F3E">
      <w:pPr>
        <w:pStyle w:val="SubStepAlpha"/>
      </w:pPr>
      <w:r w:rsidRPr="00F366BE">
        <w:t>Weisen Sie die ersten IPv6-Adressen R1 für die beiden LAN-Verbindungen und die WAN-Verbindung zu.</w:t>
      </w:r>
    </w:p>
    <w:p w:rsidR="00C70F3E" w:rsidRPr="00F366BE" w:rsidRDefault="00C70F3E" w:rsidP="00C70F3E">
      <w:pPr>
        <w:pStyle w:val="SubStepAlpha"/>
      </w:pPr>
      <w:r w:rsidRPr="00F366BE">
        <w:t>Weisen Sie die ersten IPv6-Adressen R2 für die beiden LANs zu. Weisen Sie die nächste IPv6-Adresse der WAN-Verbindung zu.</w:t>
      </w:r>
    </w:p>
    <w:p w:rsidR="00C70F3E" w:rsidRPr="00F366BE" w:rsidRDefault="00C70F3E" w:rsidP="00C70F3E">
      <w:pPr>
        <w:pStyle w:val="SubStepAlpha"/>
      </w:pPr>
      <w:r w:rsidRPr="00F366BE">
        <w:t xml:space="preserve">Dokumentieren Sie das IPv6-Adressierungsschema in der </w:t>
      </w:r>
      <w:r w:rsidRPr="00F366BE">
        <w:rPr>
          <w:b/>
        </w:rPr>
        <w:t>Adressierungstabelle</w:t>
      </w:r>
      <w:r w:rsidRPr="00F366BE">
        <w:t>.</w:t>
      </w:r>
    </w:p>
    <w:p w:rsidR="00A60146" w:rsidRPr="00F366BE" w:rsidRDefault="00F64F61" w:rsidP="00A60146">
      <w:pPr>
        <w:pStyle w:val="PartHead"/>
      </w:pPr>
      <w:r w:rsidRPr="00F366BE">
        <w:t>Konfigurieren von IPv6-Adressen auf Routern und PCs und Überprüfen der Netzwerkverbindungen</w:t>
      </w:r>
    </w:p>
    <w:p w:rsidR="00C70F3E" w:rsidRPr="00F366BE" w:rsidRDefault="00C70F3E" w:rsidP="005D1451">
      <w:pPr>
        <w:pStyle w:val="StepHead"/>
      </w:pPr>
      <w:r w:rsidRPr="00F366BE">
        <w:t>Konfigurieren von IPv6-Adressen auf den Routern</w:t>
      </w:r>
    </w:p>
    <w:p w:rsidR="00C70F3E" w:rsidRPr="00F366BE" w:rsidRDefault="00C70F3E" w:rsidP="00C70F3E">
      <w:pPr>
        <w:pStyle w:val="BodyTextL25"/>
      </w:pPr>
      <w:r w:rsidRPr="00F366BE">
        <w:rPr>
          <w:b/>
        </w:rPr>
        <w:t>Hinweis</w:t>
      </w:r>
      <w:r w:rsidRPr="00F366BE">
        <w:t>: Dieses Netzwerk wurde bereits mit einer Reihe von IPv6-Befehlen konfiguriert, die in einem späteren Kurs behandelt werden. Zum gegenwärtigen Zeitpunkt müssen Sie lediglich wissen, wie IPv6-Adressen auf einer Schnittstelle konfiguriert werden.</w:t>
      </w:r>
    </w:p>
    <w:p w:rsidR="006739D5" w:rsidRPr="00F366BE" w:rsidRDefault="006739D5" w:rsidP="004A44CD">
      <w:pPr>
        <w:pStyle w:val="BodyTextL25"/>
      </w:pPr>
      <w:r w:rsidRPr="00F366BE">
        <w:t xml:space="preserve">Konfigurieren Sie die in der </w:t>
      </w:r>
      <w:r w:rsidRPr="00F366BE">
        <w:rPr>
          <w:b/>
        </w:rPr>
        <w:t>Adressierungstabelle</w:t>
      </w:r>
      <w:r w:rsidRPr="00F366BE">
        <w:t xml:space="preserve"> angegebenen IPv6-Adressen auf R1 und R2 und aktivieren Sie die Schnittstellen.</w:t>
      </w:r>
    </w:p>
    <w:p w:rsidR="006739D5" w:rsidRPr="00F366BE" w:rsidRDefault="006739D5" w:rsidP="006739D5">
      <w:pPr>
        <w:pStyle w:val="CMD"/>
        <w:rPr>
          <w:i/>
          <w:lang w:val="en-US"/>
        </w:rPr>
      </w:pPr>
      <w:proofErr w:type="gramStart"/>
      <w:r w:rsidRPr="00F366BE">
        <w:rPr>
          <w:lang w:val="en-US"/>
        </w:rPr>
        <w:t>Router(</w:t>
      </w:r>
      <w:proofErr w:type="spellStart"/>
      <w:proofErr w:type="gramEnd"/>
      <w:r w:rsidRPr="00F366BE">
        <w:rPr>
          <w:lang w:val="en-US"/>
        </w:rPr>
        <w:t>config</w:t>
      </w:r>
      <w:proofErr w:type="spellEnd"/>
      <w:r w:rsidRPr="00F366BE">
        <w:rPr>
          <w:lang w:val="en-US"/>
        </w:rPr>
        <w:t xml:space="preserve">-if)# </w:t>
      </w:r>
      <w:r w:rsidRPr="00F366BE">
        <w:rPr>
          <w:b/>
          <w:lang w:val="en-US"/>
        </w:rPr>
        <w:t xml:space="preserve">ipv6 address </w:t>
      </w:r>
      <w:r w:rsidRPr="00F366BE">
        <w:rPr>
          <w:i/>
          <w:lang w:val="en-US"/>
        </w:rPr>
        <w:t>ipv6-address/prefix</w:t>
      </w:r>
    </w:p>
    <w:p w:rsidR="00DC1827" w:rsidRPr="00F366BE" w:rsidRDefault="00DC1827" w:rsidP="006739D5">
      <w:pPr>
        <w:pStyle w:val="CMD"/>
        <w:rPr>
          <w:b/>
          <w:lang w:val="en-US"/>
        </w:rPr>
      </w:pPr>
      <w:proofErr w:type="gramStart"/>
      <w:r w:rsidRPr="00F366BE">
        <w:rPr>
          <w:lang w:val="en-US"/>
        </w:rPr>
        <w:t>Router(</w:t>
      </w:r>
      <w:proofErr w:type="spellStart"/>
      <w:proofErr w:type="gramEnd"/>
      <w:r w:rsidRPr="00F366BE">
        <w:rPr>
          <w:lang w:val="en-US"/>
        </w:rPr>
        <w:t>config</w:t>
      </w:r>
      <w:proofErr w:type="spellEnd"/>
      <w:r w:rsidRPr="00F366BE">
        <w:rPr>
          <w:lang w:val="en-US"/>
        </w:rPr>
        <w:t xml:space="preserve">-if)# </w:t>
      </w:r>
      <w:r w:rsidRPr="00F366BE">
        <w:rPr>
          <w:b/>
          <w:lang w:val="en-US"/>
        </w:rPr>
        <w:t xml:space="preserve">ipv6 address </w:t>
      </w:r>
      <w:r w:rsidRPr="00F366BE">
        <w:rPr>
          <w:i/>
          <w:lang w:val="en-US"/>
        </w:rPr>
        <w:t xml:space="preserve">ipv6-link-local </w:t>
      </w:r>
      <w:r w:rsidRPr="00F366BE">
        <w:rPr>
          <w:b/>
          <w:lang w:val="en-US"/>
        </w:rPr>
        <w:t>link-local</w:t>
      </w:r>
    </w:p>
    <w:p w:rsidR="006739D5" w:rsidRPr="00F366BE" w:rsidRDefault="006739D5" w:rsidP="006739D5">
      <w:pPr>
        <w:pStyle w:val="StepHead"/>
      </w:pPr>
      <w:r w:rsidRPr="00F366BE">
        <w:lastRenderedPageBreak/>
        <w:t>Konfigurieren der PCs für den automatischen Empfang von IPv6-Adressen</w:t>
      </w:r>
    </w:p>
    <w:p w:rsidR="00C70F3E" w:rsidRPr="00F366BE" w:rsidRDefault="006739D5" w:rsidP="006739D5">
      <w:pPr>
        <w:pStyle w:val="BodyTextL25"/>
      </w:pPr>
      <w:r w:rsidRPr="00F366BE">
        <w:t>Konfigurieren Sie die Autokonfiguration auf den vier PCs. Jeder PC sollte dann automatisch vollständige IPv6-Adressen von den Routern erhalten.</w:t>
      </w:r>
    </w:p>
    <w:p w:rsidR="006739D5" w:rsidRPr="00F366BE" w:rsidRDefault="006739D5" w:rsidP="006739D5">
      <w:pPr>
        <w:pStyle w:val="StepHead"/>
      </w:pPr>
      <w:r w:rsidRPr="00F366BE">
        <w:t>Überprüfen der Netzwerkverbindungen zwischen PCs</w:t>
      </w:r>
    </w:p>
    <w:p w:rsidR="006739D5" w:rsidRPr="00F366BE" w:rsidRDefault="006739D5" w:rsidP="006739D5">
      <w:pPr>
        <w:pStyle w:val="BodyTextL25"/>
      </w:pPr>
      <w:r w:rsidRPr="00F366BE">
        <w:t xml:space="preserve">Jeder PC sollte ein Ping an die anderen PCs und die Router senden können. </w:t>
      </w:r>
    </w:p>
    <w:p w:rsidR="006739D5" w:rsidRPr="00F366BE" w:rsidRDefault="006739D5" w:rsidP="006739D5">
      <w:pPr>
        <w:pStyle w:val="LabSection"/>
      </w:pPr>
      <w:r w:rsidRPr="00F366BE">
        <w:t xml:space="preserve">Empfohlene Punktevergabe </w:t>
      </w:r>
    </w:p>
    <w:tbl>
      <w:tblPr>
        <w:tblW w:w="85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62"/>
        <w:gridCol w:w="2098"/>
        <w:gridCol w:w="1887"/>
        <w:gridCol w:w="2126"/>
      </w:tblGrid>
      <w:tr w:rsidR="006739D5" w:rsidRPr="00F366BE" w:rsidTr="00F366BE">
        <w:trPr>
          <w:cantSplit/>
          <w:jc w:val="center"/>
        </w:trPr>
        <w:tc>
          <w:tcPr>
            <w:tcW w:w="2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F366BE" w:rsidRDefault="006739D5" w:rsidP="00573122">
            <w:pPr>
              <w:pStyle w:val="TableHeading"/>
            </w:pPr>
            <w:r w:rsidRPr="00F366BE">
              <w:t>Aktivitätsabschnitt</w:t>
            </w:r>
          </w:p>
        </w:tc>
        <w:tc>
          <w:tcPr>
            <w:tcW w:w="2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F366BE" w:rsidRDefault="006739D5" w:rsidP="00573122">
            <w:pPr>
              <w:pStyle w:val="TableHeading"/>
            </w:pPr>
            <w:r w:rsidRPr="00F366BE">
              <w:t>Frage</w:t>
            </w:r>
          </w:p>
        </w:tc>
        <w:tc>
          <w:tcPr>
            <w:tcW w:w="1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F366BE" w:rsidRDefault="006739D5" w:rsidP="00573122">
            <w:pPr>
              <w:pStyle w:val="TableHeading"/>
            </w:pPr>
            <w:r w:rsidRPr="00F366BE">
              <w:t>Mögliche Punkte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F366BE" w:rsidRDefault="006739D5" w:rsidP="00573122">
            <w:pPr>
              <w:pStyle w:val="TableHeading"/>
            </w:pPr>
            <w:r w:rsidRPr="00F366BE">
              <w:t>Erhaltene Punkte</w:t>
            </w:r>
          </w:p>
        </w:tc>
      </w:tr>
      <w:tr w:rsidR="006739D5" w:rsidRPr="00F366BE" w:rsidTr="00F366BE">
        <w:trPr>
          <w:cantSplit/>
          <w:jc w:val="center"/>
        </w:trPr>
        <w:tc>
          <w:tcPr>
            <w:tcW w:w="2462" w:type="dxa"/>
            <w:vMerge w:val="restart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</w:pPr>
            <w:r w:rsidRPr="00F366BE">
              <w:t xml:space="preserve">Teil 1: Festlegen von IPv6-Subnetzen und des -Adressierungsschemas 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</w:pPr>
            <w:r w:rsidRPr="00F366BE">
              <w:t>Subnetztabelle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</w:pPr>
            <w:r w:rsidRPr="00F366BE">
              <w:t>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</w:pPr>
          </w:p>
        </w:tc>
      </w:tr>
      <w:tr w:rsidR="006739D5" w:rsidRPr="00F366BE" w:rsidTr="00F366BE">
        <w:trPr>
          <w:cantSplit/>
          <w:jc w:val="center"/>
        </w:trPr>
        <w:tc>
          <w:tcPr>
            <w:tcW w:w="2462" w:type="dxa"/>
            <w:vMerge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</w:pPr>
            <w:r w:rsidRPr="00F366BE">
              <w:t>Adressierungstabelle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</w:pPr>
            <w:r w:rsidRPr="00F366BE">
              <w:t>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</w:pPr>
          </w:p>
        </w:tc>
      </w:tr>
      <w:tr w:rsidR="006739D5" w:rsidRPr="00F366BE" w:rsidTr="00F366BE">
        <w:trPr>
          <w:cantSplit/>
          <w:jc w:val="center"/>
        </w:trPr>
        <w:tc>
          <w:tcPr>
            <w:tcW w:w="4560" w:type="dxa"/>
            <w:gridSpan w:val="2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right"/>
              <w:rPr>
                <w:b/>
              </w:rPr>
            </w:pPr>
            <w:r w:rsidRPr="00F366BE">
              <w:rPr>
                <w:b/>
              </w:rPr>
              <w:t>Teil 1 gesamt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  <w:rPr>
                <w:b/>
              </w:rPr>
            </w:pPr>
            <w:r w:rsidRPr="00F366BE">
              <w:rPr>
                <w:b/>
              </w:rPr>
              <w:t>60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F366BE" w:rsidTr="00F366BE">
        <w:trPr>
          <w:cantSplit/>
          <w:jc w:val="center"/>
        </w:trPr>
        <w:tc>
          <w:tcPr>
            <w:tcW w:w="4560" w:type="dxa"/>
            <w:gridSpan w:val="2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jc w:val="right"/>
              <w:rPr>
                <w:b/>
              </w:rPr>
            </w:pPr>
            <w:r w:rsidRPr="00F366BE">
              <w:rPr>
                <w:b/>
              </w:rPr>
              <w:t>Packet Tracer-Punktzahl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6739D5" w:rsidRPr="00F366BE" w:rsidRDefault="00FA7B27" w:rsidP="00FA7B27">
            <w:pPr>
              <w:pStyle w:val="TableText"/>
              <w:jc w:val="center"/>
              <w:rPr>
                <w:b/>
              </w:rPr>
            </w:pPr>
            <w:r w:rsidRPr="00F366BE">
              <w:rPr>
                <w:b/>
              </w:rPr>
              <w:t>40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F366BE" w:rsidTr="00F366BE">
        <w:trPr>
          <w:cantSplit/>
          <w:jc w:val="center"/>
        </w:trPr>
        <w:tc>
          <w:tcPr>
            <w:tcW w:w="4560" w:type="dxa"/>
            <w:gridSpan w:val="2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jc w:val="right"/>
              <w:rPr>
                <w:b/>
              </w:rPr>
            </w:pPr>
            <w:r w:rsidRPr="00F366BE">
              <w:rPr>
                <w:b/>
              </w:rPr>
              <w:t>Gesamtwertung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jc w:val="center"/>
              <w:rPr>
                <w:b/>
              </w:rPr>
            </w:pPr>
            <w:r w:rsidRPr="00F366BE">
              <w:rPr>
                <w:b/>
              </w:rPr>
              <w:t>100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39D5" w:rsidRPr="00F366BE" w:rsidRDefault="006739D5" w:rsidP="00FA7B27">
            <w:pPr>
              <w:pStyle w:val="TableText"/>
              <w:rPr>
                <w:b/>
              </w:rPr>
            </w:pPr>
          </w:p>
        </w:tc>
      </w:tr>
    </w:tbl>
    <w:p w:rsidR="0059000B" w:rsidRPr="00F366BE" w:rsidRDefault="0059000B">
      <w:pPr>
        <w:pStyle w:val="BodyTextL25"/>
      </w:pPr>
    </w:p>
    <w:p w:rsidR="006739D5" w:rsidRPr="00F366BE" w:rsidRDefault="006739D5" w:rsidP="006739D5">
      <w:pPr>
        <w:pStyle w:val="BodyTextL25"/>
      </w:pPr>
    </w:p>
    <w:sectPr w:rsidR="006739D5" w:rsidRPr="00F366B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B1D" w:rsidRDefault="001D2B1D" w:rsidP="0090659A">
      <w:pPr>
        <w:spacing w:after="0" w:line="240" w:lineRule="auto"/>
      </w:pPr>
      <w:r>
        <w:separator/>
      </w:r>
    </w:p>
    <w:p w:rsidR="001D2B1D" w:rsidRDefault="001D2B1D"/>
    <w:p w:rsidR="001D2B1D" w:rsidRDefault="001D2B1D"/>
    <w:p w:rsidR="001D2B1D" w:rsidRDefault="001D2B1D"/>
    <w:p w:rsidR="001D2B1D" w:rsidRDefault="001D2B1D"/>
  </w:endnote>
  <w:endnote w:type="continuationSeparator" w:id="0">
    <w:p w:rsidR="001D2B1D" w:rsidRDefault="001D2B1D" w:rsidP="0090659A">
      <w:pPr>
        <w:spacing w:after="0" w:line="240" w:lineRule="auto"/>
      </w:pPr>
      <w:r>
        <w:continuationSeparator/>
      </w:r>
    </w:p>
    <w:p w:rsidR="001D2B1D" w:rsidRDefault="001D2B1D"/>
    <w:p w:rsidR="001D2B1D" w:rsidRDefault="001D2B1D"/>
    <w:p w:rsidR="001D2B1D" w:rsidRDefault="001D2B1D"/>
    <w:p w:rsidR="001D2B1D" w:rsidRDefault="001D2B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A5141">
      <w:fldChar w:fldCharType="begin"/>
    </w:r>
    <w:r w:rsidR="00980EA5">
      <w:instrText xml:space="preserve"> DATE  \@ "yyyy"  \* MERGEFORMAT </w:instrText>
    </w:r>
    <w:r w:rsidR="002A5141">
      <w:fldChar w:fldCharType="separate"/>
    </w:r>
    <w:r w:rsidR="004A44CD">
      <w:rPr>
        <w:noProof/>
      </w:rPr>
      <w:t>2016</w:t>
    </w:r>
    <w:r w:rsidR="002A5141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2A51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A5141" w:rsidRPr="0090659A">
      <w:rPr>
        <w:b/>
        <w:szCs w:val="16"/>
      </w:rPr>
      <w:fldChar w:fldCharType="separate"/>
    </w:r>
    <w:r w:rsidR="004A44CD">
      <w:rPr>
        <w:b/>
        <w:noProof/>
        <w:szCs w:val="16"/>
      </w:rPr>
      <w:t>2</w:t>
    </w:r>
    <w:r w:rsidR="002A5141" w:rsidRPr="0090659A">
      <w:rPr>
        <w:b/>
        <w:szCs w:val="16"/>
      </w:rPr>
      <w:fldChar w:fldCharType="end"/>
    </w:r>
    <w:r>
      <w:t xml:space="preserve"> von </w:t>
    </w:r>
    <w:r w:rsidR="002A51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A5141" w:rsidRPr="0090659A">
      <w:rPr>
        <w:b/>
        <w:szCs w:val="16"/>
      </w:rPr>
      <w:fldChar w:fldCharType="separate"/>
    </w:r>
    <w:r w:rsidR="004A44CD">
      <w:rPr>
        <w:b/>
        <w:noProof/>
        <w:szCs w:val="16"/>
      </w:rPr>
      <w:t>3</w:t>
    </w:r>
    <w:r w:rsidR="002A514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A5141">
      <w:fldChar w:fldCharType="begin"/>
    </w:r>
    <w:r w:rsidR="00980EA5">
      <w:instrText xml:space="preserve"> DATE  \@ "yyyy"  \* MERGEFORMAT </w:instrText>
    </w:r>
    <w:r w:rsidR="002A5141">
      <w:fldChar w:fldCharType="separate"/>
    </w:r>
    <w:r w:rsidR="004A44CD">
      <w:rPr>
        <w:noProof/>
      </w:rPr>
      <w:t>2016</w:t>
    </w:r>
    <w:r w:rsidR="002A5141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2A51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A5141" w:rsidRPr="0090659A">
      <w:rPr>
        <w:b/>
        <w:szCs w:val="16"/>
      </w:rPr>
      <w:fldChar w:fldCharType="separate"/>
    </w:r>
    <w:r w:rsidR="004A44CD">
      <w:rPr>
        <w:b/>
        <w:noProof/>
        <w:szCs w:val="16"/>
      </w:rPr>
      <w:t>1</w:t>
    </w:r>
    <w:r w:rsidR="002A5141" w:rsidRPr="0090659A">
      <w:rPr>
        <w:b/>
        <w:szCs w:val="16"/>
      </w:rPr>
      <w:fldChar w:fldCharType="end"/>
    </w:r>
    <w:r>
      <w:t xml:space="preserve"> von </w:t>
    </w:r>
    <w:r w:rsidR="002A51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A5141" w:rsidRPr="0090659A">
      <w:rPr>
        <w:b/>
        <w:szCs w:val="16"/>
      </w:rPr>
      <w:fldChar w:fldCharType="separate"/>
    </w:r>
    <w:r w:rsidR="004A44CD">
      <w:rPr>
        <w:b/>
        <w:noProof/>
        <w:szCs w:val="16"/>
      </w:rPr>
      <w:t>3</w:t>
    </w:r>
    <w:r w:rsidR="002A514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B1D" w:rsidRDefault="001D2B1D" w:rsidP="0090659A">
      <w:pPr>
        <w:spacing w:after="0" w:line="240" w:lineRule="auto"/>
      </w:pPr>
      <w:r>
        <w:separator/>
      </w:r>
    </w:p>
    <w:p w:rsidR="001D2B1D" w:rsidRDefault="001D2B1D"/>
    <w:p w:rsidR="001D2B1D" w:rsidRDefault="001D2B1D"/>
    <w:p w:rsidR="001D2B1D" w:rsidRDefault="001D2B1D"/>
    <w:p w:rsidR="001D2B1D" w:rsidRDefault="001D2B1D"/>
  </w:footnote>
  <w:footnote w:type="continuationSeparator" w:id="0">
    <w:p w:rsidR="001D2B1D" w:rsidRDefault="001D2B1D" w:rsidP="0090659A">
      <w:pPr>
        <w:spacing w:after="0" w:line="240" w:lineRule="auto"/>
      </w:pPr>
      <w:r>
        <w:continuationSeparator/>
      </w:r>
    </w:p>
    <w:p w:rsidR="001D2B1D" w:rsidRDefault="001D2B1D"/>
    <w:p w:rsidR="001D2B1D" w:rsidRDefault="001D2B1D"/>
    <w:p w:rsidR="001D2B1D" w:rsidRDefault="001D2B1D"/>
    <w:p w:rsidR="001D2B1D" w:rsidRDefault="001D2B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64F61" w:rsidP="00C52BA6">
    <w:pPr>
      <w:pStyle w:val="PageHead"/>
    </w:pPr>
    <w:r>
      <w:t>Packet Tracer – Implementieren eines in Subnetze unterteilten IPv6-Adressierungsschemas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E552B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CAA7FA3"/>
    <w:multiLevelType w:val="multilevel"/>
    <w:tmpl w:val="D3EED488"/>
    <w:lvl w:ilvl="0">
      <w:start w:val="1"/>
      <w:numFmt w:val="decimal"/>
      <w:pStyle w:val="PartHead"/>
      <w:lvlText w:val="Teil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chritt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9B4"/>
    <w:rsid w:val="00041AF6"/>
    <w:rsid w:val="00044E62"/>
    <w:rsid w:val="00050BA4"/>
    <w:rsid w:val="00051738"/>
    <w:rsid w:val="00052548"/>
    <w:rsid w:val="00060696"/>
    <w:rsid w:val="000769CF"/>
    <w:rsid w:val="000815D8"/>
    <w:rsid w:val="00084A40"/>
    <w:rsid w:val="00085CC6"/>
    <w:rsid w:val="00090C07"/>
    <w:rsid w:val="00091E8D"/>
    <w:rsid w:val="0009378D"/>
    <w:rsid w:val="00097163"/>
    <w:rsid w:val="000A12D0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37F"/>
    <w:rsid w:val="001545B3"/>
    <w:rsid w:val="00154E3A"/>
    <w:rsid w:val="00163164"/>
    <w:rsid w:val="001710C0"/>
    <w:rsid w:val="00172AFB"/>
    <w:rsid w:val="00174AEC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4C2"/>
    <w:rsid w:val="001C7C3B"/>
    <w:rsid w:val="001D2B1D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113B8"/>
    <w:rsid w:val="00215665"/>
    <w:rsid w:val="0021792C"/>
    <w:rsid w:val="002240AB"/>
    <w:rsid w:val="00225E37"/>
    <w:rsid w:val="002314F2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A5141"/>
    <w:rsid w:val="002A6C56"/>
    <w:rsid w:val="002C090C"/>
    <w:rsid w:val="002C1243"/>
    <w:rsid w:val="002C1815"/>
    <w:rsid w:val="002C3E3A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3CE"/>
    <w:rsid w:val="00353C52"/>
    <w:rsid w:val="003559CC"/>
    <w:rsid w:val="003569D7"/>
    <w:rsid w:val="003608AC"/>
    <w:rsid w:val="0036465A"/>
    <w:rsid w:val="00375DED"/>
    <w:rsid w:val="00380B73"/>
    <w:rsid w:val="00382BFC"/>
    <w:rsid w:val="00383D70"/>
    <w:rsid w:val="00392C65"/>
    <w:rsid w:val="00392ED5"/>
    <w:rsid w:val="00396392"/>
    <w:rsid w:val="003A19DC"/>
    <w:rsid w:val="003A1B45"/>
    <w:rsid w:val="003B46FC"/>
    <w:rsid w:val="003B5767"/>
    <w:rsid w:val="003B5D1C"/>
    <w:rsid w:val="003B7605"/>
    <w:rsid w:val="003C6BCA"/>
    <w:rsid w:val="003C7902"/>
    <w:rsid w:val="003D0BFF"/>
    <w:rsid w:val="003E5BE5"/>
    <w:rsid w:val="003E6A65"/>
    <w:rsid w:val="003F18D1"/>
    <w:rsid w:val="003F4F0E"/>
    <w:rsid w:val="003F6E06"/>
    <w:rsid w:val="00403C7A"/>
    <w:rsid w:val="004057A6"/>
    <w:rsid w:val="00406554"/>
    <w:rsid w:val="004131B0"/>
    <w:rsid w:val="00416C42"/>
    <w:rsid w:val="00417C0A"/>
    <w:rsid w:val="00421FF6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4CD"/>
    <w:rsid w:val="004A5BC5"/>
    <w:rsid w:val="004B023D"/>
    <w:rsid w:val="004B1253"/>
    <w:rsid w:val="004B4F7D"/>
    <w:rsid w:val="004C0909"/>
    <w:rsid w:val="004C3F97"/>
    <w:rsid w:val="004D094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532"/>
    <w:rsid w:val="00536F43"/>
    <w:rsid w:val="0055077A"/>
    <w:rsid w:val="005510BA"/>
    <w:rsid w:val="00554B4E"/>
    <w:rsid w:val="00556C02"/>
    <w:rsid w:val="00563249"/>
    <w:rsid w:val="00566ECB"/>
    <w:rsid w:val="00570A65"/>
    <w:rsid w:val="00573122"/>
    <w:rsid w:val="005762B1"/>
    <w:rsid w:val="00580456"/>
    <w:rsid w:val="00580E73"/>
    <w:rsid w:val="0059000B"/>
    <w:rsid w:val="00593386"/>
    <w:rsid w:val="00596998"/>
    <w:rsid w:val="005A6E62"/>
    <w:rsid w:val="005D145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53C4"/>
    <w:rsid w:val="006131CE"/>
    <w:rsid w:val="00617D6E"/>
    <w:rsid w:val="00622D61"/>
    <w:rsid w:val="00624198"/>
    <w:rsid w:val="006428E5"/>
    <w:rsid w:val="00644958"/>
    <w:rsid w:val="00672919"/>
    <w:rsid w:val="006739D5"/>
    <w:rsid w:val="00686587"/>
    <w:rsid w:val="006904CF"/>
    <w:rsid w:val="00695EE2"/>
    <w:rsid w:val="0069660B"/>
    <w:rsid w:val="00697ED7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4B2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503"/>
    <w:rsid w:val="007C0EE0"/>
    <w:rsid w:val="007C1B71"/>
    <w:rsid w:val="007C2FBB"/>
    <w:rsid w:val="007C7164"/>
    <w:rsid w:val="007D1984"/>
    <w:rsid w:val="007D2AFE"/>
    <w:rsid w:val="007E3FEA"/>
    <w:rsid w:val="007F0A0B"/>
    <w:rsid w:val="007F2F57"/>
    <w:rsid w:val="007F3A60"/>
    <w:rsid w:val="007F3D0B"/>
    <w:rsid w:val="007F7C94"/>
    <w:rsid w:val="00810E4B"/>
    <w:rsid w:val="00814BAA"/>
    <w:rsid w:val="00824295"/>
    <w:rsid w:val="008313F3"/>
    <w:rsid w:val="00833F86"/>
    <w:rsid w:val="008405BB"/>
    <w:rsid w:val="00845FD8"/>
    <w:rsid w:val="00846494"/>
    <w:rsid w:val="00847B20"/>
    <w:rsid w:val="008509D3"/>
    <w:rsid w:val="00853418"/>
    <w:rsid w:val="00854CF7"/>
    <w:rsid w:val="00857CF6"/>
    <w:rsid w:val="008610ED"/>
    <w:rsid w:val="00861C6A"/>
    <w:rsid w:val="00865199"/>
    <w:rsid w:val="00867EAF"/>
    <w:rsid w:val="00873C6B"/>
    <w:rsid w:val="0088426A"/>
    <w:rsid w:val="00886E18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C7B"/>
    <w:rsid w:val="00915986"/>
    <w:rsid w:val="00917624"/>
    <w:rsid w:val="00925690"/>
    <w:rsid w:val="00930386"/>
    <w:rsid w:val="009309F5"/>
    <w:rsid w:val="00933237"/>
    <w:rsid w:val="00933F28"/>
    <w:rsid w:val="009476C0"/>
    <w:rsid w:val="00963E34"/>
    <w:rsid w:val="00964DFA"/>
    <w:rsid w:val="00980EA5"/>
    <w:rsid w:val="0098155C"/>
    <w:rsid w:val="00983B77"/>
    <w:rsid w:val="00996053"/>
    <w:rsid w:val="009A0B2F"/>
    <w:rsid w:val="009A1CF4"/>
    <w:rsid w:val="009A37D7"/>
    <w:rsid w:val="009A4E17"/>
    <w:rsid w:val="009A6955"/>
    <w:rsid w:val="009B0D8C"/>
    <w:rsid w:val="009B341C"/>
    <w:rsid w:val="009B5747"/>
    <w:rsid w:val="009C4C50"/>
    <w:rsid w:val="009D2C27"/>
    <w:rsid w:val="009E2309"/>
    <w:rsid w:val="009E42B9"/>
    <w:rsid w:val="00A014A3"/>
    <w:rsid w:val="00A0412D"/>
    <w:rsid w:val="00A21211"/>
    <w:rsid w:val="00A335BB"/>
    <w:rsid w:val="00A34E7F"/>
    <w:rsid w:val="00A46F0A"/>
    <w:rsid w:val="00A46F25"/>
    <w:rsid w:val="00A47CC2"/>
    <w:rsid w:val="00A5017F"/>
    <w:rsid w:val="00A60146"/>
    <w:rsid w:val="00A622C4"/>
    <w:rsid w:val="00A754B4"/>
    <w:rsid w:val="00A807C1"/>
    <w:rsid w:val="00A83374"/>
    <w:rsid w:val="00A96172"/>
    <w:rsid w:val="00A96B6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5EA8"/>
    <w:rsid w:val="00B97278"/>
    <w:rsid w:val="00BA1D0B"/>
    <w:rsid w:val="00BA5544"/>
    <w:rsid w:val="00BA6972"/>
    <w:rsid w:val="00BB1E0D"/>
    <w:rsid w:val="00BB4D9B"/>
    <w:rsid w:val="00BB5AD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4"/>
    <w:rsid w:val="00C1712C"/>
    <w:rsid w:val="00C21645"/>
    <w:rsid w:val="00C23E16"/>
    <w:rsid w:val="00C27E37"/>
    <w:rsid w:val="00C32713"/>
    <w:rsid w:val="00C351B8"/>
    <w:rsid w:val="00C410D9"/>
    <w:rsid w:val="00C44DB7"/>
    <w:rsid w:val="00C4510A"/>
    <w:rsid w:val="00C47F2E"/>
    <w:rsid w:val="00C52593"/>
    <w:rsid w:val="00C52BA6"/>
    <w:rsid w:val="00C57A1A"/>
    <w:rsid w:val="00C6258F"/>
    <w:rsid w:val="00C63DF6"/>
    <w:rsid w:val="00C63E58"/>
    <w:rsid w:val="00C6495E"/>
    <w:rsid w:val="00C665A7"/>
    <w:rsid w:val="00C670EE"/>
    <w:rsid w:val="00C67E3B"/>
    <w:rsid w:val="00C70F3E"/>
    <w:rsid w:val="00C90311"/>
    <w:rsid w:val="00C91C26"/>
    <w:rsid w:val="00CA73D5"/>
    <w:rsid w:val="00CC1C87"/>
    <w:rsid w:val="00CC3000"/>
    <w:rsid w:val="00CC3121"/>
    <w:rsid w:val="00CC3695"/>
    <w:rsid w:val="00CC4859"/>
    <w:rsid w:val="00CC7A35"/>
    <w:rsid w:val="00CD072A"/>
    <w:rsid w:val="00CD7F73"/>
    <w:rsid w:val="00CE06EF"/>
    <w:rsid w:val="00CE26C5"/>
    <w:rsid w:val="00CE36AF"/>
    <w:rsid w:val="00CE54DD"/>
    <w:rsid w:val="00CF0DA5"/>
    <w:rsid w:val="00CF5465"/>
    <w:rsid w:val="00CF791A"/>
    <w:rsid w:val="00D00D7D"/>
    <w:rsid w:val="00D139C8"/>
    <w:rsid w:val="00D17F81"/>
    <w:rsid w:val="00D26CF5"/>
    <w:rsid w:val="00D2758C"/>
    <w:rsid w:val="00D275CA"/>
    <w:rsid w:val="00D2789B"/>
    <w:rsid w:val="00D345AB"/>
    <w:rsid w:val="00D353C0"/>
    <w:rsid w:val="00D41566"/>
    <w:rsid w:val="00D41770"/>
    <w:rsid w:val="00D458EC"/>
    <w:rsid w:val="00D501B0"/>
    <w:rsid w:val="00D52582"/>
    <w:rsid w:val="00D56A0E"/>
    <w:rsid w:val="00D57AD3"/>
    <w:rsid w:val="00D635FE"/>
    <w:rsid w:val="00D6428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4BA8"/>
    <w:rsid w:val="00DB5F4D"/>
    <w:rsid w:val="00DB6DA5"/>
    <w:rsid w:val="00DC076B"/>
    <w:rsid w:val="00DC1827"/>
    <w:rsid w:val="00DC186F"/>
    <w:rsid w:val="00DC252F"/>
    <w:rsid w:val="00DC6050"/>
    <w:rsid w:val="00DD62AB"/>
    <w:rsid w:val="00DE52FB"/>
    <w:rsid w:val="00DE6F44"/>
    <w:rsid w:val="00E037D9"/>
    <w:rsid w:val="00E130EB"/>
    <w:rsid w:val="00E13849"/>
    <w:rsid w:val="00E162CD"/>
    <w:rsid w:val="00E16B92"/>
    <w:rsid w:val="00E17FA5"/>
    <w:rsid w:val="00E26930"/>
    <w:rsid w:val="00E27257"/>
    <w:rsid w:val="00E41D27"/>
    <w:rsid w:val="00E43E77"/>
    <w:rsid w:val="00E449D0"/>
    <w:rsid w:val="00E4506A"/>
    <w:rsid w:val="00E457A9"/>
    <w:rsid w:val="00E53F99"/>
    <w:rsid w:val="00E552B6"/>
    <w:rsid w:val="00E5547B"/>
    <w:rsid w:val="00E56510"/>
    <w:rsid w:val="00E618E5"/>
    <w:rsid w:val="00E62EA8"/>
    <w:rsid w:val="00E671CF"/>
    <w:rsid w:val="00E67A6E"/>
    <w:rsid w:val="00E71B43"/>
    <w:rsid w:val="00E72912"/>
    <w:rsid w:val="00E81612"/>
    <w:rsid w:val="00E87D18"/>
    <w:rsid w:val="00E87D62"/>
    <w:rsid w:val="00E92B46"/>
    <w:rsid w:val="00EA0D7E"/>
    <w:rsid w:val="00EA486E"/>
    <w:rsid w:val="00EA4FA3"/>
    <w:rsid w:val="00EB001B"/>
    <w:rsid w:val="00EB6C33"/>
    <w:rsid w:val="00ED6019"/>
    <w:rsid w:val="00ED7830"/>
    <w:rsid w:val="00EE073A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47F5"/>
    <w:rsid w:val="00F34D61"/>
    <w:rsid w:val="00F3591F"/>
    <w:rsid w:val="00F35DD8"/>
    <w:rsid w:val="00F366BE"/>
    <w:rsid w:val="00F4135D"/>
    <w:rsid w:val="00F41F1B"/>
    <w:rsid w:val="00F46BD9"/>
    <w:rsid w:val="00F47F70"/>
    <w:rsid w:val="00F60BE0"/>
    <w:rsid w:val="00F6280E"/>
    <w:rsid w:val="00F64F61"/>
    <w:rsid w:val="00F660D7"/>
    <w:rsid w:val="00F7050A"/>
    <w:rsid w:val="00F75533"/>
    <w:rsid w:val="00FA3811"/>
    <w:rsid w:val="00FA3B9F"/>
    <w:rsid w:val="00FA3F06"/>
    <w:rsid w:val="00FA4A26"/>
    <w:rsid w:val="00FA5499"/>
    <w:rsid w:val="00FA7084"/>
    <w:rsid w:val="00FA7B27"/>
    <w:rsid w:val="00FA7BEF"/>
    <w:rsid w:val="00FB1929"/>
    <w:rsid w:val="00FB5FD9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de-DE" w:eastAsia="de-DE" w:bidi="de-DE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366BE"/>
    <w:pPr>
      <w:keepNext/>
      <w:numPr>
        <w:ilvl w:val="1"/>
        <w:numId w:val="6"/>
      </w:numPr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F366BE"/>
    <w:pPr>
      <w:tabs>
        <w:tab w:val="right" w:pos="10080"/>
      </w:tabs>
      <w:spacing w:after="0" w:line="240" w:lineRule="auto"/>
    </w:pPr>
    <w:rPr>
      <w:sz w:val="15"/>
    </w:rPr>
  </w:style>
  <w:style w:type="character" w:customStyle="1" w:styleId="FooterChar">
    <w:name w:val="Footer Char"/>
    <w:link w:val="Footer"/>
    <w:uiPriority w:val="99"/>
    <w:rsid w:val="00F366BE"/>
    <w:rPr>
      <w:sz w:val="1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CE862-4BAA-4EE3-80AA-0ECE89347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FBFD6-B416-454C-B9DB-9584F52B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358</Words>
  <Characters>2707</Characters>
  <Application>Microsoft Office Word</Application>
  <DocSecurity>0</DocSecurity>
  <Lines>135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yuhang</cp:lastModifiedBy>
  <cp:revision>11</cp:revision>
  <cp:lastPrinted>2015-06-25T05:05:00Z</cp:lastPrinted>
  <dcterms:created xsi:type="dcterms:W3CDTF">2013-11-07T23:36:00Z</dcterms:created>
  <dcterms:modified xsi:type="dcterms:W3CDTF">2016-12-06T01:48:00Z</dcterms:modified>
</cp:coreProperties>
</file>