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Comparaison par sexe (hdv2003)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color w:val="000000"/>
                <w:sz w:val="20"/>
              </w:rPr>
              <w:t>Variable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color w:val="000000"/>
                <w:sz w:val="20"/>
              </w:rPr>
              <w:t>Homme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color w:val="000000"/>
                <w:sz w:val="20"/>
              </w:rPr>
              <w:t>Femme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color w:val="000000"/>
                <w:sz w:val="20"/>
              </w:rPr>
              <w:t>RR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color w:val="000000"/>
                <w:sz w:val="20"/>
              </w:rPr>
              <w:t>p.ratio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color w:val="000000"/>
                <w:sz w:val="20"/>
              </w:rPr>
              <w:t>p.overall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sz w:val="18"/>
              </w:rPr>
              <w:t>N=899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sz w:val="18"/>
              </w:rPr>
              <w:t>N=1101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</w:p>
        </w:tc>
        <w:tc>
          <w:tcPr>
            <w:tcW w:type="dxa" w:w="1440"/>
          </w:tcPr>
          <w:p>
            <w:pPr>
              <w:jc w:val="left"/>
            </w:pPr>
            <w:r/>
          </w:p>
        </w:tc>
        <w:tc>
          <w:tcPr>
            <w:tcW w:type="dxa" w:w="1440"/>
          </w:tcPr>
          <w:p>
            <w:pPr>
              <w:jc w:val="left"/>
            </w:pPr>
            <w:r/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sport: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/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/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/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/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&lt;0.001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530 (41.5%)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747 (58.5%)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Ref.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Ref.</w:t>
            </w:r>
          </w:p>
        </w:tc>
        <w:tc>
          <w:tcPr>
            <w:tcW w:type="dxa" w:w="1440"/>
          </w:tcPr>
          <w:p>
            <w:pPr>
              <w:jc w:val="left"/>
            </w:pPr>
            <w:r/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Oui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369 (51.0%)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354 (49.0%)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0.84 [0.77;0.91]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</w:p>
        </w:tc>
      </w:tr>
    </w:tbl>
    <w:p>
      <w:r>
        <w:rPr>
          <w:i/>
          <w:sz w:val="16"/>
        </w:rPr>
        <w:t>RR = Risque Relatif (Wald), IC95%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