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8C" w:rsidRDefault="00CA2D8C" w:rsidP="00CA2D8C">
      <w:pPr>
        <w:jc w:val="center"/>
      </w:pPr>
      <w:r>
        <w:rPr>
          <w:noProof/>
          <w:lang w:eastAsia="ru-RU"/>
        </w:rPr>
        <w:drawing>
          <wp:inline distT="0" distB="0" distL="0" distR="0" wp14:anchorId="58B3796B" wp14:editId="7845DC6D">
            <wp:extent cx="5095875" cy="2072758"/>
            <wp:effectExtent l="0" t="0" r="0" b="3810"/>
            <wp:docPr id="1" name="Рисунок 1" descr="C:\Users\vanin.2018\AppData\Local\Microsoft\Windows\INetCache\Content.Word\1200px-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nin.2018\AppData\Local\Microsoft\Windows\INetCache\Content.Word\1200px-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59" cy="207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8C" w:rsidRDefault="00CA2D8C" w:rsidP="00CA2D8C">
      <w:pPr>
        <w:jc w:val="center"/>
      </w:pPr>
    </w:p>
    <w:p w:rsidR="00CA2D8C" w:rsidRPr="00CA2D8C" w:rsidRDefault="00CA2D8C" w:rsidP="002D74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D8C">
        <w:rPr>
          <w:rFonts w:ascii="Times New Roman" w:hAnsi="Times New Roman" w:cs="Times New Roman"/>
          <w:b/>
          <w:sz w:val="36"/>
          <w:szCs w:val="36"/>
        </w:rPr>
        <w:t xml:space="preserve">Расчетно-графическая работа </w:t>
      </w:r>
      <w:r>
        <w:rPr>
          <w:rFonts w:ascii="Times New Roman" w:hAnsi="Times New Roman" w:cs="Times New Roman"/>
          <w:b/>
          <w:sz w:val="36"/>
          <w:szCs w:val="36"/>
        </w:rPr>
        <w:t>по теме</w:t>
      </w:r>
      <w:r w:rsidRPr="00CA2D8C">
        <w:rPr>
          <w:rFonts w:ascii="Times New Roman" w:hAnsi="Times New Roman" w:cs="Times New Roman"/>
          <w:b/>
          <w:sz w:val="36"/>
          <w:szCs w:val="36"/>
        </w:rPr>
        <w:t>:</w:t>
      </w:r>
    </w:p>
    <w:p w:rsidR="00CA2D8C" w:rsidRPr="00CA2D8C" w:rsidRDefault="002D54CC" w:rsidP="00CA2D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«</w:t>
      </w:r>
      <w:r w:rsidR="00CA2D8C" w:rsidRPr="00CA2D8C">
        <w:rPr>
          <w:rFonts w:ascii="Times New Roman" w:hAnsi="Times New Roman" w:cs="Times New Roman"/>
          <w:b/>
          <w:sz w:val="28"/>
          <w:szCs w:val="28"/>
        </w:rPr>
        <w:t xml:space="preserve">Системы дистанционного управления </w:t>
      </w:r>
      <w:r w:rsidR="00CA2D8C">
        <w:rPr>
          <w:rFonts w:ascii="Times New Roman" w:hAnsi="Times New Roman" w:cs="Times New Roman"/>
          <w:b/>
          <w:sz w:val="28"/>
          <w:szCs w:val="28"/>
        </w:rPr>
        <w:t>решения фирм</w:t>
      </w:r>
      <w:r w:rsidR="00CA2D8C" w:rsidRPr="00CA2D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7323">
        <w:rPr>
          <w:rFonts w:ascii="Times New Roman" w:hAnsi="Times New Roman" w:cs="Times New Roman"/>
          <w:b/>
          <w:sz w:val="28"/>
          <w:szCs w:val="28"/>
        </w:rPr>
        <w:t>“</w:t>
      </w:r>
      <w:r w:rsidR="00CA2D8C" w:rsidRPr="00CA2D8C">
        <w:rPr>
          <w:rFonts w:ascii="Times New Roman" w:hAnsi="Times New Roman" w:cs="Times New Roman"/>
          <w:b/>
          <w:sz w:val="28"/>
          <w:szCs w:val="28"/>
        </w:rPr>
        <w:t>FUTABA</w:t>
      </w:r>
      <w:r w:rsidRPr="000B7323">
        <w:rPr>
          <w:rFonts w:ascii="Times New Roman" w:hAnsi="Times New Roman" w:cs="Times New Roman"/>
          <w:b/>
          <w:sz w:val="28"/>
          <w:szCs w:val="28"/>
        </w:rPr>
        <w:t>”»</w:t>
      </w:r>
    </w:p>
    <w:p w:rsidR="00CA2D8C" w:rsidRPr="000B7323" w:rsidRDefault="00CA2D8C" w:rsidP="00CA2D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323">
        <w:rPr>
          <w:rFonts w:ascii="Times New Roman" w:hAnsi="Times New Roman" w:cs="Times New Roman"/>
          <w:b/>
          <w:sz w:val="28"/>
          <w:szCs w:val="28"/>
        </w:rPr>
        <w:t>ПО ДИСЦИПЛИНЕ «ИНТЕРФЕЙС “ЧЕЛОВЕК – ЭЛЕКТРОННЫЕ ВЫЧИСЛИТЕЛЬНЫЕ МАШИНЫ”»</w:t>
      </w:r>
    </w:p>
    <w:p w:rsidR="00CA2D8C" w:rsidRPr="000B7323" w:rsidRDefault="00CA2D8C" w:rsidP="00CA2D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2D8C" w:rsidRPr="00931123" w:rsidRDefault="00CA2D8C" w:rsidP="00CA2D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D8C" w:rsidRPr="00931123" w:rsidRDefault="00CA2D8C" w:rsidP="00CA2D8C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>Факультет: АВТ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</w:r>
      <w:r w:rsidRPr="00931123">
        <w:rPr>
          <w:rFonts w:ascii="Times New Roman" w:hAnsi="Times New Roman" w:cs="Times New Roman"/>
          <w:sz w:val="28"/>
          <w:szCs w:val="28"/>
        </w:rPr>
        <w:tab/>
        <w:t>Преподаватель: Токарев В.Г.</w:t>
      </w:r>
    </w:p>
    <w:p w:rsidR="00CA2D8C" w:rsidRPr="00931123" w:rsidRDefault="00CA2D8C" w:rsidP="00CA2D8C">
      <w:pPr>
        <w:rPr>
          <w:rFonts w:ascii="Times New Roman" w:hAnsi="Times New Roman" w:cs="Times New Roman"/>
          <w:sz w:val="28"/>
          <w:szCs w:val="28"/>
        </w:rPr>
      </w:pPr>
      <w:r w:rsidRPr="0093112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АВТ-918</w:t>
      </w:r>
      <w:bookmarkStart w:id="0" w:name="_GoBack"/>
      <w:bookmarkEnd w:id="0"/>
    </w:p>
    <w:p w:rsidR="00CA2D8C" w:rsidRDefault="00CA2D8C" w:rsidP="00CA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9311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Ванин К.Е.</w:t>
      </w:r>
    </w:p>
    <w:p w:rsidR="00CA2D8C" w:rsidRPr="000C5611" w:rsidRDefault="00CA2D8C" w:rsidP="00CA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A2D8C" w:rsidRPr="00931123" w:rsidRDefault="00CA2D8C" w:rsidP="00CA2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B7492" w:rsidRDefault="00BB7492">
      <w:r>
        <w:br w:type="page"/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lastRenderedPageBreak/>
        <w:t xml:space="preserve">Корпорация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стояла у истоков возрождения экономики Японии после Второй мировой войны. Компания принадлежит к числу предприятий, которые в короткий период времени смогли проделать «экономическое чудо», всколыхнувшее весь мир.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Электронно-промышленное акционерное общество «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Футаба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» было основано 3 февраля 1948 года. Штаб-квартира корпорации и по сей день расположена в городе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Мобара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(префектура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Тиба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, Япония). 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Первым продуктом компании были обычные электронные лампы.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 xml:space="preserve">Корпорация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стояла у истоков возрождения экономики Японии после Второй мировой войны. Компания принадлежит к числу предприятий, которые в короткий период времени смогли проделать «экономическое чудо», всколыхнувшее весь мир.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Электронно-промышленное акционерное общество «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Футаба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» было основано 3 февраля 1948 года. Штаб-квартира корпорации и по сей день расположена в городе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Мобара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(префектура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Тиба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, Япония). 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Первым продуктом компании были обычные электронные лампы.</w:t>
      </w:r>
    </w:p>
    <w:p w:rsid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 xml:space="preserve">Помимо оборудования и комплектующих для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хоббийной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RC-техники, корпорация разрабатывает средства промышленной телеметрии и дисплеи на базе OLED (светодиодная продукция) и VFD (вакуумно-люминесцентные индикаторы). 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Штат сотрудников предприятия состоит из более чем 5 тысяч человек, включая американское представительство в Иллинойсе.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>Политика компании направлена на создание аппаратуры по принципу «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Ergo-tech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», то есть особое внимание уделяется простоте использования (функциональности и «понятности» оборудования на интуитивном уровне), а также эргономичности – пульты ДУ бренда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исключительно легкие и приятные на ощупь, что играет важную роль в длительных гонках или развлечениях.</w:t>
      </w:r>
    </w:p>
    <w:p w:rsidR="001D47EB" w:rsidRP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</w:p>
    <w:p w:rsidR="001D47EB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техническую продвинутость аппаратуры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>, среди ее систем радиоуправления можно найти как простые трехканальные пульты дистанционного управления, так и сложные 14-канальные для профессионального использования.</w:t>
      </w:r>
    </w:p>
    <w:p w:rsidR="00460FDA" w:rsidRDefault="001D47EB" w:rsidP="001D47EB">
      <w:pPr>
        <w:rPr>
          <w:rFonts w:ascii="Times New Roman" w:hAnsi="Times New Roman" w:cs="Times New Roman"/>
          <w:sz w:val="28"/>
          <w:szCs w:val="28"/>
        </w:rPr>
      </w:pPr>
      <w:r w:rsidRPr="001D47EB">
        <w:rPr>
          <w:rFonts w:ascii="Times New Roman" w:hAnsi="Times New Roman" w:cs="Times New Roman"/>
          <w:sz w:val="28"/>
          <w:szCs w:val="28"/>
        </w:rPr>
        <w:t xml:space="preserve">Корпорация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– разработчик нескольких уникальных технологий радиоуправления. Например, технология FASST –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Spektrum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EB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1D47EB">
        <w:rPr>
          <w:rFonts w:ascii="Times New Roman" w:hAnsi="Times New Roman" w:cs="Times New Roman"/>
          <w:sz w:val="28"/>
          <w:szCs w:val="28"/>
        </w:rPr>
        <w:t> призвана упростить и улучшить контроль над RC-моделью в процессе управления. Время обработки сигнала сокращено вдвое, вследствие чего пилот не ощущает задержки реакции RC-модели.</w:t>
      </w:r>
    </w:p>
    <w:p w:rsidR="00D82A74" w:rsidRDefault="00D82A74" w:rsidP="001D47EB">
      <w:pPr>
        <w:rPr>
          <w:rFonts w:ascii="Times New Roman" w:hAnsi="Times New Roman" w:cs="Times New Roman"/>
          <w:sz w:val="28"/>
          <w:szCs w:val="28"/>
        </w:rPr>
      </w:pPr>
    </w:p>
    <w:p w:rsidR="00A62B80" w:rsidRPr="00A62B80" w:rsidRDefault="00A62B80" w:rsidP="00A62B80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  <w:lang w:eastAsia="ru-RU"/>
        </w:rPr>
      </w:pPr>
      <w:r w:rsidRPr="00A62B80"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  <w:lang w:eastAsia="ru-RU"/>
        </w:rPr>
        <w:t xml:space="preserve">технологии катодолюминесцентных дисплеев компании </w:t>
      </w:r>
      <w:proofErr w:type="spellStart"/>
      <w:r w:rsidRPr="00A62B80">
        <w:rPr>
          <w:rFonts w:ascii="Times New Roman" w:eastAsia="Times New Roman" w:hAnsi="Times New Roman" w:cs="Times New Roman"/>
          <w:b/>
          <w:color w:val="212529"/>
          <w:kern w:val="36"/>
          <w:sz w:val="36"/>
          <w:szCs w:val="36"/>
          <w:lang w:eastAsia="ru-RU"/>
        </w:rPr>
        <w:t>Futaba</w:t>
      </w:r>
      <w:proofErr w:type="spellEnd"/>
    </w:p>
    <w:p w:rsid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Японская компания FUTABA является ведущим производителем вакуумных катодолюминесцентных дисплеев в мире на протяжении 40 лет. Этот вид дисплеев очень популярен и востребован во многих областях применения благодаря ряду преимуществ. В первую очередь, это высокие яркость и контраст, насыщенность цветов, работа в широком температурном диапазоне и большой ресурс. Базовая технология дисплеев была разработана еще в начале 1980-х гг. Она продолжает развиваться, обеспечивая новые потребительские функции и расширяя области применения.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номенклатуру вакуумных катодолюминесцентных дисплеев (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vacuum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fluorescent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, VFD) фирмы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 входят стандартные сегментные, точечно-матричные и графические дисплеи, а также построенные на их основе модули, в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>. модули, полностью совместимые по конструкции, интерфейсу и системе команд со стандартными алфавитно-цифровыми модулями ЖК-дисплеев. Эти модули позволяют без каких-либо доработок заменить ЖК-индикатор соответствующего типа, обеспечив высокую яркость отображения информации, высокую надежность и возможность работы в широком диапазоне температур. Основные секторы применения VFD-дисплеев — промышленная авт</w:t>
      </w:r>
      <w:r>
        <w:rPr>
          <w:rFonts w:ascii="Times New Roman" w:hAnsi="Times New Roman" w:cs="Times New Roman"/>
          <w:sz w:val="28"/>
          <w:szCs w:val="28"/>
        </w:rPr>
        <w:t xml:space="preserve">оматика, бытовая техника (часы, </w:t>
      </w:r>
      <w:r w:rsidRPr="00A62B80">
        <w:rPr>
          <w:rFonts w:ascii="Times New Roman" w:hAnsi="Times New Roman" w:cs="Times New Roman"/>
          <w:sz w:val="28"/>
          <w:szCs w:val="28"/>
        </w:rPr>
        <w:t xml:space="preserve">калькуляторы, дисплеи панелей управления приборами, электронные весы), мультимедийная аппаратура, автомобильные приборные дисплеи, информационные табло (в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>. с бегущей строкой). Высокая яркость и контраст, а также широкий угол обзора обеспечивают отличную читаемость изображения при высокой внешней освещенности. В этом отношении они значительно превосходят ЖК-дисплеи.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Основными достоинствами вакуумно-люминесцентных дисплеев являются: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lastRenderedPageBreak/>
        <w:t>– высокая яркость (до 1250 кд/м2) и возможность управления яркостью;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– широкий диапазон рабочих температур (–40…85°C);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– большой срок службы, достигающий 30 тыс. ч (снижение на 50% яркости дисплея с яркостью 700 кд/м2);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– высокая устойчивость к вибрации;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– широкий угол обзора (около 150°);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– ТТЛ-уровни интерфейса.</w:t>
      </w:r>
    </w:p>
    <w:p w:rsidR="00A62B80" w:rsidRDefault="00A62B80" w:rsidP="00A62B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 xml:space="preserve">VFD-дисплеи имеют боле высокое потребление по сравнению с ЖК-дисплеями, поэтому не могут использоваться в портативных приборах с батарейным питанием. Поскольку технология изготовления индикаторов сравнительно дорогая, данный вид дисплеев и модули на их основе достаточно дорогостоящие. Однако за последние годы наметилось существенное снижение цены для определенных типов продукции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. К настоящему времени номенклатура VFD, предлагаемая компанией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>, значительно расширилась за счет продукции нового поколения. Для того чтобы оценить технологические новшества, рассмотрим стандартную структуру и технологию вакуумных катодолюминесцентных дисплеев.</w:t>
      </w:r>
    </w:p>
    <w:p w:rsidR="00A62B80" w:rsidRPr="00A62B80" w:rsidRDefault="00A62B80" w:rsidP="00A62B8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A62B80" w:rsidRPr="00A62B80" w:rsidRDefault="00A62B80" w:rsidP="00A62B8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2B80">
        <w:rPr>
          <w:rFonts w:ascii="Times New Roman" w:hAnsi="Times New Roman" w:cs="Times New Roman"/>
          <w:b/>
          <w:color w:val="212529"/>
          <w:sz w:val="36"/>
          <w:szCs w:val="36"/>
          <w:shd w:val="clear" w:color="auto" w:fill="FFFFFF"/>
        </w:rPr>
        <w:t>Структура и технология VFD-дисплеев</w:t>
      </w:r>
    </w:p>
    <w:p w:rsidR="00A62B80" w:rsidRPr="00A62B80" w:rsidRDefault="00A62B80" w:rsidP="00A62B80">
      <w:pPr>
        <w:spacing w:after="0"/>
        <w:jc w:val="center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:rsidR="00A62B80" w:rsidRPr="00A62B80" w:rsidRDefault="00A62B80" w:rsidP="00A62B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2B80" w:rsidRDefault="00A62B80" w:rsidP="00A62B80">
      <w:pPr>
        <w:pStyle w:val="ac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A62B80">
        <w:rPr>
          <w:color w:val="212529"/>
          <w:sz w:val="28"/>
          <w:szCs w:val="28"/>
        </w:rPr>
        <w:t>VFD представляет собой массив вакуумных триодов с тремя электродами: накального электрода, управляющей сетки и анода с нанесенным на него слоем люминофора. Массив индикаторных триодов размещен в конструкции плоского вакуумного баллона. На рисунке 1 показана типовая конструкция VFD-индикатора.</w:t>
      </w:r>
      <w:r w:rsidRPr="00A62B80">
        <w:rPr>
          <w:color w:val="212529"/>
          <w:sz w:val="28"/>
          <w:szCs w:val="28"/>
        </w:rPr>
        <w:br/>
        <w:t xml:space="preserve">В технологии используются стандартные операции фотолитографии, </w:t>
      </w:r>
      <w:proofErr w:type="spellStart"/>
      <w:r w:rsidRPr="00A62B80">
        <w:rPr>
          <w:color w:val="212529"/>
          <w:sz w:val="28"/>
          <w:szCs w:val="28"/>
        </w:rPr>
        <w:t>шелкографии</w:t>
      </w:r>
      <w:proofErr w:type="spellEnd"/>
      <w:r w:rsidRPr="00A62B80">
        <w:rPr>
          <w:color w:val="212529"/>
          <w:sz w:val="28"/>
          <w:szCs w:val="28"/>
        </w:rPr>
        <w:t>, травления и напыления. На заднем стекле индикатора нанесено темное фоновое покрытие для обеспечения лучшего контраста изображения.</w:t>
      </w:r>
    </w:p>
    <w:p w:rsidR="00A62B80" w:rsidRPr="00A62B80" w:rsidRDefault="00A62B80" w:rsidP="00A62B80">
      <w:pPr>
        <w:pStyle w:val="ac"/>
        <w:shd w:val="clear" w:color="auto" w:fill="FFFFFF"/>
        <w:spacing w:before="0" w:beforeAutospacing="0" w:after="0" w:afterAutospacing="0"/>
        <w:jc w:val="center"/>
        <w:rPr>
          <w:color w:val="212529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108960" cy="3200400"/>
            <wp:effectExtent l="0" t="0" r="0" b="0"/>
            <wp:docPr id="2" name="Рисунок 2" descr="C:\Users\vanin.2018\AppData\Local\Microsoft\Windows\INetCache\Content.Word\ek4-2012-ris1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in.2018\AppData\Local\Microsoft\Windows\INetCache\Content.Word\ek4-2012-ris1-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B80" w:rsidRPr="00A62B80" w:rsidRDefault="00A62B80" w:rsidP="00A62B80">
      <w:pPr>
        <w:pStyle w:val="ac"/>
        <w:shd w:val="clear" w:color="auto" w:fill="FFFFFF"/>
        <w:spacing w:before="0" w:beforeAutospacing="0"/>
        <w:jc w:val="center"/>
        <w:rPr>
          <w:color w:val="212529"/>
        </w:rPr>
      </w:pPr>
      <w:r w:rsidRPr="00A62B80">
        <w:rPr>
          <w:color w:val="212529"/>
          <w:shd w:val="clear" w:color="auto" w:fill="FFFFFF"/>
        </w:rPr>
        <w:t>Рис. 1. Стандартная конструкция катодолюминесцентного индикатора</w:t>
      </w:r>
    </w:p>
    <w:p w:rsidR="00BD4F4E" w:rsidRPr="00A62B80" w:rsidRDefault="00BD4F4E" w:rsidP="00A62B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Для управления индикаторами требуются четыре источника напряжения: анодного, питания накала, смещения катода и напряжения управление сеткой.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В зависимости от типа управления анодами различают схемы с прямым управлением и схему с мультиплексированием анодов.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 xml:space="preserve">Для управления анодами и сетками используются микросхемы драйверов, которые могут размещаться на печатных платах или монтироваться в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бескорпусном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исполнении на стеклянной подложке вакуумного баллона по технологии COG (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>) либо CIG (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Glass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). Микросхемы драйверов и драйверов-контроллеров для управления VFD выпускает ряд фирм, в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. японская компания OKI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Semiconductor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>.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Типовые напряжения питания электродов: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 xml:space="preserve">– напряжение накала: 1,7 </w:t>
      </w:r>
      <w:proofErr w:type="gramStart"/>
      <w:r w:rsidRPr="00964E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64E37">
        <w:rPr>
          <w:rFonts w:ascii="Times New Roman" w:hAnsi="Times New Roman" w:cs="Times New Roman"/>
          <w:sz w:val="28"/>
          <w:szCs w:val="28"/>
        </w:rPr>
        <w:t>;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– логика: 5 (3,3 В) (для индикаторов со встроенным кристаллом драйвера по технологии CIG);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 xml:space="preserve">– анодное напряжение: 12 </w:t>
      </w:r>
      <w:proofErr w:type="gramStart"/>
      <w:r w:rsidRPr="00964E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64E37">
        <w:rPr>
          <w:rFonts w:ascii="Times New Roman" w:hAnsi="Times New Roman" w:cs="Times New Roman"/>
          <w:sz w:val="28"/>
          <w:szCs w:val="28"/>
        </w:rPr>
        <w:t>;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– сеточное напряжение: 12 В.</w:t>
      </w:r>
    </w:p>
    <w:p w:rsidR="00A62B80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Ток накала катода составляет 70…200 мА в зависимости от размера рабочего поля и площади анодов. Типовая яркость индикаторов — 500 кд/м2; она зависит от цвета люминофора.</w:t>
      </w:r>
    </w:p>
    <w:p w:rsidR="001D47EB" w:rsidRPr="00964E37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lastRenderedPageBreak/>
        <w:t xml:space="preserve">Типовое потребление VFD-модулей c питанием от 5 </w:t>
      </w:r>
      <w:proofErr w:type="gramStart"/>
      <w:r w:rsidRPr="00964E3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964E37">
        <w:rPr>
          <w:rFonts w:ascii="Times New Roman" w:hAnsi="Times New Roman" w:cs="Times New Roman"/>
          <w:sz w:val="28"/>
          <w:szCs w:val="28"/>
        </w:rPr>
        <w:t xml:space="preserve"> составляет 700…800 мА.</w:t>
      </w:r>
    </w:p>
    <w:p w:rsidR="00A62B80" w:rsidRPr="00964E37" w:rsidRDefault="00A62B80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br w:type="page"/>
      </w:r>
    </w:p>
    <w:p w:rsidR="00A62B80" w:rsidRPr="00A62B80" w:rsidRDefault="00A62B80" w:rsidP="00A62B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2B80">
        <w:rPr>
          <w:rFonts w:ascii="Times New Roman" w:hAnsi="Times New Roman" w:cs="Times New Roman"/>
          <w:b/>
          <w:sz w:val="36"/>
          <w:szCs w:val="36"/>
        </w:rPr>
        <w:lastRenderedPageBreak/>
        <w:t>Новые технологии VFD-дисплеев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 xml:space="preserve">Изменение номенклатуры стандартных VFD-дисплеев и расширение возможностей заказных VFD-дисплеев связано, в первую очередь, с новыми технологиями и материалами, разработанными компанией </w:t>
      </w:r>
      <w:proofErr w:type="spellStart"/>
      <w:r w:rsidRPr="00A62B80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A62B80">
        <w:rPr>
          <w:rFonts w:ascii="Times New Roman" w:hAnsi="Times New Roman" w:cs="Times New Roman"/>
          <w:sz w:val="28"/>
          <w:szCs w:val="28"/>
        </w:rPr>
        <w:t xml:space="preserve"> в последние годы.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CIG VFD</w:t>
      </w:r>
    </w:p>
    <w:p w:rsidR="00A62B80" w:rsidRP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Технология COG монтажа драйверов на стеклянной подложке VFD-индикаторов стала применяться с начала 1980-х гг. Использование мультиплексирования, а также установка кристалла в конструкцию индикатора позволяют значительно сократить число выводов как для обычных символьных, так и для матричных индикаторов.</w:t>
      </w:r>
    </w:p>
    <w:p w:rsidR="00A62B80" w:rsidRDefault="00A62B80" w:rsidP="00A62B80">
      <w:pPr>
        <w:rPr>
          <w:rFonts w:ascii="Times New Roman" w:hAnsi="Times New Roman" w:cs="Times New Roman"/>
          <w:sz w:val="28"/>
          <w:szCs w:val="28"/>
        </w:rPr>
      </w:pPr>
      <w:r w:rsidRPr="00A62B80">
        <w:rPr>
          <w:rFonts w:ascii="Times New Roman" w:hAnsi="Times New Roman" w:cs="Times New Roman"/>
          <w:sz w:val="28"/>
          <w:szCs w:val="28"/>
        </w:rPr>
        <w:t>Однако в этом случае увеличивается периферийная поверхность нижней стеклянной подложки. Технология монтажа CIG позволяет устанавливать кристалл на нижнюю стеклянную подложку внутри вакуумной структуры баллона. За счет этого уменьшается площадь индикаторной панели, и не требуется герметизации кристалла (см. рис. 2).</w:t>
      </w:r>
    </w:p>
    <w:p w:rsidR="00D03E25" w:rsidRDefault="00A62B80" w:rsidP="00A62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8928" cy="1790700"/>
            <wp:effectExtent l="0" t="0" r="8255" b="0"/>
            <wp:docPr id="3" name="Рисунок 3" descr="C:\Users\vanin.2018\AppData\Local\Microsoft\Windows\INetCache\Content.Word\ek4-2012-ris2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in.2018\AppData\Local\Microsoft\Windows\INetCache\Content.Word\ek4-2012-ris2-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58" cy="179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25" w:rsidRDefault="00D03E25" w:rsidP="00A62B80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Рис. 2. Конструкция CIG VFD</w:t>
      </w:r>
    </w:p>
    <w:p w:rsidR="00D03E25" w:rsidRPr="00964E37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>Технология CIG, как и COG, существенно упрощает применение индикатора, уменьшает стоимость и упрощает конструкцию печатной платы схемы управления всем дисплейным модулем. Использование функции контроллера с управляющим интерфейсом дополнительно уменьшает число выводов и обеспечивает стандартизацию управляющего интерфейса.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Люминофоры новых цветов</w:t>
      </w:r>
    </w:p>
    <w:p w:rsidR="00D03E25" w:rsidRPr="00964E37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964E37"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 w:rsidRPr="00964E37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964E37">
        <w:rPr>
          <w:rFonts w:ascii="Times New Roman" w:hAnsi="Times New Roman" w:cs="Times New Roman"/>
          <w:sz w:val="28"/>
          <w:szCs w:val="28"/>
        </w:rPr>
        <w:t xml:space="preserve"> постоянно совершенствует технологию нанесения люминофоров, а также расширяет палитру цветов для индикаторов люминофоров (см. рис. 3). В основном, долговечность индикатора определяется снижением яркости люминофоров, поскольку накальные нити, выполненные из вольфрама с добавкой тория, практически вечны и не теряют эмиссионной способности в течение всего срока службы индикатора.</w:t>
      </w:r>
    </w:p>
    <w:p w:rsidR="00D03E25" w:rsidRDefault="002D74A4" w:rsidP="00842E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07pt">
            <v:imagedata r:id="rId10" o:title="ek4-2012-ris3-6"/>
          </v:shape>
        </w:pic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Рис. 3. Спектральные характеристики люминофоров VFD </w:t>
      </w:r>
      <w:proofErr w:type="spellStart"/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Futaba</w:t>
      </w:r>
      <w:proofErr w:type="spellEnd"/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Люминофор на переднем стекле</w:t>
      </w:r>
    </w:p>
    <w:p w:rsidR="00D03E25" w:rsidRP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>Нанесение люминофора на внутреннюю сторону лицевого стекла (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Luminous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VFD, FLVFD) методом тонкопленочной технологии обеспечило расширение угла обзора за счет уменьшения влияния параллакса при наблюдении изображения, а также позволило увеличить потенциальную площадь рисунка анодных сегментов.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Двухуровневые VFD</w:t>
      </w:r>
    </w:p>
    <w:p w:rsidR="00D03E25" w:rsidRP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>Использование двух наборов сеток и анодов с одной системой накальных нитей катода (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Bi-Planar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VFD, BPVFD) расширяет дизайнерские возможности для отображения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псевдообъемного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изображения, имеющего пространственную глубину. Очевидно, что информационная емкость (число сегментов дисплея) при этом также вырастает. Двойная структура также расширяет возможности по смешиванию цветов от излучения двух слоев анодов.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Градационные VFD</w:t>
      </w:r>
    </w:p>
    <w:p w:rsidR="00D03E25" w:rsidRPr="00842EF3" w:rsidRDefault="00D03E25" w:rsidP="00842EF3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 xml:space="preserve">Новая технология нанесения люминофоров обеспечивает создание сегментов графических элементов практически с нулевым зазором. За счет этого существенно расширились возможности дизайна заказных индикаторов, например, для смешения цветов граничащих сегментов или плавного перехода одного цвета в другой. Технология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Gradation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VFD позволяет придать более привлекательный вид, в частности, столбиковым диаграммам и индикаторам уровня сигнала.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lastRenderedPageBreak/>
        <w:t>VFD с двойным слоем люминофора</w:t>
      </w:r>
    </w:p>
    <w:p w:rsidR="00D03E25" w:rsidRP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>Технология нанесения двух слоев люминофора (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Phosphor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Printing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>) позволяет расширить графические возможности индикатора за счет формирования смеси цветов, цветовых оттенков с градациями по яркости. Чередование двух цветов во времени позволяет сформировать смешанный цвет. Увеличение ширины линий уровневых диаграмм обеспечивает эффект градации яркости.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Использование прозрачного заднего стекла</w:t>
      </w:r>
    </w:p>
    <w:p w:rsid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>Замена отражающей задней поверхности корпуса на прозрачное стекло (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>) позволяет реализовать дополнительные дизайнерские решения с помощью индикатора. Например, можно использовать фоновое изображение или динамическую контекстную светодиодную подсветку. Наличие нескольких слоев светящихся или светоотражающих поверхностей позволяет создать эффект объемного изображения.</w:t>
      </w:r>
    </w:p>
    <w:p w:rsid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>VFD-модуль состоит из индикатора и платы управления. Модуль является функционально законченным продуктом, существенно упрощающим применение индикатора в готовом изделии (см. рис. 4). Размещенная в модуле схема обеспечивает формирование всех необходимых уровней напряжения от одного источника питания (5 или 3,3 В), а также интерфейс с управляющим контроллером. В качестве интерфейса могут использоваться параллельный байтовый интерфейс, UART, RS-232, SPI, I2C и USB. Модуль обеспечивает регенерацию изображения, регулирование яркости. Для его работы достаточно одного, как правило, напряжения питания 5 В (см. рис. 5).</w:t>
      </w:r>
    </w:p>
    <w:p w:rsidR="00D03E25" w:rsidRDefault="00D03E25" w:rsidP="00D03E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61685" cy="1724025"/>
            <wp:effectExtent l="0" t="0" r="5715" b="9525"/>
            <wp:docPr id="4" name="Рисунок 4" descr="C:\Users\vanin.2018\AppData\Local\Microsoft\Windows\INetCache\Content.Word\ek4-2012-ris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nin.2018\AppData\Local\Microsoft\Windows\INetCache\Content.Word\ek4-2012-ris4-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Рис. 4. Графический VFD-модуль </w:t>
      </w:r>
      <w:proofErr w:type="spellStart"/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Futaba</w:t>
      </w:r>
      <w:proofErr w:type="spellEnd"/>
    </w:p>
    <w:p w:rsidR="00D03E25" w:rsidRDefault="002D74A4" w:rsidP="00D03E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12.5pt;height:261pt">
            <v:imagedata r:id="rId12" o:title="ek4-2012-ris5-5"/>
          </v:shape>
        </w:pict>
      </w:r>
    </w:p>
    <w:p w:rsidR="00D03E25" w:rsidRDefault="00D03E25" w:rsidP="00D03E25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03E2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Рис. 5. Пример схемы управления VFD-модулем</w:t>
      </w: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E25">
        <w:rPr>
          <w:rFonts w:ascii="Times New Roman" w:hAnsi="Times New Roman" w:cs="Times New Roman"/>
          <w:b/>
          <w:sz w:val="28"/>
          <w:szCs w:val="28"/>
        </w:rPr>
        <w:t>VFD с сенсорными датчиками</w:t>
      </w:r>
    </w:p>
    <w:p w:rsidR="00D03E25" w:rsidRDefault="00D03E25" w:rsidP="00964E37">
      <w:pPr>
        <w:rPr>
          <w:rFonts w:ascii="Times New Roman" w:hAnsi="Times New Roman" w:cs="Times New Roman"/>
          <w:sz w:val="28"/>
          <w:szCs w:val="28"/>
        </w:rPr>
      </w:pPr>
      <w:r w:rsidRPr="00D03E25">
        <w:rPr>
          <w:rFonts w:ascii="Times New Roman" w:hAnsi="Times New Roman" w:cs="Times New Roman"/>
          <w:sz w:val="28"/>
          <w:szCs w:val="28"/>
        </w:rPr>
        <w:t xml:space="preserve">Новый продукт компании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— VFD-графические модули TW001GIN с емкостным сенсорным экраном (VFD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E25">
        <w:rPr>
          <w:rFonts w:ascii="Times New Roman" w:hAnsi="Times New Roman" w:cs="Times New Roman"/>
          <w:sz w:val="28"/>
          <w:szCs w:val="28"/>
        </w:rPr>
        <w:t>Sensor</w:t>
      </w:r>
      <w:proofErr w:type="spellEnd"/>
      <w:r w:rsidRPr="00D03E25">
        <w:rPr>
          <w:rFonts w:ascii="Times New Roman" w:hAnsi="Times New Roman" w:cs="Times New Roman"/>
          <w:sz w:val="28"/>
          <w:szCs w:val="28"/>
        </w:rPr>
        <w:t>). Прозрачные площадки сенсоров нанесены с внутренней стороны фронтального стекла индикатора. Контроллер сенсорного поля находится снаружи индикатора (см. рис. 6).</w:t>
      </w:r>
    </w:p>
    <w:p w:rsidR="00D03E25" w:rsidRDefault="002D74A4" w:rsidP="00D03E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66.75pt;height:207.75pt">
            <v:imagedata r:id="rId13" o:title="ek4-2012-ris6-3"/>
          </v:shape>
        </w:pict>
      </w:r>
    </w:p>
    <w:p w:rsidR="001833E6" w:rsidRDefault="00D03E25" w:rsidP="00D03E25">
      <w:pPr>
        <w:jc w:val="center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Рис. 6. Структура и принцип </w:t>
      </w:r>
      <w:proofErr w:type="gramStart"/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работы</w:t>
      </w:r>
      <w:proofErr w:type="gramEnd"/>
      <w:r w:rsidRPr="00D03E2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встроенной в VFD-модуль сенсорной клавиатуры</w:t>
      </w:r>
    </w:p>
    <w:p w:rsidR="001833E6" w:rsidRPr="001833E6" w:rsidRDefault="001833E6" w:rsidP="00183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Основные характеристики TW001GIN</w:t>
      </w:r>
    </w:p>
    <w:p w:rsidR="001833E6" w:rsidRPr="001833E6" w:rsidRDefault="001833E6" w:rsidP="001833E6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– видимая область: 55 × 38 мм;</w:t>
      </w:r>
    </w:p>
    <w:p w:rsidR="001833E6" w:rsidRPr="001833E6" w:rsidRDefault="001833E6" w:rsidP="001833E6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– разрешение: 125 × 85 пикселов;</w:t>
      </w:r>
    </w:p>
    <w:p w:rsidR="001833E6" w:rsidRPr="001833E6" w:rsidRDefault="001833E6" w:rsidP="001833E6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lastRenderedPageBreak/>
        <w:t>– сенсорное поле: 8 площадок;</w:t>
      </w:r>
    </w:p>
    <w:p w:rsidR="001833E6" w:rsidRPr="001833E6" w:rsidRDefault="001833E6" w:rsidP="001833E6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– встроенный контроллер CIG;</w:t>
      </w:r>
    </w:p>
    <w:p w:rsidR="001833E6" w:rsidRPr="001833E6" w:rsidRDefault="001833E6" w:rsidP="001833E6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– широкий температурный диапазон (–40…85°С).</w:t>
      </w:r>
    </w:p>
    <w:p w:rsidR="001833E6" w:rsidRDefault="001833E6" w:rsidP="001833E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Формирование поля датчиков не требует дополнительного технологического процесса и реализуется в стандартном процессе производства VFD. Датчики срабатывают при толщине пластикового или стеклянного фильтра до 3 мм.</w:t>
      </w:r>
    </w:p>
    <w:p w:rsidR="00D82A74" w:rsidRPr="001833E6" w:rsidRDefault="00D82A74" w:rsidP="00183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E6" w:rsidRPr="001833E6" w:rsidRDefault="001833E6" w:rsidP="00183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3E6">
        <w:rPr>
          <w:rFonts w:ascii="Times New Roman" w:hAnsi="Times New Roman" w:cs="Times New Roman"/>
          <w:b/>
          <w:sz w:val="28"/>
          <w:szCs w:val="28"/>
        </w:rPr>
        <w:t xml:space="preserve">Заказные VFD-индикаторы </w:t>
      </w:r>
      <w:proofErr w:type="spellStart"/>
      <w:r w:rsidRPr="001833E6">
        <w:rPr>
          <w:rFonts w:ascii="Times New Roman" w:hAnsi="Times New Roman" w:cs="Times New Roman"/>
          <w:b/>
          <w:sz w:val="28"/>
          <w:szCs w:val="28"/>
        </w:rPr>
        <w:t>Futaba</w:t>
      </w:r>
      <w:proofErr w:type="spellEnd"/>
    </w:p>
    <w:p w:rsidR="001833E6" w:rsidRP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 xml:space="preserve">Наибольшее признание из всей продукции компании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 получили специализированные заказные дисплеи и модули. Указанные выше технологии уже активно используются при создании именно заказных дисплеев и модулей на их основе. В частности, это дисплеи для домашних мультимедийных центров, индикаторы бытовой техники, автомобильные ресиверы и бортовые компьютера, часы, игрушки, дисплеи измерительных приборов.</w:t>
      </w:r>
    </w:p>
    <w:p w:rsidR="001833E6" w:rsidRP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</w:p>
    <w:p w:rsidR="001833E6" w:rsidRPr="001833E6" w:rsidRDefault="001833E6" w:rsidP="00183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3E6">
        <w:rPr>
          <w:rFonts w:ascii="Times New Roman" w:hAnsi="Times New Roman" w:cs="Times New Roman"/>
          <w:b/>
          <w:sz w:val="28"/>
          <w:szCs w:val="28"/>
        </w:rPr>
        <w:t xml:space="preserve">Перспективные разработки </w:t>
      </w:r>
      <w:proofErr w:type="spellStart"/>
      <w:r w:rsidRPr="001833E6">
        <w:rPr>
          <w:rFonts w:ascii="Times New Roman" w:hAnsi="Times New Roman" w:cs="Times New Roman"/>
          <w:b/>
          <w:sz w:val="28"/>
          <w:szCs w:val="28"/>
        </w:rPr>
        <w:t>Futaba</w:t>
      </w:r>
      <w:proofErr w:type="spellEnd"/>
    </w:p>
    <w:p w:rsidR="001833E6" w:rsidRP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Ресурс технологии VFD-дисплеев далеко не исчерпан. В настоящее время планируется подготовить к серийному выпуску матричные VFD-дисплеи с активной адресацией (AMVFD) и очень высокой яркостью. Люминофор будет наноситься непосредственно на поверхность пикселов индикатора драйверов с шагом 0,4 мм. Отказ от мультиплексирования по анодам позволит значительно поднять уровень яркости дисплея.</w:t>
      </w:r>
    </w:p>
    <w:p w:rsidR="001833E6" w:rsidRP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В дисплей также будут встраиваться кристаллы графической памяти и интерфейсный контроллер. Один из потенциальных секторов применения таких дисплеев — автомобильная дисплейная навигационная система с проекцией изображения на ветровом стекле (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>, HUD).</w:t>
      </w:r>
    </w:p>
    <w:p w:rsidR="001833E6" w:rsidRP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На ветровом стекле будут отображаться основные параметры приборов (скорость, пробег, расход топлива, температура и т.д.), указатели, маркеры, сообщения и дорожная карта.</w:t>
      </w:r>
    </w:p>
    <w:p w:rsidR="001833E6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>Яркости AMVFD-дисплеев достаточно для формирования на стекле изображения, читаемого при ярком солнечном свете.</w:t>
      </w:r>
    </w:p>
    <w:p w:rsidR="00671967" w:rsidRDefault="00671967" w:rsidP="00964E37">
      <w:pPr>
        <w:rPr>
          <w:rFonts w:ascii="Times New Roman" w:hAnsi="Times New Roman" w:cs="Times New Roman"/>
          <w:sz w:val="28"/>
          <w:szCs w:val="28"/>
        </w:rPr>
      </w:pPr>
    </w:p>
    <w:p w:rsidR="00671967" w:rsidRPr="001833E6" w:rsidRDefault="00671967" w:rsidP="00964E37">
      <w:pPr>
        <w:rPr>
          <w:rFonts w:ascii="Times New Roman" w:hAnsi="Times New Roman" w:cs="Times New Roman"/>
          <w:sz w:val="28"/>
          <w:szCs w:val="28"/>
        </w:rPr>
      </w:pPr>
    </w:p>
    <w:p w:rsidR="001833E6" w:rsidRPr="001833E6" w:rsidRDefault="001833E6" w:rsidP="00183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33E6" w:rsidRPr="001833E6" w:rsidRDefault="001833E6" w:rsidP="00183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3E6">
        <w:rPr>
          <w:rFonts w:ascii="Times New Roman" w:hAnsi="Times New Roman" w:cs="Times New Roman"/>
          <w:b/>
          <w:sz w:val="28"/>
          <w:szCs w:val="28"/>
        </w:rPr>
        <w:t xml:space="preserve">Применение VFD-дисплеев </w:t>
      </w:r>
      <w:proofErr w:type="spellStart"/>
      <w:r w:rsidRPr="001833E6">
        <w:rPr>
          <w:rFonts w:ascii="Times New Roman" w:hAnsi="Times New Roman" w:cs="Times New Roman"/>
          <w:b/>
          <w:sz w:val="28"/>
          <w:szCs w:val="28"/>
        </w:rPr>
        <w:t>Futaba</w:t>
      </w:r>
      <w:proofErr w:type="spellEnd"/>
      <w:r w:rsidRPr="001833E6">
        <w:rPr>
          <w:rFonts w:ascii="Times New Roman" w:hAnsi="Times New Roman" w:cs="Times New Roman"/>
          <w:b/>
          <w:sz w:val="28"/>
          <w:szCs w:val="28"/>
        </w:rPr>
        <w:t xml:space="preserve"> в России</w:t>
      </w:r>
    </w:p>
    <w:p w:rsidR="00D03E25" w:rsidRDefault="001833E6" w:rsidP="00964E37">
      <w:pPr>
        <w:rPr>
          <w:rFonts w:ascii="Times New Roman" w:hAnsi="Times New Roman" w:cs="Times New Roman"/>
          <w:sz w:val="28"/>
          <w:szCs w:val="28"/>
        </w:rPr>
      </w:pPr>
      <w:r w:rsidRPr="001833E6">
        <w:rPr>
          <w:rFonts w:ascii="Times New Roman" w:hAnsi="Times New Roman" w:cs="Times New Roman"/>
          <w:sz w:val="28"/>
          <w:szCs w:val="28"/>
        </w:rPr>
        <w:t xml:space="preserve">Индикаторы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 нашли широкое применение и в приборах, разработанных в России. В частности, в платежных терминалах (автобусный парк) и навигационных автомобильных системах (индикаторы торпеды в карьерных самосвалах). Как указывалось, основными критериями выбора дисплея для данных приложений являются обеспечение широкого температурного диапазона, высокая яркость, контраст и читаемость при большой внешней освещенности, высокая надежность, ресурс и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виброустойчивость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. Дисплейные модули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 xml:space="preserve"> нашли широкое применение и в промышленной автоматике, например, в различных шкафах управления (электричество, нефть, газ, тепло и т.д.). В России также выпускаются весы, измерительные приборы и кассовые аппараты с использованием дисплейных модулей </w:t>
      </w:r>
      <w:proofErr w:type="spellStart"/>
      <w:r w:rsidRPr="001833E6">
        <w:rPr>
          <w:rFonts w:ascii="Times New Roman" w:hAnsi="Times New Roman" w:cs="Times New Roman"/>
          <w:sz w:val="28"/>
          <w:szCs w:val="28"/>
        </w:rPr>
        <w:t>Futaba</w:t>
      </w:r>
      <w:proofErr w:type="spellEnd"/>
      <w:r w:rsidRPr="001833E6">
        <w:rPr>
          <w:rFonts w:ascii="Times New Roman" w:hAnsi="Times New Roman" w:cs="Times New Roman"/>
          <w:sz w:val="28"/>
          <w:szCs w:val="28"/>
        </w:rPr>
        <w:t>. </w:t>
      </w:r>
    </w:p>
    <w:p w:rsidR="00DA679F" w:rsidRDefault="00710CFF" w:rsidP="00183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50pt;height:271.5pt">
            <v:imagedata r:id="rId14" o:title="67ba94"/>
          </v:shape>
        </w:pict>
      </w:r>
    </w:p>
    <w:p w:rsidR="003979AD" w:rsidRPr="003979AD" w:rsidRDefault="003979AD" w:rsidP="003979AD">
      <w:pPr>
        <w:pStyle w:val="1"/>
        <w:shd w:val="clear" w:color="auto" w:fill="FFFFFF"/>
        <w:spacing w:before="0" w:beforeAutospacing="0" w:after="45" w:afterAutospacing="0" w:line="312" w:lineRule="atLeast"/>
        <w:jc w:val="center"/>
        <w:textAlignment w:val="baseline"/>
        <w:rPr>
          <w:b w:val="0"/>
          <w:color w:val="333333"/>
          <w:sz w:val="24"/>
          <w:szCs w:val="24"/>
        </w:rPr>
      </w:pPr>
      <w:r>
        <w:rPr>
          <w:b w:val="0"/>
          <w:color w:val="333333"/>
          <w:sz w:val="24"/>
          <w:szCs w:val="24"/>
        </w:rPr>
        <w:t xml:space="preserve">Рис. 7 </w:t>
      </w:r>
      <w:r w:rsidRPr="003979AD">
        <w:rPr>
          <w:b w:val="0"/>
          <w:color w:val="333333"/>
          <w:sz w:val="24"/>
          <w:szCs w:val="24"/>
        </w:rPr>
        <w:t xml:space="preserve">VFD дисплей GP1183A01B от </w:t>
      </w:r>
      <w:proofErr w:type="spellStart"/>
      <w:r w:rsidRPr="003979AD">
        <w:rPr>
          <w:b w:val="0"/>
          <w:color w:val="333333"/>
          <w:sz w:val="24"/>
          <w:szCs w:val="24"/>
        </w:rPr>
        <w:t>Futaba</w:t>
      </w:r>
      <w:proofErr w:type="spellEnd"/>
    </w:p>
    <w:p w:rsidR="003979AD" w:rsidRDefault="003979AD" w:rsidP="001833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E25" w:rsidRPr="00D03E25" w:rsidRDefault="00D03E25" w:rsidP="00D03E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2B80" w:rsidRDefault="00183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47EB" w:rsidRPr="008021A6" w:rsidRDefault="001D47EB" w:rsidP="001D47EB">
      <w:pPr>
        <w:jc w:val="center"/>
        <w:rPr>
          <w:rFonts w:ascii="Times New Roman" w:hAnsi="Times New Roman" w:cs="Times New Roman"/>
          <w:sz w:val="36"/>
          <w:szCs w:val="36"/>
        </w:rPr>
      </w:pPr>
      <w:r w:rsidRPr="008021A6">
        <w:rPr>
          <w:rFonts w:ascii="Times New Roman" w:hAnsi="Times New Roman" w:cs="Times New Roman"/>
          <w:sz w:val="36"/>
          <w:szCs w:val="36"/>
        </w:rPr>
        <w:lastRenderedPageBreak/>
        <w:t>Список источников</w:t>
      </w:r>
    </w:p>
    <w:p w:rsidR="00BD4F4E" w:rsidRPr="00C2302C" w:rsidRDefault="00710CFF" w:rsidP="00C2302C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BD4F4E" w:rsidRPr="00C2302C">
          <w:rPr>
            <w:rStyle w:val="ab"/>
            <w:rFonts w:ascii="Times New Roman" w:hAnsi="Times New Roman" w:cs="Times New Roman"/>
            <w:sz w:val="28"/>
            <w:szCs w:val="28"/>
          </w:rPr>
          <w:t>https://rc-hobby.com.ua/infocenter/obzory-i-stati/futaba_-yaponskoe-kachestvo-dlya-vashey-radioupravlyaemoy-modeli/</w:t>
        </w:r>
      </w:hyperlink>
      <w:r w:rsidR="008021A6" w:rsidRPr="00C2302C">
        <w:rPr>
          <w:rFonts w:ascii="Times New Roman" w:hAnsi="Times New Roman" w:cs="Times New Roman"/>
          <w:sz w:val="28"/>
          <w:szCs w:val="28"/>
        </w:rPr>
        <w:t xml:space="preserve"> -дата обращения (05.12.2022)</w:t>
      </w:r>
    </w:p>
    <w:p w:rsidR="00BD4F4E" w:rsidRPr="00C2302C" w:rsidRDefault="00710CFF" w:rsidP="00C2302C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BD4F4E" w:rsidRPr="00C2302C">
          <w:rPr>
            <w:rStyle w:val="ab"/>
            <w:rFonts w:ascii="Times New Roman" w:hAnsi="Times New Roman" w:cs="Times New Roman"/>
            <w:sz w:val="28"/>
            <w:szCs w:val="28"/>
          </w:rPr>
          <w:t>https://russianelectronics.ru/novye-tehnologii-katodolyuminesczentnyh-displeev-kompanii-futaba/</w:t>
        </w:r>
      </w:hyperlink>
      <w:r w:rsidR="008021A6" w:rsidRPr="00C2302C">
        <w:rPr>
          <w:rFonts w:ascii="Times New Roman" w:hAnsi="Times New Roman" w:cs="Times New Roman"/>
          <w:sz w:val="28"/>
          <w:szCs w:val="28"/>
        </w:rPr>
        <w:t xml:space="preserve"> -дата обращения (05.12.2022)</w:t>
      </w:r>
    </w:p>
    <w:p w:rsidR="008021A6" w:rsidRPr="00C2302C" w:rsidRDefault="00710CFF" w:rsidP="00C2302C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021A6" w:rsidRPr="00C2302C">
          <w:rPr>
            <w:rStyle w:val="ab"/>
            <w:rFonts w:ascii="Times New Roman" w:hAnsi="Times New Roman" w:cs="Times New Roman"/>
            <w:sz w:val="28"/>
            <w:szCs w:val="28"/>
          </w:rPr>
          <w:t>https://www.magnits.com.ua/userfiles/files/Futaba_7CAP_RUS_v2(4).pdf</w:t>
        </w:r>
      </w:hyperlink>
      <w:r w:rsidR="008021A6" w:rsidRPr="00C2302C">
        <w:rPr>
          <w:rFonts w:ascii="Times New Roman" w:hAnsi="Times New Roman" w:cs="Times New Roman"/>
          <w:sz w:val="28"/>
          <w:szCs w:val="28"/>
        </w:rPr>
        <w:t xml:space="preserve"> -дата обращения (05.12.2022)</w:t>
      </w:r>
    </w:p>
    <w:p w:rsidR="008021A6" w:rsidRPr="00C2302C" w:rsidRDefault="008021A6" w:rsidP="00C2302C">
      <w:pPr>
        <w:pStyle w:val="ad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302C">
        <w:rPr>
          <w:rFonts w:ascii="Times New Roman" w:hAnsi="Times New Roman" w:cs="Times New Roman"/>
          <w:color w:val="000000"/>
          <w:sz w:val="28"/>
          <w:szCs w:val="28"/>
        </w:rPr>
        <w:t xml:space="preserve">Миронов И. Обзор </w:t>
      </w:r>
      <w:proofErr w:type="spellStart"/>
      <w:r w:rsidRPr="00C2302C">
        <w:rPr>
          <w:rFonts w:ascii="Times New Roman" w:hAnsi="Times New Roman" w:cs="Times New Roman"/>
          <w:color w:val="000000"/>
          <w:sz w:val="28"/>
          <w:szCs w:val="28"/>
        </w:rPr>
        <w:t>флюоресцентных</w:t>
      </w:r>
      <w:proofErr w:type="spellEnd"/>
      <w:r w:rsidRPr="00C2302C">
        <w:rPr>
          <w:rFonts w:ascii="Times New Roman" w:hAnsi="Times New Roman" w:cs="Times New Roman"/>
          <w:color w:val="000000"/>
          <w:sz w:val="28"/>
          <w:szCs w:val="28"/>
        </w:rPr>
        <w:t xml:space="preserve"> индикаторов корпорации </w:t>
      </w:r>
      <w:proofErr w:type="spellStart"/>
      <w:r w:rsidRPr="00C2302C">
        <w:rPr>
          <w:rFonts w:ascii="Times New Roman" w:hAnsi="Times New Roman" w:cs="Times New Roman"/>
          <w:color w:val="000000"/>
          <w:sz w:val="28"/>
          <w:szCs w:val="28"/>
        </w:rPr>
        <w:t>БШаЬа</w:t>
      </w:r>
      <w:proofErr w:type="spellEnd"/>
      <w:r w:rsidRPr="00C2302C">
        <w:rPr>
          <w:rFonts w:ascii="Times New Roman" w:hAnsi="Times New Roman" w:cs="Times New Roman"/>
          <w:color w:val="000000"/>
          <w:sz w:val="28"/>
          <w:szCs w:val="28"/>
        </w:rPr>
        <w:t xml:space="preserve"> // Компоненты и технологии. 2002. № 2.</w:t>
      </w:r>
    </w:p>
    <w:p w:rsidR="00C2302C" w:rsidRPr="00C2302C" w:rsidRDefault="00C2302C" w:rsidP="00C2302C">
      <w:pPr>
        <w:pStyle w:val="ad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lang w:val="en-US"/>
        </w:rPr>
      </w:pP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Mujkanovic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A,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Vasiljevic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L,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Ostojic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G. Nonblack fillers for elastomers. TMT 2009: 13th International Research/Expert Conference "Trends in the Development of Machinery and Associated Technology", TMT 2009</w:t>
      </w:r>
    </w:p>
    <w:p w:rsidR="00C2302C" w:rsidRPr="00C2302C" w:rsidRDefault="00C2302C" w:rsidP="00C2302C">
      <w:pPr>
        <w:pStyle w:val="a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Araby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S, Zaman I,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Meng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Q, Kawashima N,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Michelmore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A,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Kuan</w:t>
      </w:r>
      <w:proofErr w:type="spell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H-C, et al. </w:t>
      </w:r>
      <w:proofErr w:type="gramStart"/>
      <w:r w:rsidRPr="00C2302C">
        <w:rPr>
          <w:rFonts w:ascii="Arial" w:hAnsi="Arial" w:cs="Arial"/>
          <w:color w:val="000000"/>
          <w:sz w:val="23"/>
          <w:szCs w:val="23"/>
          <w:lang w:val="en-US"/>
        </w:rPr>
        <w:t>Melt</w:t>
      </w:r>
      <w:proofErr w:type="gramEnd"/>
      <w:r w:rsidRPr="00C2302C">
        <w:rPr>
          <w:rFonts w:ascii="Arial" w:hAnsi="Arial" w:cs="Arial"/>
          <w:color w:val="000000"/>
          <w:sz w:val="23"/>
          <w:szCs w:val="23"/>
          <w:lang w:val="en-US"/>
        </w:rPr>
        <w:t xml:space="preserve"> compounding with graphene to develop functional, high-performance elastomers. </w:t>
      </w:r>
      <w:proofErr w:type="spellStart"/>
      <w:r w:rsidRPr="00C2302C">
        <w:rPr>
          <w:rFonts w:ascii="Arial" w:hAnsi="Arial" w:cs="Arial"/>
          <w:color w:val="000000"/>
          <w:sz w:val="23"/>
          <w:szCs w:val="23"/>
        </w:rPr>
        <w:t>Nanotechnology</w:t>
      </w:r>
      <w:proofErr w:type="spellEnd"/>
      <w:r w:rsidRPr="00C2302C">
        <w:rPr>
          <w:rFonts w:ascii="Arial" w:hAnsi="Arial" w:cs="Arial"/>
          <w:color w:val="000000"/>
          <w:sz w:val="23"/>
          <w:szCs w:val="23"/>
        </w:rPr>
        <w:t>. 2013</w:t>
      </w:r>
    </w:p>
    <w:p w:rsidR="00BD4F4E" w:rsidRPr="00C2302C" w:rsidRDefault="00BD4F4E" w:rsidP="001D47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D4F4E" w:rsidRPr="00C2302C" w:rsidSect="001D47EB"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CFF" w:rsidRDefault="00710CFF" w:rsidP="00CA2D8C">
      <w:pPr>
        <w:spacing w:after="0" w:line="240" w:lineRule="auto"/>
      </w:pPr>
      <w:r>
        <w:separator/>
      </w:r>
    </w:p>
  </w:endnote>
  <w:endnote w:type="continuationSeparator" w:id="0">
    <w:p w:rsidR="00710CFF" w:rsidRDefault="00710CFF" w:rsidP="00CA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D8C" w:rsidRPr="00DB3B1A" w:rsidRDefault="00CA2D8C" w:rsidP="00CA2D8C">
    <w:pPr>
      <w:pStyle w:val="aa"/>
    </w:pPr>
  </w:p>
  <w:p w:rsidR="00CA2D8C" w:rsidRDefault="00CA2D8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7EB" w:rsidRPr="00DB3B1A" w:rsidRDefault="001D47EB" w:rsidP="001D47EB">
    <w:pPr>
      <w:pStyle w:val="aa"/>
    </w:pPr>
    <w:r>
      <w:t>Новосибирск, 2022</w:t>
    </w:r>
    <w:r w:rsidRPr="00DB3B1A">
      <w:t xml:space="preserve"> г.</w:t>
    </w:r>
  </w:p>
  <w:p w:rsidR="001D47EB" w:rsidRDefault="001D47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CFF" w:rsidRDefault="00710CFF" w:rsidP="00CA2D8C">
      <w:pPr>
        <w:spacing w:after="0" w:line="240" w:lineRule="auto"/>
      </w:pPr>
      <w:r>
        <w:separator/>
      </w:r>
    </w:p>
  </w:footnote>
  <w:footnote w:type="continuationSeparator" w:id="0">
    <w:p w:rsidR="00710CFF" w:rsidRDefault="00710CFF" w:rsidP="00CA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492" w:rsidRPr="00946383" w:rsidRDefault="00BB7492" w:rsidP="00BB7492">
    <w:pPr>
      <w:pStyle w:val="a8"/>
    </w:pPr>
    <w:r w:rsidRPr="00946383">
      <w:t>МИНИСТЕРСТВО ОБРАЗОВАНИЯ И НАУКИ РОССИЙСКОЙ ФЕДЕРАЦИИ</w:t>
    </w:r>
  </w:p>
  <w:p w:rsidR="00BB7492" w:rsidRPr="00FE0792" w:rsidRDefault="00BB7492" w:rsidP="00BB7492">
    <w:pPr>
      <w:pStyle w:val="a9"/>
    </w:pPr>
    <w:r w:rsidRPr="00045B16">
      <w:t>ФЕДЕРАЛЬНОЕ ГОСУДАРСТВЕННОЕ БЮДЖЕТНОЕ ОБРАЗОВАТЕЛЬНОЕ УЧРЕЖДЕНИЕ</w:t>
    </w:r>
    <w:r>
      <w:br/>
    </w:r>
    <w:r w:rsidRPr="00045B16">
      <w:t>ВЫСШЕГО ОБРАЗОВАНИЯ</w:t>
    </w:r>
  </w:p>
  <w:p w:rsidR="00BB7492" w:rsidRDefault="00BB7492" w:rsidP="00BB7492">
    <w:pPr>
      <w:pStyle w:val="a8"/>
    </w:pPr>
    <w:r>
      <w:t>«НОВОСИБИРСКИЙ ГОСУДАРСТВЕННЫЙ ТЕХНИЧЕСКИЙ УНИВЕРСИТЕТ»</w:t>
    </w:r>
  </w:p>
  <w:p w:rsidR="00BB7492" w:rsidRPr="00DB3B1A" w:rsidRDefault="00BB7492" w:rsidP="00BB7492">
    <w:pPr>
      <w:pStyle w:val="a7"/>
    </w:pPr>
    <w:r>
      <w:t>Кафедра вычислительной техники</w:t>
    </w:r>
  </w:p>
  <w:p w:rsidR="00BB7492" w:rsidRPr="00CA2D8C" w:rsidRDefault="00BB7492" w:rsidP="00BB7492">
    <w:pPr>
      <w:pStyle w:val="a3"/>
      <w:rPr>
        <w:b/>
      </w:rPr>
    </w:pPr>
  </w:p>
  <w:p w:rsidR="00BB7492" w:rsidRDefault="00BB749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B76EF"/>
    <w:multiLevelType w:val="hybridMultilevel"/>
    <w:tmpl w:val="EEEEC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F8"/>
    <w:rsid w:val="000B5326"/>
    <w:rsid w:val="001833E6"/>
    <w:rsid w:val="001D47EB"/>
    <w:rsid w:val="002D54CC"/>
    <w:rsid w:val="002D74A4"/>
    <w:rsid w:val="00305C50"/>
    <w:rsid w:val="003979AD"/>
    <w:rsid w:val="00460FDA"/>
    <w:rsid w:val="0067065B"/>
    <w:rsid w:val="00671967"/>
    <w:rsid w:val="00704BF8"/>
    <w:rsid w:val="00710CFF"/>
    <w:rsid w:val="007E7FC3"/>
    <w:rsid w:val="008021A6"/>
    <w:rsid w:val="00842EF3"/>
    <w:rsid w:val="00964E37"/>
    <w:rsid w:val="00A62B80"/>
    <w:rsid w:val="00BB7492"/>
    <w:rsid w:val="00BD4F4E"/>
    <w:rsid w:val="00C2302C"/>
    <w:rsid w:val="00CA2D8C"/>
    <w:rsid w:val="00D03E25"/>
    <w:rsid w:val="00D82A74"/>
    <w:rsid w:val="00DA679F"/>
    <w:rsid w:val="00F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1B0FC-EBE1-44B9-B5F1-861D37AD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B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D8C"/>
  </w:style>
  <w:style w:type="paragraph" w:styleId="a5">
    <w:name w:val="footer"/>
    <w:basedOn w:val="a"/>
    <w:link w:val="a6"/>
    <w:uiPriority w:val="99"/>
    <w:unhideWhenUsed/>
    <w:rsid w:val="00CA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D8C"/>
  </w:style>
  <w:style w:type="paragraph" w:customStyle="1" w:styleId="a7">
    <w:name w:val="Рисунок (отчет)"/>
    <w:next w:val="a"/>
    <w:qFormat/>
    <w:rsid w:val="00CA2D8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МОиН РФ НГТУ (отчет)"/>
    <w:qFormat/>
    <w:rsid w:val="00CA2D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ФГБОУВО (отчет)"/>
    <w:qFormat/>
    <w:rsid w:val="00CA2D8C"/>
    <w:pPr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aa">
    <w:name w:val="Город год (отчет)"/>
    <w:qFormat/>
    <w:rsid w:val="00CA2D8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BD4F4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2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Normal (Web)"/>
    <w:basedOn w:val="a"/>
    <w:uiPriority w:val="99"/>
    <w:semiHidden/>
    <w:unhideWhenUsed/>
    <w:rsid w:val="00A6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62B8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d">
    <w:name w:val="List Paragraph"/>
    <w:basedOn w:val="a"/>
    <w:uiPriority w:val="34"/>
    <w:qFormat/>
    <w:rsid w:val="00C23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magnits.com.ua/userfiles/files/Futaba_7CAP_RUS_v2(4)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ssianelectronics.ru/novye-tehnologii-katodolyuminesczentnyh-displeev-kompanii-futaba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rc-hobby.com.ua/infocenter/obzory-i-stati/futaba_-yaponskoe-kachestvo-dlya-vashey-radioupravlyaemoy-modeli/" TargetMode="External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Ванин Константин Евгеньевич</dc:creator>
  <cp:keywords/>
  <dc:description/>
  <cp:lastModifiedBy>Ванин Константин Евгеньевич</cp:lastModifiedBy>
  <cp:revision>24</cp:revision>
  <dcterms:created xsi:type="dcterms:W3CDTF">2022-12-05T07:33:00Z</dcterms:created>
  <dcterms:modified xsi:type="dcterms:W3CDTF">2022-12-05T08:25:00Z</dcterms:modified>
</cp:coreProperties>
</file>