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55122D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55122D">
        <w:rPr>
          <w:sz w:val="26"/>
          <w:szCs w:val="26"/>
        </w:rPr>
        <w:t xml:space="preserve">« ___ » ___________ </w:t>
      </w:r>
      <w:r w:rsidRPr="0055122D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55122D">
        <w:rPr>
          <w:rFonts w:eastAsia="Times New Roman" w:cs="Times New Roman"/>
          <w:sz w:val="26"/>
          <w:szCs w:val="26"/>
          <w:highlight w:val="yellow"/>
          <w:lang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55122D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 }}</w:t>
      </w:r>
      <w:r w:rsidRPr="0055122D">
        <w:rPr>
          <w:sz w:val="26"/>
          <w:szCs w:val="26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55122D">
        <w:rPr>
          <w:sz w:val="26"/>
          <w:szCs w:val="26"/>
        </w:rPr>
        <w:t>.</w:t>
      </w:r>
    </w:p>
    <w:p w14:paraId="28DCDBE9" w14:textId="77777777" w:rsidR="007F085F" w:rsidRPr="0055122D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55122D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347C97C0" w14:textId="77777777" w:rsidR="007F085F" w:rsidRPr="0055122D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493F0278" w14:textId="77777777" w:rsidR="007F085F" w:rsidRPr="0055122D" w:rsidRDefault="007F085F" w:rsidP="004F3C77">
      <w:pPr>
        <w:jc w:val="center"/>
        <w:rPr>
          <w:rFonts w:cs="Times New Roman"/>
          <w:b/>
          <w:sz w:val="32"/>
          <w:szCs w:val="32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440E13E0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Наименование организации: </w:t>
      </w:r>
      <w:r w:rsidR="00591860" w:rsidRPr="00591860">
        <w:rPr>
          <w:rFonts w:cs="Times New Roman"/>
          <w:bCs/>
          <w:sz w:val="24"/>
          <w:szCs w:val="24"/>
          <w:lang w:val="ru-RU"/>
        </w:rPr>
        <w:t>ИП Кузнецов К.М. (ОГРНИП 318169000061131)</w:t>
      </w:r>
    </w:p>
    <w:p w14:paraId="07D69B86" w14:textId="14E8DF89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bCs/>
          <w:lang w:val="ru-RU"/>
        </w:rPr>
        <w:t xml:space="preserve">Адрес: </w:t>
      </w:r>
      <w:r w:rsidR="00591860" w:rsidRPr="00591860">
        <w:rPr>
          <w:rFonts w:cs="Times New Roman"/>
          <w:bCs/>
          <w:sz w:val="24"/>
          <w:szCs w:val="24"/>
          <w:lang w:val="ru-RU"/>
        </w:rPr>
        <w:t>421001, РТ, г. Казань, ул. Чистопольская д. 75</w:t>
      </w:r>
    </w:p>
    <w:p w14:paraId="53C9D47D" w14:textId="19CA9CFD" w:rsidR="00DC4D77" w:rsidRPr="000230B4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Телефон: +7-917-</w:t>
      </w:r>
      <w:r w:rsidR="00591860" w:rsidRPr="00591860">
        <w:rPr>
          <w:rFonts w:cs="Times New Roman"/>
          <w:bCs/>
          <w:sz w:val="24"/>
          <w:szCs w:val="24"/>
          <w:lang w:val="ru-RU"/>
        </w:rPr>
        <w:t>265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591860">
        <w:rPr>
          <w:rFonts w:cs="Times New Roman"/>
          <w:bCs/>
          <w:sz w:val="24"/>
          <w:szCs w:val="24"/>
          <w:lang w:val="ru-RU"/>
        </w:rPr>
        <w:t>60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0230B4">
        <w:rPr>
          <w:rFonts w:cs="Times New Roman"/>
          <w:bCs/>
          <w:sz w:val="24"/>
          <w:szCs w:val="24"/>
          <w:lang w:val="ru-RU"/>
        </w:rPr>
        <w:t>91</w:t>
      </w:r>
    </w:p>
    <w:p w14:paraId="53E09525" w14:textId="46C82F24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email: </w:t>
      </w:r>
      <w:r w:rsidR="00591860" w:rsidRPr="00591860">
        <w:rPr>
          <w:rFonts w:cs="Times New Roman"/>
          <w:bCs/>
          <w:sz w:val="24"/>
          <w:szCs w:val="24"/>
          <w:lang w:val="ru-RU"/>
        </w:rPr>
        <w:t>kuznetsovkm@yandex.ru</w:t>
      </w:r>
    </w:p>
    <w:p w14:paraId="0681E5D6" w14:textId="3D486410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5DF30E2C" w:rsidR="00DC4D77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 Константин Михайлович</w:t>
      </w:r>
      <w:r w:rsidR="00E55155" w:rsidRPr="00591860">
        <w:rPr>
          <w:rFonts w:cs="Times New Roman"/>
          <w:bCs/>
          <w:sz w:val="24"/>
          <w:szCs w:val="24"/>
          <w:lang w:val="ru-RU"/>
        </w:rPr>
        <w:t xml:space="preserve">, </w:t>
      </w:r>
      <w:r>
        <w:rPr>
          <w:rFonts w:cs="Times New Roman"/>
          <w:bCs/>
          <w:sz w:val="24"/>
          <w:szCs w:val="24"/>
          <w:lang w:val="ru-RU"/>
        </w:rPr>
        <w:t>р</w:t>
      </w:r>
      <w:r w:rsidRPr="00591860">
        <w:rPr>
          <w:rFonts w:cs="Times New Roman"/>
          <w:bCs/>
          <w:sz w:val="24"/>
          <w:szCs w:val="24"/>
          <w:lang w:val="ru-RU"/>
        </w:rPr>
        <w:t>уководитель группы разработки ИП Кузнецов К.М., эксперт в области промышленной безопасности Э4Д, Э4ОБ, Э4ТП</w:t>
      </w:r>
    </w:p>
    <w:p w14:paraId="1DEBABF0" w14:textId="5899F34F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Чистов Юрий Сергеевич, к.т.н., доцент кафедры «Системотехники» КНИТУ</w:t>
      </w:r>
      <w:r>
        <w:rPr>
          <w:rFonts w:cs="Times New Roman"/>
          <w:bCs/>
          <w:sz w:val="24"/>
          <w:szCs w:val="24"/>
          <w:lang w:val="ru-RU"/>
        </w:rPr>
        <w:t>, ведущий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4106A554" w14:textId="62F77BCC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Кузнецова Элина Эдуардовна</w:t>
      </w:r>
      <w:r>
        <w:rPr>
          <w:rFonts w:cs="Times New Roman"/>
          <w:bCs/>
          <w:sz w:val="24"/>
          <w:szCs w:val="24"/>
          <w:lang w:val="ru-RU"/>
        </w:rPr>
        <w:t>,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 организации</w:t>
      </w:r>
      <w:bookmarkEnd w:id="2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Pr="00FC1739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78961348" w:rsidR="00D67298" w:rsidRPr="00FC1739" w:rsidRDefault="00FC1739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FC1739">
        <w:rPr>
          <w:rFonts w:cs="Times New Roman"/>
          <w:sz w:val="24"/>
          <w:szCs w:val="24"/>
          <w:lang w:val="ru-RU"/>
        </w:rPr>
        <w:t>Вышестоящей организации нет</w:t>
      </w:r>
      <w:r w:rsidR="006609F6" w:rsidRPr="00FC1739">
        <w:rPr>
          <w:rFonts w:cs="Times New Roman"/>
          <w:sz w:val="24"/>
          <w:szCs w:val="24"/>
          <w:lang w:val="ru-RU"/>
        </w:rPr>
        <w:t>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1613F4AF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Первый заместитель генерального директора по разработке и добыче нефти и газа ПАО «Татнефть» им. В. Д. Шашина – Халимов Р.Х.</w:t>
      </w:r>
    </w:p>
    <w:p w14:paraId="169E9566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Заместитель генерального директора по промышленной безопасности, охране труда и экологии ПАО «Татнефть» им. В. Д. Шашина - Хабибрахманов А.Г.</w:t>
      </w:r>
    </w:p>
    <w:p w14:paraId="792185B9" w14:textId="77777777" w:rsidR="00FC1739" w:rsidRPr="00C62A7F" w:rsidRDefault="00FC1739" w:rsidP="00511DA1">
      <w:pPr>
        <w:ind w:firstLine="680"/>
        <w:rPr>
          <w:rFonts w:cs="Times New Roman"/>
          <w:sz w:val="24"/>
          <w:szCs w:val="24"/>
          <w:lang w:val="ru-RU"/>
        </w:rPr>
      </w:pP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064D4A45" w14:textId="77777777" w:rsidR="00FC1739" w:rsidRDefault="00FC1739" w:rsidP="00FC1739">
      <w:pPr>
        <w:widowControl w:val="0"/>
        <w:suppressAutoHyphens/>
        <w:spacing w:line="360" w:lineRule="auto"/>
        <w:ind w:firstLine="709"/>
        <w:jc w:val="both"/>
        <w:rPr>
          <w:color w:val="E36C0A" w:themeColor="accent6" w:themeShade="BF"/>
          <w:lang w:val="ru-RU"/>
        </w:rPr>
      </w:pPr>
      <w:bookmarkStart w:id="7" w:name="_Hlk160457253"/>
    </w:p>
    <w:p w14:paraId="69668B23" w14:textId="575F83BA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Краткий перечень основных направлений деятельности ПАО «Татнефть» им. В. Д. Шашина:</w:t>
      </w:r>
    </w:p>
    <w:p w14:paraId="1DF4B8C0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бурение и разработка нефтегазовых месторождений, транспортировка нефти, газа и воды различными видами транспорта, подготовка и реализация;</w:t>
      </w:r>
    </w:p>
    <w:p w14:paraId="50605AF7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строительство, ремонт и эксплуатация скважин, замерных установок, трубопроводов, дожимных насосных станций, установок подготовка нефти;</w:t>
      </w:r>
    </w:p>
    <w:p w14:paraId="1B8E9EEF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 объектов производственного назначения и социальной сферы, строительно-монтажные, пуско-наладочные, ремонтные работы на всех видах оборудования и инженерных сетях.</w:t>
      </w:r>
    </w:p>
    <w:bookmarkEnd w:id="7"/>
    <w:p w14:paraId="74F06461" w14:textId="2D36A6E3" w:rsidR="00B66EBE" w:rsidRPr="004931FE" w:rsidRDefault="004931FE" w:rsidP="00F97822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8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9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ы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" w:name="_Ref290125883"/>
      <w:bookmarkStart w:id="11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10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1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lastRenderedPageBreak/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F32475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 технол.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УПН «Кушкуль»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2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3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4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4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F32475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F32475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5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6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18CEEF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эксплуатации нефтепроводов санитарно-защитная зона в соответствии с СанПин 2.2.1/2.1.1.1200-03 не требуется.</w:t>
      </w:r>
    </w:p>
    <w:p w14:paraId="06B97F4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обеспечения нормальных условий эксплуатации и исключения возможности повреждения промысловых трубопроводов установлены охранные зоны в соответствии с "Правилами охраны магистральных трубопроводов":</w:t>
      </w:r>
    </w:p>
    <w:p w14:paraId="1554D46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трубопроводов - в виде участка земли, ограниченного условными линиями, находящимися в 50 м от оси трубопровода с каждой стороны;</w:t>
      </w:r>
    </w:p>
    <w:p w14:paraId="72657F28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lastRenderedPageBreak/>
        <w:t>- на землях сельскохозяйственного назначения охранная зона ограничивается условными линиями, проходящими в 25 м от осей крайних трубопроводов с каждой стороны;</w:t>
      </w:r>
    </w:p>
    <w:p w14:paraId="3ACC1885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многониточных трубопроводов - в виде участка земли, ограниченного условными линиями, проходящими в 50 м от осей крайних трубопроводов с каждой стороны;</w:t>
      </w:r>
    </w:p>
    <w:p w14:paraId="42D56AE0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подводных переходов трубопроводов - в виде участка водного пространства от водной поверхности до дна, заключенного между параллельными плоскостями, отстоящими от осей крайних ниток трубопроводов на 100 м с каждой стороны.</w:t>
      </w:r>
    </w:p>
    <w:p w14:paraId="1071F4E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охранных зонах трубопроводов предусмотрены плакаты с запретительными надписями против всякого рода действий, которые могут нарушить нормальную эксплуатацию трубопроводов либо привести к их повреждению.</w:t>
      </w:r>
    </w:p>
    <w:p w14:paraId="7ECE3B54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На трассе трубопровода установлены знаки безопасности. Сигнальные цвета и знаки безопасности предназначены для привлечения внимания к непосредственной опасности, предупреждения о возможной опасности, предписания и разрешения определенных действий с целью обеспечения безопасности, а также для необходимой информации.</w:t>
      </w:r>
    </w:p>
    <w:p w14:paraId="48C702CC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пределах этой зоны нет отдельно стоящих строений, гражданских и промышленных объектов других ведомств. Запретные и особо охраняемые исторические и природные заповедные зоны отсутствуют.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7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8" w:name="_Ref220937183"/>
      <w:r w:rsidRPr="008C55F9">
        <w:rPr>
          <w:rFonts w:cs="Times New Roman"/>
          <w:color w:val="FF0000"/>
          <w:sz w:val="24"/>
          <w:szCs w:val="24"/>
          <w:lang w:val="ru-RU"/>
        </w:rPr>
        <w:lastRenderedPageBreak/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8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9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009B2507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r w:rsidR="00FC1739"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организации,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20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>декларируемом объекте с указанием их размещения на составляющих декларируемого объекта, приведёна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1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1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b/>
                <w:color w:val="FF0000"/>
              </w:rPr>
              <w:t xml:space="preserve">Составляющая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r w:rsidRPr="0051463E">
              <w:rPr>
                <w:rFonts w:eastAsia="Times New Roman"/>
                <w:b/>
                <w:color w:val="FF0000"/>
              </w:rPr>
              <w:t>объекта</w:t>
            </w:r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b/>
                <w:color w:val="FF0000"/>
              </w:rPr>
              <w:t>Общая численность работников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F32475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Пункт подготовки и сбора нефти ЦПС Барсуковского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Площадка компрессорной станции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55122D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Котельная ППСН ЦПС Барсуковского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Товарно-сырьевой склад</w:t>
            </w:r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2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3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4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5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5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6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6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7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8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255916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5E9BEA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5BEAA5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9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9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30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1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1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2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3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4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5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5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55122D" w:rsidRPr="00BF3D49" w14:paraId="6BA823E5" w14:textId="77777777" w:rsidTr="003719EA">
        <w:trPr>
          <w:tblHeader/>
        </w:trPr>
        <w:tc>
          <w:tcPr>
            <w:tcW w:w="3190" w:type="dxa"/>
          </w:tcPr>
          <w:p w14:paraId="44CB3CBA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43E58FF9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/>
                <w:color w:val="00B0F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58D12C95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Возможные причины аварий</w:t>
            </w:r>
          </w:p>
        </w:tc>
      </w:tr>
      <w:tr w:rsidR="0055122D" w:rsidRPr="0055122D" w14:paraId="2DF59D9D" w14:textId="77777777" w:rsidTr="003719EA">
        <w:tc>
          <w:tcPr>
            <w:tcW w:w="3190" w:type="dxa"/>
          </w:tcPr>
          <w:p w14:paraId="2C760B3E" w14:textId="77777777" w:rsidR="0055122D" w:rsidRPr="00BF3D49" w:rsidRDefault="0055122D" w:rsidP="003719EA">
            <w:pPr>
              <w:pStyle w:val="23"/>
              <w:widowControl w:val="0"/>
              <w:shd w:val="clear" w:color="auto" w:fill="FFFFFF"/>
              <w:suppressAutoHyphens/>
              <w:spacing w:line="240" w:lineRule="auto"/>
              <w:rPr>
                <w:bCs/>
                <w:color w:val="00B0F0"/>
                <w:sz w:val="24"/>
                <w:szCs w:val="24"/>
                <w:lang w:val="ru-RU" w:eastAsia="ru-RU"/>
              </w:rPr>
            </w:pPr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479A1786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Обращение в технологическом процессе опасного вещества, являющегося взрывопожароопасным веществом; </w:t>
            </w:r>
          </w:p>
          <w:p w14:paraId="7D854CE3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Протекание процесса под давлением;</w:t>
            </w:r>
          </w:p>
          <w:p w14:paraId="7DE39F2A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Дефекты, допущенные при изготовлении и монтаже;</w:t>
            </w:r>
          </w:p>
          <w:p w14:paraId="205E1475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Возможность воздействия внешних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факторов, обуславливающих разгерметизацию оборудования;</w:t>
            </w:r>
          </w:p>
          <w:p w14:paraId="54438C44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Высокая концентрация оборудования с опасными веществами на сравнительно небольшой площадке.</w:t>
            </w:r>
          </w:p>
          <w:p w14:paraId="3E68FCA5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</w:p>
        </w:tc>
        <w:tc>
          <w:tcPr>
            <w:tcW w:w="3191" w:type="dxa"/>
          </w:tcPr>
          <w:p w14:paraId="5CB12E04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Ошибки персонала при ведении технологического процесса, ремонтных и профилактических работ;</w:t>
            </w:r>
          </w:p>
          <w:p w14:paraId="143F34C2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Отказы арматуры, фланцевых соединений из-за дефектов изготовления и монтажа;</w:t>
            </w:r>
          </w:p>
          <w:p w14:paraId="57D7C021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Отключение электроэнергии;</w:t>
            </w:r>
          </w:p>
          <w:p w14:paraId="0AF2A109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Постороннее несанкционированное вмешательство в ход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технологического процесса;</w:t>
            </w:r>
          </w:p>
          <w:p w14:paraId="19189117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Внешние воздействия природного и техногенного характера;</w:t>
            </w:r>
          </w:p>
          <w:p w14:paraId="5E82E962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Заводской брак технологического оборудования, применяемого на ОПО;</w:t>
            </w:r>
          </w:p>
          <w:p w14:paraId="5F40401F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Механические повреждения, применяемого на ОПО;</w:t>
            </w:r>
          </w:p>
          <w:p w14:paraId="3EE8D834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Террористические проявления;</w:t>
            </w:r>
          </w:p>
          <w:p w14:paraId="05BB0ECC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Повышение давление в технологическом оборудование, </w:t>
            </w:r>
          </w:p>
          <w:p w14:paraId="74335BA8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 xml:space="preserve">Воздействие природных факторов, </w:t>
            </w:r>
          </w:p>
          <w:p w14:paraId="71503B08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Коррозионный износ технологического оборудования, применяемого на ОПО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6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6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7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7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8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8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9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9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lastRenderedPageBreak/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40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40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1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1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2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2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3" w:name="_Ref291317699"/>
      <w:r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3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141863983"/>
      <w:bookmarkStart w:id="45" w:name="_Toc193084634"/>
      <w:bookmarkStart w:id="46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4"/>
      <w:bookmarkEnd w:id="45"/>
      <w:bookmarkEnd w:id="46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lastRenderedPageBreak/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9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7936"/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6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60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6C6FAB2" w14:textId="46CE8114" w:rsidR="00977DED" w:rsidRPr="00977DED" w:rsidRDefault="00977DED" w:rsidP="00D03BB7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Порядок обучения и проверка знаний работников </w:t>
      </w:r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{{ SHORT_NAME }}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проводится согласно положению ЕРБ 2250-2024 «Положение об организации обучения и проверки знания требований охраны труда, подготовке и аттестации по промышленной безопасности»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83EFFBC" w14:textId="7777777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Аттестация руководителей и специалистов структурных подразделений ПАО «Татнефть» проводится в совместной аттестационной комиссии, назначенной приказом «Об организации системы аттестации в области промышленной безопасности, по вопросам безопасности гидротехнических сооружений, безопасности в сфере электроэнергетики», №14/СовмПр от 26.12.2022 г. Аттестация проводится через ИЕ ЕПТ в ЧОУ ДПО «ЦПК-Татнефть». Подготовка руководителей и специалистов к аттестации проводится в режиме самоподготовки».</w:t>
      </w:r>
    </w:p>
    <w:p w14:paraId="147499DA" w14:textId="03E5AA5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 ПАО «Татнефть» им. В. Д. Шашина создана аттестационная комиссия по проверке у руководителей, специалистов и работников организаций, выполняющих работы или оказывающих услуги на объектах (территории) Группы «Татнефть», знаний норм и правил промышленной, энергетической безопасности и безопасности гидротехнических сооружений. Члены аттестационной комиссии ПАО «Татнефть» им. В. Д. Шашина проходят аттестацию в Центральной аттестационной комиссии.</w:t>
      </w:r>
    </w:p>
    <w:p w14:paraId="08B18FCA" w14:textId="77777777" w:rsidR="008E0AEE" w:rsidRDefault="008E0AEE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EE5E21F" w14:textId="77777777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lastRenderedPageBreak/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74207967" w14:textId="347C0873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Вводный инструктаж проводит Центра промышленной и экологической безопасности ЦОБ ПАО «Татнефть», по адресу г. Альметьевск пр. Тукая 33. Результаты проведения инструктажей оформляются записью в «Журнале регистрации вводного инструктажа». Кроме этого,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</w:t>
      </w:r>
      <w:r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.</w:t>
      </w:r>
    </w:p>
    <w:p w14:paraId="4DEDFDC9" w14:textId="1CF54700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</w:t>
      </w: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FE83FE2" w14:textId="352FBFF4" w:rsidR="00DE11F6" w:rsidRPr="00DE11F6" w:rsidRDefault="00DE11F6" w:rsidP="00DE11F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 ПАО «Татнефть» им. В.Д. Шашина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введён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в действие приказ №444/МНУ-Пр(0002) от 15.10.2019 г. «О политике в области промышленной безопасности, охраны труда и окружающей среды». Целью управления промышленной безопасностью в ПАО «Татнефть» им. В.Д. Шашина является обеспечение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защищённости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жизненно важных интересов личности и общества от аварий и ее последствий на опасных производственных объектах.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управление промышленными рисками;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контроль соблюдения технологической дисциплины;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2F856F33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Непосредственное руководство работой по осуществлению производственного контроля возлагается на заместителя генерального директора по промышленной безопасности, охране труда и экологии.</w:t>
      </w:r>
    </w:p>
    <w:p w14:paraId="2D07BF3C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осуществление производственного контроля в ПАО «Татнефть» им. В.Д. Шашина возлагается на управление промышленной, экологической безопасности и охраны труда.</w:t>
      </w:r>
    </w:p>
    <w:p w14:paraId="1D40341F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и осуществление производственного контроля в структурных подразделениях ПАО «Татнефть» им. В.Д. Шашина несут руководители, а также работники или службы производственного контроля, на которые возложены такие обязанности руководителем этого подразделения.</w:t>
      </w:r>
    </w:p>
    <w:p w14:paraId="431C3C23" w14:textId="71B33093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производственного контроля за соблюдением требований промышленной безопасности по бизнес-направлениям деятельности с учётом организационной структуры ПАО «Татнефть» им. В.Д. Шашина, профилей производств структурных подразделений ПАО «Татнефть» им. В.Д. Шашина, в соответствии с распределением обязанностей, несут заместители генерального директора ПАО «Татнефть» им. В.Д. Шашина, а в структурных подразделениях – заместители начальников управлений.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lastRenderedPageBreak/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Руководство по безопасности «Методические рекомендации по классификации аварийно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lastRenderedPageBreak/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6E673AC8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</w:t>
      </w:r>
      <w:r w:rsidR="006433D1">
        <w:rPr>
          <w:lang w:val="ru-RU"/>
        </w:rPr>
        <w:t>для</w:t>
      </w:r>
      <w:r w:rsidRPr="00C53AB6">
        <w:rPr>
          <w:lang w:val="ru-RU"/>
        </w:rPr>
        <w:t xml:space="preserve">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73E1FF80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r w:rsidR="00AD092F" w:rsidRPr="00435949">
        <w:rPr>
          <w:rFonts w:cs="Times New Roman"/>
          <w:sz w:val="24"/>
          <w:szCs w:val="24"/>
          <w:lang w:val="ru-RU" w:eastAsia="ru-RU"/>
        </w:rPr>
        <w:t>проведённых</w:t>
      </w:r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55122D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Объект экспертизы</w:t>
            </w:r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Наименование экспертной организации</w:t>
            </w: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«Кодяковская»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“НефтеГазСервис”»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(59)от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5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6"/>
    </w:p>
    <w:p w14:paraId="1B738C9D" w14:textId="77777777" w:rsidR="00464746" w:rsidRPr="00420A41" w:rsidRDefault="00464746" w:rsidP="0046474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7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8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9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0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6933857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Для проведения аварийно-спасательных и других неотложных работ по ликвидации последствий возможных аварий и чрезвычайных ситуаций природного и техногенного характера на декларируемом объекте согласно закону РФ «О промышленной безопасности опасных производственных объектов» № 116-ФЗ от 21.07.97г. (с изменениями на 11.06.2021 г.), распоряжением ПАО «Татнефть» №188/Расп(ТНД) от 19.12.2024 г. «О составе нештатного аварийно-спасательного формирования» укомплектовано объединённое нештатное формирование «Нештатное аварийно-спасательное формирование структурного подразделения «Татнефть-Добыча» ПАО «Татнефть» (свидетельство об аттестации на право ведения аварийно-спасательных работ №15343 от 28.02.24 г., регистрационный номер 16/2-2-538).</w:t>
      </w:r>
    </w:p>
    <w:p w14:paraId="78E523B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Готовность НАСФ в рабочее время – постоянная, вне рабочего времени – 1,5 - 2 часа. Оснащенность нештатных аварийно-спасательных формирований определяется исходя из норм оснащения, приведенных в приказе МЧС РФ от 18.12.2014 г. (c изменениями 05.10.2021г.) № 701 «Об утверждении типового порядка создания нештатных формирований по обеспечению выполнения мероприятий по гражданской обороне» , а также в соответствии с «Типовым табелем оснащения аварийно-спасательного формирования средствами индивидуальной защиты, специальным и вспомогательным оборудованием для ведения газоспасательных работ» (приложение Е «Методических рекомендаций по проведению проверки и определению возможностей профессиональных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аварийно-спасательных формирований при аттестации на право ведения газоспасательных работ»).</w:t>
      </w:r>
    </w:p>
    <w:p w14:paraId="09971F16" w14:textId="2D50B7E3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случае недостаточности сил для ликвидации ЧС на объектах ПАО «Татнефть» им. В.Д.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Шашина вводится в действие План совместных действий сил и средств МЧС Республики Татарстан по ликвидации чрезвычайной ситуации природного и техногенного характера, в соответствии с которым предусматривается привлечение территориальных аварийно-спасательных формирований ТСЧС Республики Татарстан.</w:t>
      </w:r>
    </w:p>
    <w:p w14:paraId="0590441F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Организацией противоаварийных сил и аварийно-спасательных служб занимается начальник штаба ГО и ЧС предприятия.</w:t>
      </w:r>
    </w:p>
    <w:p w14:paraId="0A92046D" w14:textId="357FB2F9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>В.Д. Шашина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заключены следующие договора с профессиональными АСФ на обслуживание опасных производственных объектов:</w:t>
      </w:r>
    </w:p>
    <w:p w14:paraId="1EC06EB1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0002/2022/28 от 02.01.2022 г. с Федеральным государственным автономным учреждением «Аварийно-спасательным формированием «Северо-Восточная противофонтанная военизированная часть» (ФГАУ «АСФ «СВПФВЧ») на выполнение комплекса работ по противофонтанному обслуживанию;</w:t>
      </w:r>
    </w:p>
    <w:p w14:paraId="57632C67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0009-2024-2336 от 24.05.2024 г. с Профессиональным аварийно-спасательным формированием (ПАСФ) ООО «РегионСпас».</w:t>
      </w:r>
    </w:p>
    <w:p w14:paraId="12AB5CC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ПАО «Татнефть» им. В. Д. Шашина заключен договор на выполнение работ по тушению пожаров и проведение АСР, связанные с тушением пожаров:</w:t>
      </w:r>
    </w:p>
    <w:p w14:paraId="0A0A7D65" w14:textId="77777777" w:rsidR="00F32475" w:rsidRPr="00A275C7" w:rsidRDefault="00F32475" w:rsidP="00F32475">
      <w:pPr>
        <w:spacing w:after="0" w:line="360" w:lineRule="auto"/>
        <w:ind w:firstLine="680"/>
        <w:jc w:val="both"/>
        <w:rPr>
          <w:rFonts w:cs="Times New Roman"/>
          <w:color w:val="000000" w:themeColor="text1"/>
          <w:sz w:val="24"/>
          <w:szCs w:val="24"/>
          <w:lang w:val="ru-RU"/>
        </w:rPr>
      </w:pPr>
      <w:r w:rsidRPr="000F122D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- договор № 0002/2025/7210 от 25.12.2025 с отрядом ФПС ГПС- Альметьевского филиала ФГБУ «Управление ДП ФПС ГПС по РТ» на выполнение работ и оказание услуг в области пожарной безопасности.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1"/>
    </w:p>
    <w:p w14:paraId="6E3481A4" w14:textId="77777777" w:rsidR="00636354" w:rsidRPr="00420A41" w:rsidRDefault="00636354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22240F68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соответствии с федеральным законом №68-ФЗ от 21.12.94г. «О защите населения и территорий от ЧС природного и техногенного характера» (с изменениями), №28-ФЗ от 12.02.1998г. «О гражданской обороне» (с изменениями), Постановлением Правительства РФ «Об утверждении правил создания, использования и восполнения резервов материальных ресурсов федеральных органов исполнительной власти для ликвидации чрезвычайных ситуаций природного и техногенного характера» от 25.07.2020 г. №1119, №379 «О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накоплении, хранении и использовании в целях гражданской обороны запасов материально-технических, продовольственных, медицинских и иных средств» (с изменениями), постановлением Кабинета Министров Республики Татарстан от 11.07.2008г. №488 «О создании резервов материальных ресурсов для ликвидации чрезвычайных ситуаций природного и техногенного характера» (с изменениями) в ПАО «Татнефть» издан приказ №244/МНУ-Пр(0002) от 04.08.2023 г. «Об утверждении и введении в действие ЕРБ 2465-2023 «Положение о создании, содержании, использовании и восполнении резервов материальных и финансовых ресурсов для ликвидации чрезвычайных ситуаций природного и техногенного характера и целей гражданской обороны в ПАО «Татнефть».</w:t>
      </w:r>
    </w:p>
    <w:p w14:paraId="5C6FD34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Резерв материальных ресурсов для ликвидации чрезвычайных ситуаций создан, исходя из прогнозируемых видов и масштабов чрезвычайных ситуаций, предполагаемого объема работ по их ликвидации, а также максимально возможного использования имеющихся сил и средств для ликвидации чрезвычайных ситуаций. Резерв материальных ресурсов используются при проведении аварийно-спасательных и других неотложных работ по устранению непосредственной опасности для жизни и здоровья людей, оказания им единовременной материальной помощи и других первоочередных мероприятий, связанных обеспечением жизнедеятельности пострадавших, резервы размещены на объектах, откуда возможна их оперативная доставка в зоны ЧС и без специального разрешения не используются.</w:t>
      </w:r>
    </w:p>
    <w:p w14:paraId="490879F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Указанные средства хранятся на складах предприятия и без специального разрешения не используются.</w:t>
      </w:r>
    </w:p>
    <w:p w14:paraId="653B132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Номенклатура и объемы создаваемых резервов согласовываются с начальником сектора по ГО, ЧС и ВМР, отдела по комплексной безопасности, ГО и ЧС, управления экономической безопасности, защиты информации, гражданской обороны и чрезвычайных ситуаций исполнительного аппарата ПАО «Татнефть».</w:t>
      </w:r>
    </w:p>
    <w:p w14:paraId="2659A724" w14:textId="03AFED3B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Для финансирования непредвиденных расходов на ликвидацию чрезвычайных ситуаций обеспечен неснижаемый резерв финансовых ресурсов в размере 15 000 000 рублей (пятнадцать миллионов рублей) на расчётном счёте ПАО «Татнефть» им. В.Д. Шашина. 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2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3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3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4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4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5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6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6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7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80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0BB99E8C" w14:textId="77777777" w:rsidR="00B16C41" w:rsidRPr="0056693F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</w:p>
    <w:p w14:paraId="6B040ABE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1. Физико-химические свойства нефти и попутных сред</w:t>
      </w:r>
    </w:p>
    <w:p w14:paraId="151D0978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состав и плотность нефти, содержание и состав нефти;</w:t>
      </w:r>
    </w:p>
    <w:p w14:paraId="1601108C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температура застывания и вязкость;</w:t>
      </w:r>
    </w:p>
    <w:p w14:paraId="41E4771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активность;</w:t>
      </w:r>
    </w:p>
    <w:p w14:paraId="74B8A77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склонность к образованию парафиновых, смолистых и пирофорных отложений;</w:t>
      </w:r>
    </w:p>
    <w:p w14:paraId="6AFD1D00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газонасыщенность, давление насыщения.</w:t>
      </w:r>
    </w:p>
    <w:p w14:paraId="0B4E7F9D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2. Технологические параметры на ОПО</w:t>
      </w:r>
    </w:p>
    <w:p w14:paraId="5D82723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давление и температура в линии (включая перепады и режимы запуска/остановки);</w:t>
      </w:r>
    </w:p>
    <w:p w14:paraId="7063989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скорость потока и её влияние на гидравлические удары и эрозию;</w:t>
      </w:r>
    </w:p>
    <w:p w14:paraId="37E0D98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4806DF3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работа систем подогрева нефти/эмульсий перед аппаратами подготовки.</w:t>
      </w:r>
    </w:p>
    <w:p w14:paraId="4AAD6D5C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3. Состояние технологического оборудования</w:t>
      </w:r>
    </w:p>
    <w:p w14:paraId="7A49475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коррозия (внутренняя и внешняя), эрозионный износ, дефекты сварных стыков;</w:t>
      </w:r>
    </w:p>
    <w:p w14:paraId="684314DF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запорной и предохранительной арматуры;</w:t>
      </w:r>
    </w:p>
    <w:p w14:paraId="70848C7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ремонта;</w:t>
      </w:r>
    </w:p>
    <w:p w14:paraId="280CDEA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качество диагностики (дефектоскопия, внутритрубные обследования;</w:t>
      </w:r>
    </w:p>
    <w:p w14:paraId="10C6CCF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функционирование КИПиА.</w:t>
      </w:r>
    </w:p>
    <w:p w14:paraId="35B10155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4. Человеческий фактор</w:t>
      </w:r>
    </w:p>
    <w:p w14:paraId="628CF42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квалификация персонала;</w:t>
      </w:r>
    </w:p>
    <w:p w14:paraId="547FEABD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ошибки при переключениях, выводе оборудования в ремонт, пусках и остановах;</w:t>
      </w:r>
    </w:p>
    <w:p w14:paraId="4A5D3BB0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нарушения регламентов и обход процедур;</w:t>
      </w:r>
    </w:p>
    <w:p w14:paraId="75C79F68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усталость отсутствием сменности, стрессы, высокая нагрузка;</w:t>
      </w:r>
    </w:p>
    <w:p w14:paraId="063B5C2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недостаточная информированность о рисках и опасностях на ОПО.</w:t>
      </w:r>
    </w:p>
    <w:p w14:paraId="2E4A47DD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5. Организационные факторы</w:t>
      </w:r>
    </w:p>
    <w:p w14:paraId="72B3B60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несоответствие или устаревание производственных инструкций;</w:t>
      </w:r>
    </w:p>
    <w:p w14:paraId="735A6AED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недостаточный производственный контроль состояния оборудования;</w:t>
      </w:r>
    </w:p>
    <w:p w14:paraId="6EC4FE3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нехватка оперативных ремонтных ресурсов и материалов;</w:t>
      </w:r>
    </w:p>
    <w:p w14:paraId="165917B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пробелы в аттестации, тренингах и подготовке персонала;</w:t>
      </w:r>
    </w:p>
    <w:p w14:paraId="72EE8C1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lastRenderedPageBreak/>
        <w:t>отсутствие культуры безопасности или слабая её поддержка.</w:t>
      </w:r>
    </w:p>
    <w:p w14:paraId="4480F6F7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6. Состояние систем промышленной безопасности</w:t>
      </w:r>
    </w:p>
    <w:p w14:paraId="228F4CF4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систем сигнализации аварийных параметров (давление, расход, температура);</w:t>
      </w:r>
    </w:p>
    <w:p w14:paraId="6E8803B4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срабатывания ПАЗ (противоаварийной защиты);</w:t>
      </w:r>
    </w:p>
    <w:p w14:paraId="7303132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готовность систем локализации разливов нефти;</w:t>
      </w:r>
    </w:p>
    <w:p w14:paraId="5802249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надежность резервного электропитания насосных и автоматизированных узлов.</w:t>
      </w:r>
    </w:p>
    <w:p w14:paraId="6541BC72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7. Факторы внешней среды</w:t>
      </w:r>
    </w:p>
    <w:p w14:paraId="25E73F3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F0"/>
          <w:lang w:val="ru-RU"/>
        </w:rPr>
      </w:pPr>
      <w:r w:rsidRPr="0056693F">
        <w:rPr>
          <w:rFonts w:cs="Times New Roman"/>
          <w:color w:val="00B0F0"/>
          <w:lang w:val="ru-RU"/>
        </w:rPr>
        <w:t>воздействие низких температур → риск замерзания нефтеводяных эмульсий;</w:t>
      </w:r>
    </w:p>
    <w:p w14:paraId="3371576F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промерзание, вспучивание, осадка фундаментов, подвижка грунтов;</w:t>
      </w:r>
    </w:p>
    <w:p w14:paraId="1E33FC1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 грунтов, блуждающие токи — важно для подземных участков коммуникаций;</w:t>
      </w:r>
    </w:p>
    <w:p w14:paraId="4B5BC69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ADF6C5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сейсмическая активность;</w:t>
      </w:r>
    </w:p>
    <w:p w14:paraId="084B663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умышленные действия (диверсия, вандализм).</w:t>
      </w:r>
    </w:p>
    <w:p w14:paraId="4F9D69C7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8. Планировочные и компоновочные решения:</w:t>
      </w:r>
    </w:p>
    <w:p w14:paraId="64EFE5A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соблюдение нормируемых расстояний по промысленной и пожарной безопасности;</w:t>
      </w:r>
    </w:p>
    <w:p w14:paraId="624A7396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компоновка площадок с учётом безопасной эвакуации, удобства обслуживания, минимизации риска переполнений и разливов;</w:t>
      </w:r>
    </w:p>
    <w:p w14:paraId="5D41309C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размещение насосов и сепараторов для минимизации гидравлических сопротивлений и кавитационных рисков;</w:t>
      </w:r>
    </w:p>
    <w:p w14:paraId="28F2B8D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F0"/>
          <w:sz w:val="24"/>
          <w:szCs w:val="24"/>
          <w:lang w:val="ru-RU"/>
        </w:rPr>
      </w:pPr>
      <w:r w:rsidRPr="0056693F">
        <w:rPr>
          <w:color w:val="00B0F0"/>
          <w:lang w:val="ru-RU"/>
        </w:rPr>
        <w:t>выбор материалов и толщины стенки труб и оборудования.</w:t>
      </w:r>
    </w:p>
    <w:p w14:paraId="35E59DB5" w14:textId="7A14D198" w:rsidR="00577311" w:rsidRPr="00FC7522" w:rsidRDefault="0057731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1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5A90C68A" w14:textId="77777777" w:rsidR="00B16C41" w:rsidRPr="005E4F24" w:rsidRDefault="00B16C41" w:rsidP="00B16C41">
      <w:pPr>
        <w:rPr>
          <w:color w:val="00B0F0"/>
          <w:lang w:val="ru-RU" w:eastAsia="ru-RU"/>
        </w:rPr>
      </w:pPr>
    </w:p>
    <w:p w14:paraId="7F1D7512" w14:textId="77777777" w:rsidR="00B16C41" w:rsidRPr="005E4F24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1. Повышение надежности оборудования </w:t>
      </w:r>
    </w:p>
    <w:p w14:paraId="282124A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дефектоскопия оборудования и трубопроводов;</w:t>
      </w:r>
    </w:p>
    <w:p w14:paraId="1A890BD8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коррозии и выявление аварийных участков/оборудования;</w:t>
      </w:r>
    </w:p>
    <w:p w14:paraId="16980EC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своевременная замена изношенных участков, арматуры и уплотнений;</w:t>
      </w:r>
    </w:p>
    <w:p w14:paraId="627B895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>
        <w:rPr>
          <w:color w:val="00B0F0"/>
          <w:lang w:val="ru-RU"/>
        </w:rPr>
        <w:t>наличие</w:t>
      </w:r>
      <w:r w:rsidRPr="005E4F24">
        <w:rPr>
          <w:color w:val="00B0F0"/>
          <w:lang w:val="ru-RU"/>
        </w:rPr>
        <w:t xml:space="preserve"> систем автоматизации </w:t>
      </w:r>
      <w:r>
        <w:rPr>
          <w:color w:val="00B0F0"/>
          <w:lang w:val="ru-RU"/>
        </w:rPr>
        <w:t>технологического процесса</w:t>
      </w:r>
      <w:r w:rsidRPr="005E4F24">
        <w:rPr>
          <w:color w:val="00B0F0"/>
          <w:lang w:val="ru-RU"/>
        </w:rPr>
        <w:t>.</w:t>
      </w:r>
    </w:p>
    <w:p w14:paraId="3850860E" w14:textId="77777777" w:rsidR="00B16C41" w:rsidRPr="005E4F24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2. Оптимизация технологических режимов</w:t>
      </w:r>
    </w:p>
    <w:p w14:paraId="04338A73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поддержание давления и температуры в безопасных диапазонах;</w:t>
      </w:r>
    </w:p>
    <w:p w14:paraId="48531C9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режимов, вызывающих гидравлические удары и эрозию;</w:t>
      </w:r>
    </w:p>
    <w:p w14:paraId="377BC8C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регулярный контроль параметров технологического процесса;</w:t>
      </w:r>
    </w:p>
    <w:p w14:paraId="22D18B67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корректировка режимов работы с учётом сезонных температур и свойств нефти.</w:t>
      </w:r>
    </w:p>
    <w:p w14:paraId="5BDDA87C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3. Системы автоматизации и противоаварийной защиты</w:t>
      </w:r>
    </w:p>
    <w:p w14:paraId="6195947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исправность и периодические испытания системы ПАЗ;</w:t>
      </w:r>
    </w:p>
    <w:p w14:paraId="426E210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автоматическое отключение при аварийных параметрах;</w:t>
      </w:r>
    </w:p>
    <w:p w14:paraId="15F6DEE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герметичности: системы обнаружения утечек, обходы оборудования ОПО.</w:t>
      </w:r>
    </w:p>
    <w:p w14:paraId="3AD2A621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4. Меры по предотвращению и снижению коррозионного износа</w:t>
      </w:r>
    </w:p>
    <w:p w14:paraId="3E3C01C7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ингибирование коррозии в трубопроводах;</w:t>
      </w:r>
    </w:p>
    <w:p w14:paraId="1F1CF534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применение антикоррозионных покрытий и контроль их состояния;</w:t>
      </w:r>
    </w:p>
    <w:p w14:paraId="34F7916D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блуждающих токов;</w:t>
      </w:r>
    </w:p>
    <w:p w14:paraId="1892CBA8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удаление воды и солей, оптимизация режима обезвоживания/обессоливания.</w:t>
      </w:r>
    </w:p>
    <w:p w14:paraId="529BA354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5. Прописной режим</w:t>
      </w:r>
    </w:p>
    <w:p w14:paraId="37D5A94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закрытая территория;</w:t>
      </w:r>
    </w:p>
    <w:p w14:paraId="1ACCDC5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охраны периметра;</w:t>
      </w:r>
    </w:p>
    <w:p w14:paraId="402EE37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допуска на объект;</w:t>
      </w:r>
    </w:p>
    <w:p w14:paraId="61D9BDA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сторонних работ в охранной зоне.</w:t>
      </w:r>
    </w:p>
    <w:p w14:paraId="794D6C95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6. Минимизация влияния внешней среды</w:t>
      </w:r>
    </w:p>
    <w:p w14:paraId="2A4B83D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замерзания;</w:t>
      </w:r>
    </w:p>
    <w:p w14:paraId="2E0CD42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паводков, оползней, сезонных подвижек грунта;</w:t>
      </w:r>
    </w:p>
    <w:p w14:paraId="3D338CD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учёт сейсмических рисков в конструкции и эксплуатации;</w:t>
      </w:r>
    </w:p>
    <w:p w14:paraId="7DB02365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молниезащита и защита от статического электричества.</w:t>
      </w:r>
    </w:p>
    <w:p w14:paraId="694AD878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7. Организационные и управленческие меры</w:t>
      </w:r>
    </w:p>
    <w:p w14:paraId="775F5A5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актуализация технологических регламентов и инструкций;</w:t>
      </w:r>
    </w:p>
    <w:p w14:paraId="2018D6C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строгий производственный контроль;</w:t>
      </w:r>
    </w:p>
    <w:p w14:paraId="73F3715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систематическая работа по культуре безопасности (обратная связь, разборы, обучение);</w:t>
      </w:r>
    </w:p>
    <w:p w14:paraId="5D51196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анализ и устранение причин аварий и отказов.</w:t>
      </w:r>
    </w:p>
    <w:p w14:paraId="0B47B6B9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8. Повышение квалификации и дисциплины персонала</w:t>
      </w:r>
    </w:p>
    <w:p w14:paraId="59397CD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аттестация и обучение;</w:t>
      </w:r>
    </w:p>
    <w:p w14:paraId="0D76652D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практические тренировки действий при авариях;</w:t>
      </w:r>
    </w:p>
    <w:p w14:paraId="12141D8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отработка сценариев аварийных ситуаций;</w:t>
      </w:r>
    </w:p>
    <w:p w14:paraId="28BCB38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контроль соблюдения инструкций и недопущение опасных действий.</w:t>
      </w:r>
    </w:p>
    <w:p w14:paraId="6A3F4D4D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b/>
          <w:bCs/>
          <w:color w:val="00B0F0"/>
          <w:lang w:val="ru-RU"/>
        </w:rPr>
      </w:pPr>
      <w:r w:rsidRPr="005E4F24">
        <w:rPr>
          <w:color w:val="00B0F0"/>
          <w:lang w:val="ru-RU"/>
        </w:rPr>
        <w:t>9. Готовность к локализации и ликвидации аварий</w:t>
      </w:r>
    </w:p>
    <w:p w14:paraId="19858354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и готовность средств локализации разливов нефти;</w:t>
      </w:r>
    </w:p>
    <w:p w14:paraId="320BE6C3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обеспеченность сорбентами, бонами, средствами заглушения;</w:t>
      </w:r>
    </w:p>
    <w:p w14:paraId="0DA097F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отработанные связи с подразделениями МЧС, аварийно-спасательными формированиями.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2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3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4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4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0AD219" w14:textId="77777777" w:rsidR="000F1B66" w:rsidRDefault="000F1B66" w:rsidP="001570AC">
      <w:pPr>
        <w:spacing w:after="0" w:line="240" w:lineRule="auto"/>
      </w:pPr>
      <w:r>
        <w:separator/>
      </w:r>
    </w:p>
  </w:endnote>
  <w:endnote w:type="continuationSeparator" w:id="0">
    <w:p w14:paraId="7986BB83" w14:textId="77777777" w:rsidR="000F1B66" w:rsidRDefault="000F1B66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6C0F0F" w14:textId="77777777" w:rsidR="000F1B66" w:rsidRDefault="000F1B66" w:rsidP="001570AC">
      <w:pPr>
        <w:spacing w:after="0" w:line="240" w:lineRule="auto"/>
      </w:pPr>
      <w:r>
        <w:separator/>
      </w:r>
    </w:p>
  </w:footnote>
  <w:footnote w:type="continuationSeparator" w:id="0">
    <w:p w14:paraId="7FD02914" w14:textId="77777777" w:rsidR="000F1B66" w:rsidRDefault="000F1B66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D1B97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DA01BE4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4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5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5"/>
  </w:num>
  <w:num w:numId="10" w16cid:durableId="510993585">
    <w:abstractNumId w:val="10"/>
  </w:num>
  <w:num w:numId="11" w16cid:durableId="1214536931">
    <w:abstractNumId w:val="14"/>
  </w:num>
  <w:num w:numId="12" w16cid:durableId="2141875876">
    <w:abstractNumId w:val="13"/>
  </w:num>
  <w:num w:numId="13" w16cid:durableId="98571480">
    <w:abstractNumId w:val="6"/>
  </w:num>
  <w:num w:numId="14" w16cid:durableId="540868685">
    <w:abstractNumId w:val="12"/>
  </w:num>
  <w:num w:numId="15" w16cid:durableId="1881084507">
    <w:abstractNumId w:val="11"/>
  </w:num>
  <w:num w:numId="16" w16cid:durableId="1899707719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30B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0F1B66"/>
    <w:rsid w:val="00100DE8"/>
    <w:rsid w:val="00111EC3"/>
    <w:rsid w:val="0011499A"/>
    <w:rsid w:val="0011544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C6D06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16D5F"/>
    <w:rsid w:val="00320CB7"/>
    <w:rsid w:val="0032301B"/>
    <w:rsid w:val="00326F90"/>
    <w:rsid w:val="00336999"/>
    <w:rsid w:val="00340D15"/>
    <w:rsid w:val="00344AFB"/>
    <w:rsid w:val="00344FA9"/>
    <w:rsid w:val="003453C2"/>
    <w:rsid w:val="00354A09"/>
    <w:rsid w:val="00355666"/>
    <w:rsid w:val="003764D2"/>
    <w:rsid w:val="00383FE4"/>
    <w:rsid w:val="00395DF3"/>
    <w:rsid w:val="003A3C72"/>
    <w:rsid w:val="003A3CE1"/>
    <w:rsid w:val="003A669A"/>
    <w:rsid w:val="003B4473"/>
    <w:rsid w:val="003B7D5E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0A41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122D"/>
    <w:rsid w:val="00552EA5"/>
    <w:rsid w:val="0056090F"/>
    <w:rsid w:val="00560B07"/>
    <w:rsid w:val="00564CED"/>
    <w:rsid w:val="00565A47"/>
    <w:rsid w:val="00571230"/>
    <w:rsid w:val="00577311"/>
    <w:rsid w:val="005857B8"/>
    <w:rsid w:val="00591860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E714B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33D1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64B8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6F3"/>
    <w:rsid w:val="00883F0C"/>
    <w:rsid w:val="00886719"/>
    <w:rsid w:val="00896323"/>
    <w:rsid w:val="008B0AF5"/>
    <w:rsid w:val="008B1BFF"/>
    <w:rsid w:val="008B47F2"/>
    <w:rsid w:val="008B4BA4"/>
    <w:rsid w:val="008C0997"/>
    <w:rsid w:val="008C55F9"/>
    <w:rsid w:val="008C754D"/>
    <w:rsid w:val="008D0304"/>
    <w:rsid w:val="008D34F5"/>
    <w:rsid w:val="008D695B"/>
    <w:rsid w:val="008E0AEE"/>
    <w:rsid w:val="008E0E4B"/>
    <w:rsid w:val="008E58CE"/>
    <w:rsid w:val="008F1D02"/>
    <w:rsid w:val="008F4458"/>
    <w:rsid w:val="009034EF"/>
    <w:rsid w:val="009204BD"/>
    <w:rsid w:val="00923AC0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77DED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29F"/>
    <w:rsid w:val="009F0ACB"/>
    <w:rsid w:val="00A06267"/>
    <w:rsid w:val="00A10DB7"/>
    <w:rsid w:val="00A11A31"/>
    <w:rsid w:val="00A13D05"/>
    <w:rsid w:val="00A22E02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092F"/>
    <w:rsid w:val="00AD18BA"/>
    <w:rsid w:val="00AD3CC4"/>
    <w:rsid w:val="00AD52B5"/>
    <w:rsid w:val="00AD591D"/>
    <w:rsid w:val="00B123A0"/>
    <w:rsid w:val="00B131A8"/>
    <w:rsid w:val="00B16C41"/>
    <w:rsid w:val="00B208B4"/>
    <w:rsid w:val="00B2264F"/>
    <w:rsid w:val="00B23712"/>
    <w:rsid w:val="00B23A2B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E65F6"/>
    <w:rsid w:val="00BF3831"/>
    <w:rsid w:val="00BF53B5"/>
    <w:rsid w:val="00C06679"/>
    <w:rsid w:val="00C113DA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11F6"/>
    <w:rsid w:val="00DE30C0"/>
    <w:rsid w:val="00E044F0"/>
    <w:rsid w:val="00E22548"/>
    <w:rsid w:val="00E35AF9"/>
    <w:rsid w:val="00E36AEC"/>
    <w:rsid w:val="00E378FF"/>
    <w:rsid w:val="00E42521"/>
    <w:rsid w:val="00E43AB4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2475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822"/>
    <w:rsid w:val="00F97E21"/>
    <w:rsid w:val="00FA1B2D"/>
    <w:rsid w:val="00FA66C4"/>
    <w:rsid w:val="00FA728C"/>
    <w:rsid w:val="00FB60C6"/>
    <w:rsid w:val="00FB7C0F"/>
    <w:rsid w:val="00FC1739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1614</TotalTime>
  <Pages>41</Pages>
  <Words>10382</Words>
  <Characters>59184</Characters>
  <Application>Microsoft Office Word</Application>
  <DocSecurity>0</DocSecurity>
  <Lines>493</Lines>
  <Paragraphs>138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321</cp:revision>
  <dcterms:created xsi:type="dcterms:W3CDTF">2013-12-23T23:15:00Z</dcterms:created>
  <dcterms:modified xsi:type="dcterms:W3CDTF">2026-03-13T13:16:00Z</dcterms:modified>
  <cp:category/>
</cp:coreProperties>
</file>