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bCs/>
          <w:spacing w:val="0"/>
          <w:sz w:val="26"/>
          <w:szCs w:val="26"/>
          <w:highlight w:val="yellow"/>
          <w:lang w:val="en-US"/>
        </w:rPr>
        <w:t>{{ HEAD_POSITION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sz w:val="26"/>
          <w:szCs w:val="26"/>
          <w:highlight w:val="yellow"/>
          <w:lang w:val="en-US"/>
        </w:rPr>
        <w:t>{{ SHORT_NAME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r w:rsidRPr="007F2449">
        <w:rPr>
          <w:sz w:val="26"/>
          <w:szCs w:val="26"/>
          <w:highlight w:val="yellow"/>
        </w:rPr>
        <w:t>{{ HEAD_SHORT_NAME }}</w:t>
      </w:r>
    </w:p>
    <w:p w14:paraId="765EBB10" w14:textId="45D54E6B" w:rsidR="0030763D" w:rsidRPr="00B95266" w:rsidRDefault="0030763D" w:rsidP="0030763D">
      <w:pPr>
        <w:spacing w:after="0" w:line="240" w:lineRule="auto"/>
        <w:ind w:left="5387" w:right="-289"/>
        <w:rPr>
          <w:sz w:val="26"/>
          <w:szCs w:val="26"/>
          <w:lang w:val="ru-RU"/>
        </w:rPr>
      </w:pPr>
      <w:r w:rsidRPr="00B95266">
        <w:rPr>
          <w:sz w:val="26"/>
          <w:szCs w:val="26"/>
          <w:lang w:val="ru-RU"/>
        </w:rPr>
        <w:t xml:space="preserve">« ___ » ___________ </w:t>
      </w:r>
      <w:r w:rsidRPr="00B95266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B95266">
        <w:rPr>
          <w:rFonts w:eastAsia="Times New Roman" w:cs="Times New Roman"/>
          <w:sz w:val="26"/>
          <w:szCs w:val="26"/>
          <w:highlight w:val="yellow"/>
          <w:lang w:val="ru-RU"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B95266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 }}</w:t>
      </w:r>
      <w:r w:rsidRPr="00B95266">
        <w:rPr>
          <w:sz w:val="26"/>
          <w:szCs w:val="26"/>
          <w:lang w:val="ru-RU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B95266">
        <w:rPr>
          <w:sz w:val="26"/>
          <w:szCs w:val="26"/>
          <w:lang w:val="ru-RU"/>
        </w:rPr>
        <w:t>.</w:t>
      </w:r>
    </w:p>
    <w:p w14:paraId="28DCDBE9" w14:textId="77777777" w:rsidR="007F085F" w:rsidRPr="00B95266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B95266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B95266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B95266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591860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591860">
        <w:rPr>
          <w:rFonts w:cs="Times New Roman"/>
          <w:bCs/>
          <w:i/>
          <w:iCs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440E13E0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 xml:space="preserve">Наименование организации: </w:t>
      </w:r>
      <w:r w:rsidR="00591860" w:rsidRPr="00591860">
        <w:rPr>
          <w:rFonts w:cs="Times New Roman"/>
          <w:bCs/>
          <w:sz w:val="24"/>
          <w:szCs w:val="24"/>
          <w:lang w:val="ru-RU"/>
        </w:rPr>
        <w:t>ИП Кузнецов К.М. (ОГРНИП 318169000061131)</w:t>
      </w:r>
    </w:p>
    <w:p w14:paraId="07D69B86" w14:textId="14E8DF89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bCs/>
          <w:lang w:val="ru-RU"/>
        </w:rPr>
        <w:t xml:space="preserve">Адрес: </w:t>
      </w:r>
      <w:r w:rsidR="00591860" w:rsidRPr="00591860">
        <w:rPr>
          <w:rFonts w:cs="Times New Roman"/>
          <w:bCs/>
          <w:sz w:val="24"/>
          <w:szCs w:val="24"/>
          <w:lang w:val="ru-RU"/>
        </w:rPr>
        <w:t>421001, РТ, г. Казань, ул. Чистопольская д. 75</w:t>
      </w:r>
    </w:p>
    <w:p w14:paraId="53C9D47D" w14:textId="19CA9CFD" w:rsidR="00DC4D77" w:rsidRPr="000230B4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Телефон: +7-917-</w:t>
      </w:r>
      <w:r w:rsidR="00591860" w:rsidRPr="00591860">
        <w:rPr>
          <w:rFonts w:cs="Times New Roman"/>
          <w:bCs/>
          <w:sz w:val="24"/>
          <w:szCs w:val="24"/>
          <w:lang w:val="ru-RU"/>
        </w:rPr>
        <w:t>265</w:t>
      </w:r>
      <w:r w:rsidRPr="00591860">
        <w:rPr>
          <w:rFonts w:cs="Times New Roman"/>
          <w:bCs/>
          <w:sz w:val="24"/>
          <w:szCs w:val="24"/>
          <w:lang w:val="ru-RU"/>
        </w:rPr>
        <w:t>-</w:t>
      </w:r>
      <w:r w:rsidR="00591860" w:rsidRPr="00591860">
        <w:rPr>
          <w:rFonts w:cs="Times New Roman"/>
          <w:bCs/>
          <w:sz w:val="24"/>
          <w:szCs w:val="24"/>
          <w:lang w:val="ru-RU"/>
        </w:rPr>
        <w:t>60</w:t>
      </w:r>
      <w:r w:rsidRPr="00591860">
        <w:rPr>
          <w:rFonts w:cs="Times New Roman"/>
          <w:bCs/>
          <w:sz w:val="24"/>
          <w:szCs w:val="24"/>
          <w:lang w:val="ru-RU"/>
        </w:rPr>
        <w:t>-</w:t>
      </w:r>
      <w:r w:rsidR="00591860" w:rsidRPr="000230B4">
        <w:rPr>
          <w:rFonts w:cs="Times New Roman"/>
          <w:bCs/>
          <w:sz w:val="24"/>
          <w:szCs w:val="24"/>
          <w:lang w:val="ru-RU"/>
        </w:rPr>
        <w:t>91</w:t>
      </w:r>
    </w:p>
    <w:p w14:paraId="53E09525" w14:textId="46C82F24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 xml:space="preserve">email: </w:t>
      </w:r>
      <w:r w:rsidR="00591860" w:rsidRPr="00591860">
        <w:rPr>
          <w:rFonts w:cs="Times New Roman"/>
          <w:bCs/>
          <w:sz w:val="24"/>
          <w:szCs w:val="24"/>
          <w:lang w:val="ru-RU"/>
        </w:rPr>
        <w:t>kuznetsovkm@yandex.ru</w:t>
      </w:r>
    </w:p>
    <w:p w14:paraId="0681E5D6" w14:textId="3D486410" w:rsidR="00DC4D77" w:rsidRPr="00591860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591860">
        <w:rPr>
          <w:rFonts w:cs="Times New Roman"/>
          <w:bCs/>
          <w:i/>
          <w:iCs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5DF30E2C" w:rsidR="00DC4D77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Кузнецов Константин Михайлович</w:t>
      </w:r>
      <w:r w:rsidR="00E55155" w:rsidRPr="00591860">
        <w:rPr>
          <w:rFonts w:cs="Times New Roman"/>
          <w:bCs/>
          <w:sz w:val="24"/>
          <w:szCs w:val="24"/>
          <w:lang w:val="ru-RU"/>
        </w:rPr>
        <w:t xml:space="preserve">, </w:t>
      </w:r>
      <w:r>
        <w:rPr>
          <w:rFonts w:cs="Times New Roman"/>
          <w:bCs/>
          <w:sz w:val="24"/>
          <w:szCs w:val="24"/>
          <w:lang w:val="ru-RU"/>
        </w:rPr>
        <w:t>р</w:t>
      </w:r>
      <w:r w:rsidRPr="00591860">
        <w:rPr>
          <w:rFonts w:cs="Times New Roman"/>
          <w:bCs/>
          <w:sz w:val="24"/>
          <w:szCs w:val="24"/>
          <w:lang w:val="ru-RU"/>
        </w:rPr>
        <w:t>уководитель группы разработки ИП Кузнецов К.М., эксперт в области промышленной безопасности Э4Д, Э4ОБ, Э4ТП</w:t>
      </w:r>
    </w:p>
    <w:p w14:paraId="1DEBABF0" w14:textId="5899F34F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Чистов Юрий Сергеевич, к.т.н., доцент кафедры «Системотехники» КНИТУ</w:t>
      </w:r>
      <w:r>
        <w:rPr>
          <w:rFonts w:cs="Times New Roman"/>
          <w:bCs/>
          <w:sz w:val="24"/>
          <w:szCs w:val="24"/>
          <w:lang w:val="ru-RU"/>
        </w:rPr>
        <w:t>, ведущий инженер</w:t>
      </w:r>
      <w:r w:rsidRPr="00591860">
        <w:rPr>
          <w:rFonts w:cs="Times New Roman"/>
          <w:bCs/>
          <w:sz w:val="24"/>
          <w:szCs w:val="24"/>
          <w:lang w:val="ru-RU"/>
        </w:rPr>
        <w:t xml:space="preserve"> группы разработки ИП Кузнецов К.М.</w:t>
      </w:r>
    </w:p>
    <w:p w14:paraId="4106A554" w14:textId="62F77BCC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Кузнецова Элина Эдуардовна</w:t>
      </w:r>
      <w:r>
        <w:rPr>
          <w:rFonts w:cs="Times New Roman"/>
          <w:bCs/>
          <w:sz w:val="24"/>
          <w:szCs w:val="24"/>
          <w:lang w:val="ru-RU"/>
        </w:rPr>
        <w:t>, инженер</w:t>
      </w:r>
      <w:r w:rsidRPr="00591860">
        <w:rPr>
          <w:rFonts w:cs="Times New Roman"/>
          <w:bCs/>
          <w:sz w:val="24"/>
          <w:szCs w:val="24"/>
          <w:lang w:val="ru-RU"/>
        </w:rPr>
        <w:t xml:space="preserve"> группы разработки ИП Кузнецов К.М.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 организации</w:t>
      </w:r>
      <w:bookmarkEnd w:id="2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Pr="00FC1739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78961348" w:rsidR="00D67298" w:rsidRPr="00FC1739" w:rsidRDefault="00FC1739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FC1739">
        <w:rPr>
          <w:rFonts w:cs="Times New Roman"/>
          <w:sz w:val="24"/>
          <w:szCs w:val="24"/>
          <w:lang w:val="ru-RU"/>
        </w:rPr>
        <w:t>Вышестоящей организации нет</w:t>
      </w:r>
      <w:r w:rsidR="006609F6" w:rsidRPr="00FC1739">
        <w:rPr>
          <w:rFonts w:cs="Times New Roman"/>
          <w:sz w:val="24"/>
          <w:szCs w:val="24"/>
          <w:lang w:val="ru-RU"/>
        </w:rPr>
        <w:t>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1613F4AF" w14:textId="77777777" w:rsidR="00FC1739" w:rsidRPr="000230B4" w:rsidRDefault="00FC1739" w:rsidP="000230B4">
      <w:pPr>
        <w:ind w:firstLine="680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>Первый заместитель генерального директора по разработке и добыче нефти и газа ПАО «Татнефть» им. В. Д. Шашина – Халимов Р.Х.</w:t>
      </w:r>
    </w:p>
    <w:p w14:paraId="169E9566" w14:textId="77777777" w:rsidR="00FC1739" w:rsidRPr="000230B4" w:rsidRDefault="00FC1739" w:rsidP="000230B4">
      <w:pPr>
        <w:ind w:firstLine="680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>Заместитель генерального директора по промышленной безопасности, охране труда и экологии ПАО «Татнефть» им. В. Д. Шашина - Хабибрахманов А.Г.</w:t>
      </w:r>
    </w:p>
    <w:p w14:paraId="792185B9" w14:textId="77777777" w:rsidR="00FC1739" w:rsidRPr="00C62A7F" w:rsidRDefault="00FC1739" w:rsidP="00511DA1">
      <w:pPr>
        <w:ind w:firstLine="680"/>
        <w:rPr>
          <w:rFonts w:cs="Times New Roman"/>
          <w:sz w:val="24"/>
          <w:szCs w:val="24"/>
          <w:lang w:val="ru-RU"/>
        </w:rPr>
      </w:pP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064D4A45" w14:textId="77777777" w:rsidR="00FC1739" w:rsidRDefault="00FC1739" w:rsidP="00FC1739">
      <w:pPr>
        <w:widowControl w:val="0"/>
        <w:suppressAutoHyphens/>
        <w:spacing w:line="360" w:lineRule="auto"/>
        <w:ind w:firstLine="709"/>
        <w:jc w:val="both"/>
        <w:rPr>
          <w:color w:val="E36C0A" w:themeColor="accent6" w:themeShade="BF"/>
          <w:lang w:val="ru-RU"/>
        </w:rPr>
      </w:pPr>
      <w:bookmarkStart w:id="7" w:name="_Hlk160457253"/>
    </w:p>
    <w:p w14:paraId="69668B23" w14:textId="575F83BA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Краткий перечень основных направлений деятельности ПАО «Татнефть» им. В. Д. Шашина:</w:t>
      </w:r>
    </w:p>
    <w:p w14:paraId="1DF4B8C0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бурение и разработка нефтегазовых месторождений, транспортировка нефти, газа и воды различными видами транспорта, подготовка и реализация;</w:t>
      </w:r>
    </w:p>
    <w:p w14:paraId="50605AF7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строительство, ремонт и эксплуатация скважин, замерных установок, трубопроводов, дожимных насосных станций, установок подготовка нефти;</w:t>
      </w:r>
    </w:p>
    <w:p w14:paraId="1B8E9EEF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строительство объектов производственного назначения и социальной сферы, строительно-монтажные, пуско-наладочные, ремонтные работы на всех видах оборудования и инженерных сетях.</w:t>
      </w:r>
    </w:p>
    <w:bookmarkEnd w:id="7"/>
    <w:p w14:paraId="74F06461" w14:textId="2D36A6E3" w:rsidR="00B66EBE" w:rsidRPr="004931FE" w:rsidRDefault="004931FE" w:rsidP="00F97822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8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</w:r>
      <w:bookmarkEnd w:id="9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>, приведён</w:t>
      </w:r>
      <w:r>
        <w:rPr>
          <w:rFonts w:cs="Times New Roman"/>
          <w:sz w:val="24"/>
          <w:szCs w:val="24"/>
          <w:lang w:val="ru-RU"/>
        </w:rPr>
        <w:t>ы</w:t>
      </w:r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0" w:name="_Ref290125883"/>
      <w:bookmarkStart w:id="11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10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1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lastRenderedPageBreak/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B95266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 технол.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УПН «Кушкуль»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2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2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3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3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>) приведен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4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4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12453C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 xml:space="preserve"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</w:t>
            </w: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>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12453C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>2. «Порядок оформления декларации промышленной безопасности опасных производственных объектов и перечень включаемых в нее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5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6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18CEEFF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Для эксплуатации нефтепроводов санитарно-защитная зона в соответствии с СанПин 2.2.1/2.1.1.1200-03 не требуется.</w:t>
      </w:r>
    </w:p>
    <w:p w14:paraId="06B97F49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Для обеспечения нормальных условий эксплуатации и исключения возможности повреждения промысловых трубопроводов установлены охранные зоны в соответствии с "Правилами охраны магистральных трубопроводов":</w:t>
      </w:r>
    </w:p>
    <w:p w14:paraId="1554D469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трасс трубопроводов - в виде участка земли, ограниченного условными линиями, находящимися в 50 м от оси трубопровода с каждой стороны;</w:t>
      </w:r>
    </w:p>
    <w:p w14:paraId="72657F28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lastRenderedPageBreak/>
        <w:t>- на землях сельскохозяйственного назначения охранная зона ограничивается условными линиями, проходящими в 25 м от осей крайних трубопроводов с каждой стороны;</w:t>
      </w:r>
    </w:p>
    <w:p w14:paraId="3ACC1885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трасс многониточных трубопроводов - в виде участка земли, ограниченного условными линиями, проходящими в 50 м от осей крайних трубопроводов с каждой стороны;</w:t>
      </w:r>
    </w:p>
    <w:p w14:paraId="42D56AE0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подводных переходов трубопроводов - в виде участка водного пространства от водной поверхности до дна, заключенного между параллельными плоскостями, отстоящими от осей крайних ниток трубопроводов на 100 м с каждой стороны.</w:t>
      </w:r>
    </w:p>
    <w:p w14:paraId="1071F4EF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В охранных зонах трубопроводов предусмотрены плакаты с запретительными надписями против всякого рода действий, которые могут нарушить нормальную эксплуатацию трубопроводов либо привести к их повреждению.</w:t>
      </w:r>
    </w:p>
    <w:p w14:paraId="7ECE3B54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На трассе трубопровода установлены знаки безопасности. Сигнальные цвета и знаки безопасности предназначены для привлечения внимания к непосредственной опасности, предупреждения о возможной опасности, предписания и разрешения определенных действий с целью обеспечения безопасности, а также для необходимой информации.</w:t>
      </w:r>
    </w:p>
    <w:p w14:paraId="48C702CC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В пределах этой зоны нет отдельно стоящих строений, гражданских и промышленных объектов других ведомств. Запретные и особо охраняемые исторические и природные заповедные зоны отсутствуют.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7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7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8" w:name="_Ref220937183"/>
      <w:r w:rsidRPr="008C55F9">
        <w:rPr>
          <w:rFonts w:cs="Times New Roman"/>
          <w:color w:val="FF0000"/>
          <w:sz w:val="24"/>
          <w:szCs w:val="24"/>
          <w:lang w:val="ru-RU"/>
        </w:rPr>
        <w:lastRenderedPageBreak/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8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</w:r>
      <w:bookmarkEnd w:id="19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009B2507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>лиц, которым может быть причинен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</w:t>
      </w:r>
      <w:r w:rsidR="00FC1739" w:rsidRPr="00027C92">
        <w:rPr>
          <w:rFonts w:cs="Times New Roman"/>
          <w:bCs/>
          <w:sz w:val="24"/>
          <w:szCs w:val="24"/>
          <w:lang w:val="ru-RU" w:eastAsia="ru-RU"/>
        </w:rPr>
        <w:t>эксплуатирующей организации,</w:t>
      </w:r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0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20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4F064F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 xml:space="preserve">Общая численность работников на </w:t>
      </w:r>
      <w:r w:rsidRPr="00621F0B">
        <w:rPr>
          <w:rFonts w:cs="Times New Roman"/>
          <w:sz w:val="24"/>
          <w:szCs w:val="24"/>
          <w:lang w:val="ru-RU"/>
        </w:rPr>
        <w:t>декларируемом объекте с указанием их размещения на составляющих декларируемого объекта, приведёна ниже (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REF _Ref220937730 \h </w:instrText>
      </w:r>
      <w:r w:rsidRPr="00621F0B">
        <w:rPr>
          <w:rFonts w:cs="Times New Roman"/>
          <w:sz w:val="24"/>
          <w:szCs w:val="24"/>
          <w:lang w:val="ru-RU"/>
        </w:rPr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r w:rsidRPr="00621F0B">
        <w:rPr>
          <w:rFonts w:cs="Times New Roman"/>
          <w:sz w:val="24"/>
          <w:szCs w:val="24"/>
          <w:lang w:val="ru-RU"/>
        </w:rPr>
        <w:t>).</w:t>
      </w:r>
    </w:p>
    <w:p w14:paraId="355D6D4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C35528B" w14:textId="77777777" w:rsidR="00C55FF0" w:rsidRPr="00621F0B" w:rsidRDefault="00C55FF0" w:rsidP="00C55FF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1" w:name="_Ref220937730"/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bookmarkEnd w:id="21"/>
      <w:r w:rsidRPr="00621F0B">
        <w:rPr>
          <w:rFonts w:cs="Times New Roman"/>
          <w:sz w:val="24"/>
          <w:szCs w:val="24"/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b/>
                <w:color w:val="FF0000"/>
              </w:rPr>
              <w:t xml:space="preserve">Составляющая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r w:rsidRPr="0051463E">
              <w:rPr>
                <w:rFonts w:eastAsia="Times New Roman"/>
                <w:b/>
                <w:color w:val="FF0000"/>
              </w:rPr>
              <w:t>объекта</w:t>
            </w:r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b/>
                <w:color w:val="FF0000"/>
              </w:rPr>
              <w:t>Общая численность работников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12453C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Пункт подготовки и сбора нефти ЦПС Барсуковского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Площадка компрессорной станции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12453C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Котельная ППСН ЦПС Барсуковского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Товарно-сырьевой склад</w:t>
            </w:r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2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103060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57D11">
        <w:rPr>
          <w:rFonts w:cs="Times New Roman"/>
          <w:sz w:val="24"/>
          <w:szCs w:val="24"/>
          <w:lang w:val="ru-RU" w:eastAsia="ru-RU"/>
        </w:rPr>
        <w:t xml:space="preserve">Работники других объектов эксплуатирующей организации, которые могут оказаться в зонах действия поражающих факторов </w:t>
      </w:r>
      <w:r w:rsidRPr="00157D11">
        <w:rPr>
          <w:rFonts w:cs="Times New Roman"/>
          <w:sz w:val="24"/>
          <w:szCs w:val="24"/>
          <w:lang w:val="ru-RU"/>
        </w:rPr>
        <w:t xml:space="preserve">– отсутствуют. Планом мероприятий по локализации и ликвидации последствий аварий предусмотрено организационное мероприятий по эвакуации персонала не участвующего в аварии из зон действия возможных поражающих факторов. </w:t>
      </w:r>
    </w:p>
    <w:p w14:paraId="230E23F2" w14:textId="20E3D933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3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>аботники соседних организаций и других объектов,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>ица на внешних транспортных коммуникациях (железные дороги, автодороги),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>ные физические лица,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4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24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5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веществах, на основании которых опасный производственный объект отнесен к декларируемым объектам</w:t>
      </w:r>
      <w:bookmarkEnd w:id="25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6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6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7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8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8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88DD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83DB29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052F5F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9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9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0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</w:r>
      <w:bookmarkEnd w:id="30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1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1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2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3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4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4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5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5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55122D" w:rsidRPr="00BF3D49" w14:paraId="6BA823E5" w14:textId="77777777" w:rsidTr="003719EA">
        <w:trPr>
          <w:tblHeader/>
        </w:trPr>
        <w:tc>
          <w:tcPr>
            <w:tcW w:w="3190" w:type="dxa"/>
          </w:tcPr>
          <w:p w14:paraId="44CB3CBA" w14:textId="77777777" w:rsidR="0055122D" w:rsidRPr="00BF3D49" w:rsidRDefault="0055122D" w:rsidP="003719EA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r w:rsidRPr="00BF3D49">
              <w:rPr>
                <w:b/>
                <w:color w:val="00B0F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43E58FF9" w14:textId="77777777" w:rsidR="0055122D" w:rsidRPr="00BF3D49" w:rsidRDefault="0055122D" w:rsidP="003719EA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/>
                <w:color w:val="00B0F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58D12C95" w14:textId="77777777" w:rsidR="0055122D" w:rsidRPr="00BF3D49" w:rsidRDefault="0055122D" w:rsidP="003719EA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r w:rsidRPr="00BF3D49">
              <w:rPr>
                <w:b/>
                <w:color w:val="00B0F0"/>
                <w:sz w:val="24"/>
                <w:szCs w:val="24"/>
              </w:rPr>
              <w:t>Возможные причины аварий</w:t>
            </w:r>
          </w:p>
        </w:tc>
      </w:tr>
      <w:tr w:rsidR="0055122D" w:rsidRPr="0012453C" w14:paraId="2DF59D9D" w14:textId="77777777" w:rsidTr="003719EA">
        <w:tc>
          <w:tcPr>
            <w:tcW w:w="3190" w:type="dxa"/>
          </w:tcPr>
          <w:p w14:paraId="2C760B3E" w14:textId="77777777" w:rsidR="0055122D" w:rsidRPr="00BF3D49" w:rsidRDefault="0055122D" w:rsidP="003719EA">
            <w:pPr>
              <w:pStyle w:val="23"/>
              <w:widowControl w:val="0"/>
              <w:shd w:val="clear" w:color="auto" w:fill="FFFFFF"/>
              <w:suppressAutoHyphens/>
              <w:spacing w:line="240" w:lineRule="auto"/>
              <w:rPr>
                <w:bCs/>
                <w:color w:val="00B0F0"/>
                <w:sz w:val="24"/>
                <w:szCs w:val="24"/>
                <w:lang w:val="ru-RU" w:eastAsia="ru-RU"/>
              </w:rPr>
            </w:pPr>
            <w:r w:rsidRPr="00BF3D49">
              <w:rPr>
                <w:rFonts w:cs="Times New Roman"/>
                <w:color w:val="00B0F0"/>
                <w:sz w:val="24"/>
                <w:szCs w:val="24"/>
                <w:highlight w:val="yellow"/>
                <w:lang w:val="ru-RU"/>
              </w:rPr>
              <w:t>{{ SITE_NAME }}</w:t>
            </w:r>
          </w:p>
        </w:tc>
        <w:tc>
          <w:tcPr>
            <w:tcW w:w="3190" w:type="dxa"/>
          </w:tcPr>
          <w:p w14:paraId="479A1786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Обращение в технологическом процессе опасного вещества, являющегося взрывопожароопасным веществом; </w:t>
            </w:r>
          </w:p>
          <w:p w14:paraId="7D854CE3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r w:rsidRPr="00BF3D49">
              <w:rPr>
                <w:bCs/>
                <w:color w:val="00B0F0"/>
                <w:sz w:val="24"/>
                <w:szCs w:val="24"/>
              </w:rPr>
              <w:t>Протекание процесса под давлением;</w:t>
            </w:r>
          </w:p>
          <w:p w14:paraId="7DE39F2A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Дефекты, допущенные при изготовлении и монтаже;</w:t>
            </w:r>
          </w:p>
          <w:p w14:paraId="205E1475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Возможность воздействия внешних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факторов, обуславливающих разгерметизацию оборудования;</w:t>
            </w:r>
          </w:p>
          <w:p w14:paraId="54438C44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Высокая концентрация оборудования с опасными веществами на сравнительно небольшой площадке.</w:t>
            </w:r>
          </w:p>
          <w:p w14:paraId="3E68FCA5" w14:textId="4B8DF8E3" w:rsidR="0055122D" w:rsidRPr="00BF3D49" w:rsidRDefault="0012453C" w:rsidP="0012453C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12453C">
              <w:rPr>
                <w:bCs/>
                <w:color w:val="00B0F0"/>
                <w:sz w:val="24"/>
                <w:szCs w:val="24"/>
                <w:lang w:val="ru-RU"/>
              </w:rPr>
              <w:t>Коррозионная</w:t>
            </w:r>
            <w:r w:rsidRPr="0012453C">
              <w:rPr>
                <w:bCs/>
                <w:color w:val="00B0F0"/>
                <w:sz w:val="24"/>
                <w:szCs w:val="24"/>
              </w:rPr>
              <w:t xml:space="preserve"> активность среды</w:t>
            </w:r>
          </w:p>
        </w:tc>
        <w:tc>
          <w:tcPr>
            <w:tcW w:w="3191" w:type="dxa"/>
          </w:tcPr>
          <w:p w14:paraId="5CB12E04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Ошибки персонала при ведении технологического процесса, ремонтных и профилактических работ;</w:t>
            </w:r>
          </w:p>
          <w:p w14:paraId="143F34C2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Отказы арматуры, фланцевых соединений из-за дефектов изготовления и монтажа;</w:t>
            </w:r>
          </w:p>
          <w:p w14:paraId="57D7C021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r w:rsidRPr="00BF3D49">
              <w:rPr>
                <w:bCs/>
                <w:color w:val="00B0F0"/>
                <w:sz w:val="24"/>
                <w:szCs w:val="24"/>
              </w:rPr>
              <w:t>Отключение электроэнергии;</w:t>
            </w:r>
          </w:p>
          <w:p w14:paraId="0AF2A109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Постороннее несанкционированное вмешательство в ход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технологического процесса;</w:t>
            </w:r>
          </w:p>
          <w:p w14:paraId="19189117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Внешние воздействия природного и техногенного характера;</w:t>
            </w:r>
          </w:p>
          <w:p w14:paraId="5E82E962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Заводской брак технологического оборудования, применяемого на ОПО;</w:t>
            </w:r>
          </w:p>
          <w:p w14:paraId="5F40401F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Механические повреждения, применяемого на ОПО;</w:t>
            </w:r>
          </w:p>
          <w:p w14:paraId="3EE8D834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r w:rsidRPr="00BF3D49">
              <w:rPr>
                <w:bCs/>
                <w:color w:val="00B0F0"/>
                <w:sz w:val="24"/>
                <w:szCs w:val="24"/>
              </w:rPr>
              <w:t>Террористические проявления;</w:t>
            </w:r>
          </w:p>
          <w:p w14:paraId="05BB0ECC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Повышение давление в технологическом оборудование, </w:t>
            </w:r>
          </w:p>
          <w:p w14:paraId="74335BA8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r w:rsidRPr="00BF3D49">
              <w:rPr>
                <w:bCs/>
                <w:color w:val="00B0F0"/>
                <w:sz w:val="24"/>
                <w:szCs w:val="24"/>
              </w:rPr>
              <w:t xml:space="preserve">Воздействие природных факторов, </w:t>
            </w:r>
          </w:p>
          <w:p w14:paraId="71503B08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Коррозионный износ технологического оборудования, применяемого на ОПО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6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6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7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7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8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8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9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9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lastRenderedPageBreak/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40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</w:r>
      <w:bookmarkEnd w:id="40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1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1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2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2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3" w:name="_Ref291317699"/>
      <w:r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3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4" w:name="_Toc141863983"/>
      <w:bookmarkStart w:id="45" w:name="_Toc193084634"/>
      <w:bookmarkStart w:id="46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4"/>
      <w:bookmarkEnd w:id="45"/>
      <w:bookmarkEnd w:id="46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lastRenderedPageBreak/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пораженных в результате возможных аварий за определенный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определенном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8" w:name="_Ref22085962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053AF114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9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413F47D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33B39FB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0D038B4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5C01C03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49"/>
    <w:p w14:paraId="4A37A6A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401B9CC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141B27B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3068FDB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0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46D91D1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3D87CC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D8F566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1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5EF3921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137D41F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15D16E59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1E8311F1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5541A9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68C52F2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3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7056C3B6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9F06F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2EDC0B14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A1B8B6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3937EBA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Ref221117936"/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3158D8E3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885472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6C081A2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DF5835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4C47923D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5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70C215B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C7C201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6A6A86F0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6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6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7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8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9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r w:rsidRPr="00552EA5">
        <w:rPr>
          <w:rFonts w:cs="Times New Roman"/>
          <w:sz w:val="24"/>
          <w:szCs w:val="24"/>
          <w:highlight w:val="yellow"/>
          <w:lang w:val="ru-RU"/>
        </w:rPr>
        <w:t>{{ LICENSE_NUMBER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</w:r>
      <w:bookmarkEnd w:id="60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16C6FAB2" w14:textId="204E0D14" w:rsidR="00977DED" w:rsidRPr="00977DED" w:rsidRDefault="00977DED" w:rsidP="00D03BB7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Порядок обучения и проверка знаний работников </w:t>
      </w:r>
      <w:r w:rsidRPr="00977DED">
        <w:rPr>
          <w:rFonts w:eastAsia="Times New Roman" w:cs="Times New Roman"/>
          <w:color w:val="E36C0A" w:themeColor="accent6" w:themeShade="BF"/>
          <w:sz w:val="24"/>
          <w:szCs w:val="24"/>
          <w:highlight w:val="yellow"/>
          <w:lang w:val="ru-RU" w:eastAsia="ru-RU"/>
        </w:rPr>
        <w:t>{{ SHORT_NAME }}</w:t>
      </w: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проводится согласно положению </w:t>
      </w:r>
      <w:r w:rsidR="00463844" w:rsidRPr="00463844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ЕРБ 2250-2025</w:t>
      </w: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«Положение об организации обучения и проверки знания требований охраны труда, подготовке и аттестации по промышленной безопасности»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583EFFBC" w14:textId="77777777" w:rsidR="003B7D5E" w:rsidRPr="003B7D5E" w:rsidRDefault="003B7D5E" w:rsidP="003B7D5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Аттестация руководителей и специалистов структурных подразделений ПАО «Татнефть» проводится в совместной аттестационной комиссии, назначенной приказом «Об организации системы аттестации в области промышленной безопасности, по вопросам безопасности гидротехнических сооружений, безопасности в сфере электроэнергетики», №14/СовмПр от 26.12.2022 г. Аттестация проводится через ИЕ ЕПТ в ЧОУ ДПО «ЦПК-Татнефть». Подготовка руководителей и специалистов к аттестации проводится в режиме самоподготовки».</w:t>
      </w:r>
    </w:p>
    <w:p w14:paraId="147499DA" w14:textId="03E5AA57" w:rsidR="003B7D5E" w:rsidRPr="003B7D5E" w:rsidRDefault="003B7D5E" w:rsidP="003B7D5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 ПАО «Татнефть» им. В. Д. Шашина создана аттестационная комиссия по проверке у руководителей, специалистов и работников организаций, выполняющих работы или оказывающих услуги на объектах (территории) Группы «Татнефть», знаний норм и правил промышленной, энергетической безопасности и безопасности гидротехнических сооружений. Члены аттестационной комиссии ПАО «Татнефть» им. В. Д. Шашина проходят аттестацию в Центральной аттестационной комиссии.</w:t>
      </w:r>
    </w:p>
    <w:p w14:paraId="08B18FCA" w14:textId="77777777" w:rsidR="008E0AEE" w:rsidRDefault="008E0AEE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EE5E21F" w14:textId="77777777" w:rsidR="008E0AEE" w:rsidRPr="008E0AEE" w:rsidRDefault="008E0AEE" w:rsidP="008E0AE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lastRenderedPageBreak/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инструктаж.</w:t>
      </w:r>
    </w:p>
    <w:p w14:paraId="74207967" w14:textId="7F6480B3" w:rsidR="008E0AEE" w:rsidRPr="008E0AEE" w:rsidRDefault="008E0AEE" w:rsidP="008E0AE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Вводный инструктаж проводит </w:t>
      </w:r>
      <w:r w:rsidR="006D479F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Центр промышленной</w:t>
      </w: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и экологической безопасности ЦОБ ПАО «Татнефть», по адресу г. Альметьевск пр. Тукая 33. Результаты проведения инструктажей оформляются записью в «Журнале регистрации вводного инструктажа». Кроме этого, с работниками предприятия проводятся: первичный инструктаж на рабочем месте; повторные инструктажи (один раз в три месяца); целевые инструктажи; внеочередные (внеплановые)</w:t>
      </w:r>
      <w:r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.</w:t>
      </w:r>
    </w:p>
    <w:p w14:paraId="4DEDFDC9" w14:textId="1CF54700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439BF24F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с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утвержденному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определенным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</w:t>
      </w:r>
      <w:r w:rsidRPr="00846BE7">
        <w:rPr>
          <w:rFonts w:cs="Times New Roman"/>
          <w:sz w:val="24"/>
          <w:szCs w:val="24"/>
          <w:lang w:val="ru-RU" w:eastAsia="ru-RU"/>
        </w:rPr>
        <w:lastRenderedPageBreak/>
        <w:t xml:space="preserve">структурного подразделения, эксплуатирующего опасный производственный объект, с учетом количества видов возможных аварий и конкретных условий, но не реже одного раза в год по каждому виду возможных аварии, с учетом сезонности, а также с учетом,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1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FE83FE2" w14:textId="352FBFF4" w:rsidR="00DE11F6" w:rsidRPr="00DE11F6" w:rsidRDefault="00DE11F6" w:rsidP="00DE11F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В ПАО «Татнефть» им. В.Д. Шашина </w:t>
      </w:r>
      <w:r w:rsidR="00C113DA"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введён</w:t>
      </w: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в действие приказ №444/МНУ-Пр(0002) от 15.10.2019 г. «О политике в области промышленной безопасности, охраны труда и окружающей среды». Целью управления промышленной безопасностью в ПАО «Татнефть» им. В.Д. Шашина является обеспечение </w:t>
      </w:r>
      <w:r w:rsidR="00C113DA"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защищённости</w:t>
      </w: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жизненно важных интересов личности и общества от аварий и ее последствий на опасных производственных объектах.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предупреждение аварий и инцидентов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обеспечение единых подходов к деятельности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управление промышленными рисками;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контроль соблюдения технологической дисциплины;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Для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Общая организация и контроль за осуществлением производственного контроля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2F856F33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Непосредственное руководство работой по осуществлению производственного контроля возлагается на заместителя генерального директора по промышленной безопасности, охране труда и экологии.</w:t>
      </w:r>
    </w:p>
    <w:p w14:paraId="2D07BF3C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осуществление производственного контроля в ПАО «Татнефть» им. В.Д. Шашина возлагается на управление промышленной, экологической безопасности и охраны труда.</w:t>
      </w:r>
    </w:p>
    <w:p w14:paraId="1D40341F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организацию и осуществление производственного контроля в структурных подразделениях ПАО «Татнефть» им. В.Д. Шашина несут руководители, а также работники или службы производственного контроля, на которые возложены такие обязанности руководителем этого подразделения.</w:t>
      </w:r>
    </w:p>
    <w:p w14:paraId="431C3C23" w14:textId="71B33093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организацию производственного контроля за соблюдением требований промышленной безопасности по бизнес-направлениям деятельности с учётом организационной структуры ПАО «Татнефть» им. В.Д. Шашина, профилей производств структурных подразделений ПАО «Татнефть» им. В.Д. Шашина, в соответствии с распределением обязанностей, несут заместители генерального директора ПАО «Татнефть» им. В.Д. Шашина, а в структурных подразделениях – заместители начальников управлений.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счет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анализ состояния промышленной безопасности опасных производственных объектов, в том числе путем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lastRenderedPageBreak/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2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учет и анализ осуществляется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Руководство по безопасности «Методические рекомендации по классификации аварийно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lastRenderedPageBreak/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6E673AC8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</w:t>
      </w:r>
      <w:r w:rsidR="006433D1">
        <w:rPr>
          <w:lang w:val="ru-RU"/>
        </w:rPr>
        <w:t>для</w:t>
      </w:r>
      <w:r w:rsidRPr="00C53AB6">
        <w:rPr>
          <w:lang w:val="ru-RU"/>
        </w:rPr>
        <w:t xml:space="preserve">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3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4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4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>Экспертиза промышленной безопасности согласно утвержденным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73E1FF80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</w:t>
      </w:r>
      <w:r w:rsidR="00AD092F" w:rsidRPr="00435949">
        <w:rPr>
          <w:rFonts w:cs="Times New Roman"/>
          <w:sz w:val="24"/>
          <w:szCs w:val="24"/>
          <w:lang w:val="ru-RU" w:eastAsia="ru-RU"/>
        </w:rPr>
        <w:t>проведённых</w:t>
      </w:r>
      <w:r w:rsidRPr="00435949">
        <w:rPr>
          <w:rFonts w:cs="Times New Roman"/>
          <w:sz w:val="24"/>
          <w:szCs w:val="24"/>
          <w:lang w:val="ru-RU" w:eastAsia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B95266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Объект экспертизы</w:t>
            </w:r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Наименование экспертной организации</w:t>
            </w:r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«Кодяковская»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“НефтеГазСервис”»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(59)от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5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5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6"/>
    </w:p>
    <w:p w14:paraId="1B738C9D" w14:textId="77777777" w:rsidR="00464746" w:rsidRPr="00420A41" w:rsidRDefault="00464746" w:rsidP="0046474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2) выработка рекомендаций по инженерно-технической оснащенности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lastRenderedPageBreak/>
        <w:t>8) производится сбор, анализ информации об оперативной обстановке, постановка целей и задач, проводятся совместные совещания, а при необходимости создается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highlight w:val="yellow"/>
          <w:lang w:val="ru-RU"/>
        </w:rPr>
        <w:t>{{ OPO_SECURITY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7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8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9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9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Мероприятия по эвакуации людей и охране окружающей среды, по локализации выхода нефти или газа, отключению поврежденного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Осуществление мероприятий по предупреждению тяжелых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определен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Содержание в постоянной готовности созданных аварийно-восстановительных формирований, укомплектованных необходимым персоналом и оснащенных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0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70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26933857" w14:textId="5D866BED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Для проведения аварийно-спасательных и других неотложных работ по ликвидации последствий возможных аварий и чрезвычайных ситуаций природного и техногенного характера на декларируемом объекте согласно закону РФ «О промышленной безопасности опасных производственных объектов» № 116-ФЗ от 21.07.97г. , распоряжением ПАО «Татнефть» №188/Расп(ТНД) от 19.12.2024 г. «О составе нештатного аварийно-спасательного формирования» укомплектовано объединённое нештатное формирование «Нештатное аварийно-спасательное формирование структурного подразделения «Татнефть-Добыча» ПАО «Татнефть» (свидетельство об аттестации на право ведения аварийно-спасательных работ №15343 от 28.02.24 г., регистрационный номер 16/2-2-538).</w:t>
      </w:r>
    </w:p>
    <w:p w14:paraId="78E523B0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Готовность НАСФ в рабочее время – постоянная, вне рабочего времени – 1,5 - 2 часа. Оснащенность нештатных аварийно-спасательных формирований определяется исходя из норм оснащения, приведенных в приказе МЧС РФ от 18.12.2014 г. (c изменениями 05.10.2021г.) № 701 «Об утверждении типового порядка создания нештатных формирований по обеспечению выполнения мероприятий по гражданской обороне» , а также в соответствии с «Типовым табелем оснащения аварийно-спасательного формирования средствами индивидуальной защиты, специальным и вспомогательным оборудованием для ведения газоспасательных работ» (приложение Е «Методических рекомендаций по проведению проверки и определению возможностей профессиональных аварийно-спасательных формирований при аттестации на право ведения газоспасательных работ»).</w:t>
      </w:r>
    </w:p>
    <w:p w14:paraId="09971F16" w14:textId="2D50B7E3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В случае недостаточности сил для ликвидации ЧС на объектах ПАО «Татнефть» им. В.Д.</w:t>
      </w:r>
      <w:r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Шашина вводится в действие План совместных действий сил и средств МЧС Республики Татарстан по ликвидации чрезвычайной ситуации природного и техногенного характера, в соответствии с которым предусматривается привлечение территориальных аварийно-спасательных формирований ТСЧС Республики Татарстан.</w:t>
      </w:r>
    </w:p>
    <w:p w14:paraId="0590441F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Организацией противоаварийных сил и аварийно-спасательных служб занимается начальник штаба ГО и ЧС предприятия.</w:t>
      </w:r>
    </w:p>
    <w:p w14:paraId="0A92046D" w14:textId="357FB2F9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ПАО «Татнефть» им. </w:t>
      </w:r>
      <w:r>
        <w:rPr>
          <w:rFonts w:cs="Times New Roman"/>
          <w:color w:val="E36C0A" w:themeColor="accent6" w:themeShade="BF"/>
          <w:sz w:val="24"/>
          <w:szCs w:val="24"/>
          <w:lang w:val="ru-RU"/>
        </w:rPr>
        <w:t>В.Д. Шашина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заключены следующие договора с профессиональными АСФ на обслуживание опасных производственных объектов:</w:t>
      </w:r>
    </w:p>
    <w:p w14:paraId="1EC06EB1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0002/2022/28 от 02.01.2022 г. с Федеральным государственным автономным учреждением «Аварийно-спасательным формированием «Северо-Восточная противофонтанная военизированная часть» (ФГАУ «АСФ «СВПФВЧ») на выполнение комплекса работ по противофонтанному обслуживанию;</w:t>
      </w:r>
    </w:p>
    <w:p w14:paraId="57632C67" w14:textId="3630C1B0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- договор № 0009-2024-2336 от 24.05.2024 г. с Профессиональным аварийно-спасательным формированием </w:t>
      </w:r>
      <w:r w:rsidR="00B95266">
        <w:rPr>
          <w:rFonts w:cs="Times New Roman"/>
          <w:color w:val="E36C0A" w:themeColor="accent6" w:themeShade="BF"/>
          <w:sz w:val="24"/>
          <w:szCs w:val="24"/>
          <w:lang w:val="ru-RU"/>
        </w:rPr>
        <w:t>ПАСФ ООО «РегионСпас»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.</w:t>
      </w:r>
    </w:p>
    <w:p w14:paraId="12AB5CCA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В ПАО «Татнефть» им. В. Д. Шашина заключен договор на выполнение работ по тушению пожаров и проведение АСР, связанные с тушением пожаров:</w:t>
      </w:r>
    </w:p>
    <w:p w14:paraId="0A0A7D65" w14:textId="37FB9493" w:rsidR="00F32475" w:rsidRPr="00A275C7" w:rsidRDefault="00F32475" w:rsidP="00F32475">
      <w:pPr>
        <w:spacing w:after="0" w:line="360" w:lineRule="auto"/>
        <w:ind w:firstLine="680"/>
        <w:jc w:val="both"/>
        <w:rPr>
          <w:rFonts w:cs="Times New Roman"/>
          <w:color w:val="000000" w:themeColor="text1"/>
          <w:sz w:val="24"/>
          <w:szCs w:val="24"/>
          <w:lang w:val="ru-RU"/>
        </w:rPr>
      </w:pPr>
      <w:r w:rsidRPr="000F122D">
        <w:rPr>
          <w:rFonts w:cs="Times New Roman"/>
          <w:color w:val="000000" w:themeColor="text1"/>
          <w:sz w:val="24"/>
          <w:szCs w:val="24"/>
          <w:highlight w:val="cyan"/>
          <w:lang w:val="ru-RU"/>
        </w:rPr>
        <w:t xml:space="preserve">- договор № 0002/2025/7210 от 25.12.2025 с отрядом ФПС ГПС- Альметьевского филиала ФГБУ «Управление ДП ФПС </w:t>
      </w:r>
      <w:r w:rsidR="00B95266">
        <w:rPr>
          <w:rFonts w:cs="Times New Roman"/>
          <w:color w:val="000000" w:themeColor="text1"/>
          <w:sz w:val="24"/>
          <w:szCs w:val="24"/>
          <w:highlight w:val="cyan"/>
          <w:lang w:val="ru-RU"/>
        </w:rPr>
        <w:t>ГПС по Республике Татарстан</w:t>
      </w:r>
      <w:r w:rsidRPr="000F122D">
        <w:rPr>
          <w:rFonts w:cs="Times New Roman"/>
          <w:color w:val="000000" w:themeColor="text1"/>
          <w:sz w:val="24"/>
          <w:szCs w:val="24"/>
          <w:highlight w:val="cyan"/>
          <w:lang w:val="ru-RU"/>
        </w:rPr>
        <w:t>» на выполнение работ и оказание услуг в области пожарной безопасности.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1"/>
    </w:p>
    <w:p w14:paraId="6E3481A4" w14:textId="77777777" w:rsidR="00636354" w:rsidRPr="00420A41" w:rsidRDefault="00636354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22240F68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соответствии с федеральным законом №68-ФЗ от 21.12.94г. «О защите населения и территорий от ЧС природного и техногенного характера» (с изменениями), №28-ФЗ от 12.02.1998г. «О гражданской обороне» (с изменениями), Постановлением Правительства РФ «Об утверждении правил создания, использования и восполнения резервов материальных ресурсов федеральных органов исполнительной власти для ликвидации чрезвычайных ситуаций природного и техногенного характера» от 25.07.2020 г. №1119, №379 «О накоплении, хранении и использовании в целях гражданской обороны запасов материально-технических, продовольственных, медицинских и иных средств» (с изменениями),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постановлением Кабинета Министров Республики Татарстан от 11.07.2008г. №488 «О создании резервов материальных ресурсов для ликвидации чрезвычайных ситуаций природного и техногенного характера» (с изменениями) в ПАО «Татнефть» издан приказ №244/МНУ-Пр(0002) от 04.08.2023 г. «Об утверждении и введении в действие ЕРБ 2465-2023 «Положение о создании, содержании, использовании и восполнении резервов материальных и финансовых ресурсов для ликвидации чрезвычайных ситуаций природного и техногенного характера и целей гражданской обороны в ПАО «Татнефть».</w:t>
      </w:r>
    </w:p>
    <w:p w14:paraId="5C6FD342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Резерв материальных ресурсов для ликвидации чрезвычайных ситуаций создан, исходя из прогнозируемых видов и масштабов чрезвычайных ситуаций, предполагаемого объема работ по их ликвидации, а также максимально возможного использования имеющихся сил и средств для ликвидации чрезвычайных ситуаций. Резерв материальных ресурсов используются при проведении аварийно-спасательных и других неотложных работ по устранению непосредственной опасности для жизни и здоровья людей, оказания им единовременной материальной помощи и других первоочередных мероприятий, связанных обеспечением жизнедеятельности пострадавших, резервы размещены на объектах, откуда возможна их оперативная доставка в зоны ЧС и без специального разрешения не используются.</w:t>
      </w:r>
    </w:p>
    <w:p w14:paraId="490879F2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Указанные средства хранятся на складах предприятия и без специального разрешения не используются.</w:t>
      </w:r>
    </w:p>
    <w:p w14:paraId="653B1320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Номенклатура и объемы создаваемых резервов согласовываются с начальником сектора по ГО, ЧС и ВМР, отдела по комплексной безопасности, ГО и ЧС, управления экономической безопасности, защиты информации, гражданской обороны и чрезвычайных ситуаций исполнительного аппарата ПАО «Татнефть».</w:t>
      </w:r>
    </w:p>
    <w:p w14:paraId="2659A724" w14:textId="58C1885B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Для финансирования непредвиденных расходов на ликвидацию чрезвычайных ситуаций обеспечен неснижаемый резерв финансовых </w:t>
      </w:r>
      <w:r w:rsidR="00B95266">
        <w:rPr>
          <w:rFonts w:cs="Times New Roman"/>
          <w:color w:val="E36C0A" w:themeColor="accent6" w:themeShade="BF"/>
          <w:sz w:val="24"/>
          <w:szCs w:val="24"/>
          <w:lang w:val="ru-RU"/>
        </w:rPr>
        <w:t>ресурсов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на расчётном счёте ПАО «Татнефть» им. В.Д. Шашина. 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2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2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73" w:name="_Hlk221091640"/>
      <w:r w:rsidRPr="00A55479">
        <w:rPr>
          <w:rFonts w:cs="Times New Roman"/>
          <w:sz w:val="24"/>
          <w:szCs w:val="24"/>
          <w:lang w:val="ru-RU"/>
        </w:rPr>
        <w:lastRenderedPageBreak/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r w:rsidRPr="00A55479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3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941056" w14:textId="77777777" w:rsidR="00434CB2" w:rsidRDefault="00434CB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74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74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75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6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6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7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8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P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9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9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77"/>
    <w:p w14:paraId="60FB7598" w14:textId="77777777" w:rsidR="0043093A" w:rsidRPr="00100DE8" w:rsidRDefault="0043093A" w:rsidP="0043093A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A7EE9BC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11D995DC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0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80"/>
    </w:p>
    <w:p w14:paraId="219DC383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color w:val="00B050"/>
          <w:lang w:val="ru-RU"/>
        </w:rPr>
      </w:pPr>
    </w:p>
    <w:p w14:paraId="0BB99E8C" w14:textId="77777777" w:rsidR="00B16C41" w:rsidRPr="0056693F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</w:p>
    <w:p w14:paraId="6B040ABE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1. Физико-химические свойства нефти и попутных сред</w:t>
      </w:r>
    </w:p>
    <w:p w14:paraId="151D0978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состав и плотность нефти, содержание и состав нефти;</w:t>
      </w:r>
    </w:p>
    <w:p w14:paraId="1601108C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температура застывания и вязкость;</w:t>
      </w:r>
    </w:p>
    <w:p w14:paraId="41E4771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активность;</w:t>
      </w:r>
    </w:p>
    <w:p w14:paraId="74B8A775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склонность к образованию парафиновых, смолистых и пирофорных отложений;</w:t>
      </w:r>
    </w:p>
    <w:p w14:paraId="6AFD1D00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газонасыщенность, давление насыщения.</w:t>
      </w:r>
    </w:p>
    <w:p w14:paraId="0B4E7F9D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2. Технологические параметры на ОПО</w:t>
      </w:r>
    </w:p>
    <w:p w14:paraId="5D82723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давление и температура в линии (включая перепады и режимы запуска/остановки);</w:t>
      </w:r>
    </w:p>
    <w:p w14:paraId="7063989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скорость потока и её влияние на гидравлические удары и эрозию;</w:t>
      </w:r>
    </w:p>
    <w:p w14:paraId="37E0D98E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4806DF32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работа систем подогрева нефти/эмульсий перед аппаратами подготовки.</w:t>
      </w:r>
    </w:p>
    <w:p w14:paraId="4AAD6D5C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3. Состояние технологического оборудования</w:t>
      </w:r>
    </w:p>
    <w:p w14:paraId="7A494759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коррозия (внутренняя и внешняя), эрозионный износ, дефекты сварных стыков;</w:t>
      </w:r>
    </w:p>
    <w:p w14:paraId="684314DF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запорной и предохранительной арматуры;</w:t>
      </w:r>
    </w:p>
    <w:p w14:paraId="70848C72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ремонта;</w:t>
      </w:r>
    </w:p>
    <w:p w14:paraId="280CDEA9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качество диагностики (дефектоскопия, внутритрубные обследования;</w:t>
      </w:r>
    </w:p>
    <w:p w14:paraId="10C6CCF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функционирование КИПиА.</w:t>
      </w:r>
    </w:p>
    <w:p w14:paraId="35B10155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4. Человеческий фактор</w:t>
      </w:r>
    </w:p>
    <w:p w14:paraId="628CF42A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квалификация персонала;</w:t>
      </w:r>
    </w:p>
    <w:p w14:paraId="547FEABD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ошибки при переключениях, выводе оборудования в ремонт, пусках и остановах;</w:t>
      </w:r>
    </w:p>
    <w:p w14:paraId="4A5D3BB0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нарушения регламентов и обход процедур;</w:t>
      </w:r>
    </w:p>
    <w:p w14:paraId="75C79F68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усталость отсутствием сменности, стрессы, высокая нагрузка;</w:t>
      </w:r>
    </w:p>
    <w:p w14:paraId="063B5C22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недостаточная информированность о рисках и опасностях на ОПО.</w:t>
      </w:r>
    </w:p>
    <w:p w14:paraId="2E4A47DD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5. Организационные факторы</w:t>
      </w:r>
    </w:p>
    <w:p w14:paraId="72B3B602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несоответствие или устаревание производственных инструкций;</w:t>
      </w:r>
    </w:p>
    <w:p w14:paraId="735A6AED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недостаточный производственный контроль состояния оборудования;</w:t>
      </w:r>
    </w:p>
    <w:p w14:paraId="6EC4FE35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нехватка оперативных ремонтных ресурсов и материалов;</w:t>
      </w:r>
    </w:p>
    <w:p w14:paraId="165917B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пробелы в аттестации, тренингах и подготовке персонала;</w:t>
      </w:r>
    </w:p>
    <w:p w14:paraId="72EE8C15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lastRenderedPageBreak/>
        <w:t>отсутствие культуры безопасности или слабая её поддержка.</w:t>
      </w:r>
    </w:p>
    <w:p w14:paraId="4480F6F7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6. Состояние систем промышленной безопасности</w:t>
      </w:r>
    </w:p>
    <w:p w14:paraId="228F4CF4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систем сигнализации аварийных параметров (давление, расход, температура);</w:t>
      </w:r>
    </w:p>
    <w:p w14:paraId="6E8803B4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срабатывания ПАЗ (противоаварийной защиты);</w:t>
      </w:r>
    </w:p>
    <w:p w14:paraId="73031323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готовность систем локализации разливов нефти;</w:t>
      </w:r>
    </w:p>
    <w:p w14:paraId="5802249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надежность резервного электропитания насосных и автоматизированных узлов.</w:t>
      </w:r>
    </w:p>
    <w:p w14:paraId="6541BC72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7. Факторы внешней среды</w:t>
      </w:r>
    </w:p>
    <w:p w14:paraId="25E73F3A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F0"/>
          <w:lang w:val="ru-RU"/>
        </w:rPr>
      </w:pPr>
      <w:r w:rsidRPr="0056693F">
        <w:rPr>
          <w:rFonts w:cs="Times New Roman"/>
          <w:color w:val="00B0F0"/>
          <w:lang w:val="ru-RU"/>
        </w:rPr>
        <w:t>воздействие низких температур → риск замерзания нефтеводяных эмульсий;</w:t>
      </w:r>
    </w:p>
    <w:p w14:paraId="3371576F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промерзание, вспучивание, осадка фундаментов, подвижка грунтов;</w:t>
      </w:r>
    </w:p>
    <w:p w14:paraId="1E33FC1E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 грунтов, блуждающие токи — важно для подземных участков коммуникаций;</w:t>
      </w:r>
    </w:p>
    <w:p w14:paraId="4B5BC69E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ADF6C53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сейсмическая активность;</w:t>
      </w:r>
    </w:p>
    <w:p w14:paraId="084B663A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умышленные действия (диверсия, вандализм).</w:t>
      </w:r>
    </w:p>
    <w:p w14:paraId="4F9D69C7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8. Планировочные и компоновочные решения:</w:t>
      </w:r>
    </w:p>
    <w:p w14:paraId="64EFE5A9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соблюдение нормируемых расстояний по промысленной и пожарной безопасности;</w:t>
      </w:r>
    </w:p>
    <w:p w14:paraId="624A7396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компоновка площадок с учётом безопасной эвакуации, удобства обслуживания, минимизации риска переполнений и разливов;</w:t>
      </w:r>
    </w:p>
    <w:p w14:paraId="5D41309C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размещение насосов и сепараторов для минимизации гидравлических сопротивлений и кавитационных рисков;</w:t>
      </w:r>
    </w:p>
    <w:p w14:paraId="28F2B8D3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F0"/>
          <w:sz w:val="24"/>
          <w:szCs w:val="24"/>
          <w:lang w:val="ru-RU"/>
        </w:rPr>
      </w:pPr>
      <w:r w:rsidRPr="0056693F">
        <w:rPr>
          <w:color w:val="00B0F0"/>
          <w:lang w:val="ru-RU"/>
        </w:rPr>
        <w:t>выбор материалов и толщины стенки труб и оборудования.</w:t>
      </w:r>
    </w:p>
    <w:p w14:paraId="35E59DB5" w14:textId="7A14D198" w:rsidR="00577311" w:rsidRPr="00FC7522" w:rsidRDefault="0057731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50"/>
          <w:sz w:val="24"/>
          <w:szCs w:val="24"/>
          <w:lang w:val="ru-RU"/>
        </w:rPr>
      </w:pP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1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1"/>
    </w:p>
    <w:p w14:paraId="3275B3C3" w14:textId="77777777" w:rsidR="003C52AE" w:rsidRPr="003C52AE" w:rsidRDefault="003C52AE" w:rsidP="003C52AE">
      <w:pPr>
        <w:rPr>
          <w:lang w:val="ru-RU" w:eastAsia="ru-RU"/>
        </w:rPr>
      </w:pPr>
    </w:p>
    <w:p w14:paraId="5A90C68A" w14:textId="77777777" w:rsidR="00B16C41" w:rsidRPr="005E4F24" w:rsidRDefault="00B16C41" w:rsidP="00B16C41">
      <w:pPr>
        <w:rPr>
          <w:color w:val="00B0F0"/>
          <w:lang w:val="ru-RU" w:eastAsia="ru-RU"/>
        </w:rPr>
      </w:pPr>
    </w:p>
    <w:p w14:paraId="7F1D7512" w14:textId="77777777" w:rsidR="00B16C41" w:rsidRPr="005E4F24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1. Повышение надежности оборудования </w:t>
      </w:r>
    </w:p>
    <w:p w14:paraId="282124AF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дефектоскопия оборудования и трубопроводов;</w:t>
      </w:r>
    </w:p>
    <w:p w14:paraId="1A890BD8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коррозии и выявление аварийных участков/оборудования;</w:t>
      </w:r>
    </w:p>
    <w:p w14:paraId="16980EC6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своевременная замена изношенных участков, арматуры и уплотнений;</w:t>
      </w:r>
    </w:p>
    <w:p w14:paraId="627B8956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>
        <w:rPr>
          <w:color w:val="00B0F0"/>
          <w:lang w:val="ru-RU"/>
        </w:rPr>
        <w:t>наличие</w:t>
      </w:r>
      <w:r w:rsidRPr="005E4F24">
        <w:rPr>
          <w:color w:val="00B0F0"/>
          <w:lang w:val="ru-RU"/>
        </w:rPr>
        <w:t xml:space="preserve"> систем автоматизации </w:t>
      </w:r>
      <w:r>
        <w:rPr>
          <w:color w:val="00B0F0"/>
          <w:lang w:val="ru-RU"/>
        </w:rPr>
        <w:t>технологического процесса</w:t>
      </w:r>
      <w:r w:rsidRPr="005E4F24">
        <w:rPr>
          <w:color w:val="00B0F0"/>
          <w:lang w:val="ru-RU"/>
        </w:rPr>
        <w:t>.</w:t>
      </w:r>
    </w:p>
    <w:p w14:paraId="3850860E" w14:textId="77777777" w:rsidR="00B16C41" w:rsidRPr="005E4F24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2. Оптимизация технологических режимов</w:t>
      </w:r>
    </w:p>
    <w:p w14:paraId="04338A73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поддержание давления и температуры в безопасных диапазонах;</w:t>
      </w:r>
    </w:p>
    <w:p w14:paraId="48531C91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режимов, вызывающих гидравлические удары и эрозию;</w:t>
      </w:r>
    </w:p>
    <w:p w14:paraId="377BC8C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регулярный контроль параметров технологического процесса;</w:t>
      </w:r>
    </w:p>
    <w:p w14:paraId="22D18B67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корректировка режимов работы с учётом сезонных температур и свойств нефти.</w:t>
      </w:r>
    </w:p>
    <w:p w14:paraId="5BDDA87C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3. Системы автоматизации и противоаварийной защиты</w:t>
      </w:r>
    </w:p>
    <w:p w14:paraId="6195947B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исправность и периодические испытания системы ПАЗ;</w:t>
      </w:r>
    </w:p>
    <w:p w14:paraId="426E210E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автоматическое отключение при аварийных параметрах;</w:t>
      </w:r>
    </w:p>
    <w:p w14:paraId="15F6DEEB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герметичности: системы обнаружения утечек, обходы оборудования ОПО.</w:t>
      </w:r>
    </w:p>
    <w:p w14:paraId="3AD2A621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4. Меры по предотвращению и снижению коррозионного износа</w:t>
      </w:r>
    </w:p>
    <w:p w14:paraId="3E3C01C7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ингибирование коррозии в трубопроводах;</w:t>
      </w:r>
    </w:p>
    <w:p w14:paraId="1F1CF534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применение антикоррозионных покрытий и контроль их состояния;</w:t>
      </w:r>
    </w:p>
    <w:p w14:paraId="34F7916D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блуждающих токов;</w:t>
      </w:r>
    </w:p>
    <w:p w14:paraId="1892CBA8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удаление воды и солей, оптимизация режима обезвоживания/обессоливания.</w:t>
      </w:r>
    </w:p>
    <w:p w14:paraId="529BA354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5. Прописной режим</w:t>
      </w:r>
    </w:p>
    <w:p w14:paraId="37D5A94E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закрытая территория;</w:t>
      </w:r>
    </w:p>
    <w:p w14:paraId="1ACCDC5F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наличие охраны периметра;</w:t>
      </w:r>
    </w:p>
    <w:p w14:paraId="402EE37B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допуска на объект;</w:t>
      </w:r>
    </w:p>
    <w:p w14:paraId="61D9BDA6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сторонних работ в охранной зоне.</w:t>
      </w:r>
    </w:p>
    <w:p w14:paraId="794D6C95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6. Минимизация влияния внешней среды</w:t>
      </w:r>
    </w:p>
    <w:p w14:paraId="2A4B83D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замерзания;</w:t>
      </w:r>
    </w:p>
    <w:p w14:paraId="2E0CD426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паводков, оползней, сезонных подвижек грунта;</w:t>
      </w:r>
    </w:p>
    <w:p w14:paraId="3D338CDF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учёт сейсмических рисков в конструкции и эксплуатации;</w:t>
      </w:r>
    </w:p>
    <w:p w14:paraId="7DB02365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молниезащита и защита от статического электричества.</w:t>
      </w:r>
    </w:p>
    <w:p w14:paraId="694AD878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7. Организационные и управленческие меры</w:t>
      </w:r>
    </w:p>
    <w:p w14:paraId="775F5A51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актуализация технологических регламентов и инструкций;</w:t>
      </w:r>
    </w:p>
    <w:p w14:paraId="2018D6C1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строгий производственный контроль;</w:t>
      </w:r>
    </w:p>
    <w:p w14:paraId="73F3715E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систематическая работа по культуре безопасности (обратная связь, разборы, обучение);</w:t>
      </w:r>
    </w:p>
    <w:p w14:paraId="5D51196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анализ и устранение причин аварий и отказов.</w:t>
      </w:r>
    </w:p>
    <w:p w14:paraId="0B47B6B9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8. Повышение квалификации и дисциплины персонала</w:t>
      </w:r>
    </w:p>
    <w:p w14:paraId="59397CD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аттестация и обучение;</w:t>
      </w:r>
    </w:p>
    <w:p w14:paraId="0D76652D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практические тренировки действий при авариях;</w:t>
      </w:r>
    </w:p>
    <w:p w14:paraId="12141D8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отработка сценариев аварийных ситуаций;</w:t>
      </w:r>
    </w:p>
    <w:p w14:paraId="28BCB38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контроль соблюдения инструкций и недопущение опасных действий.</w:t>
      </w:r>
    </w:p>
    <w:p w14:paraId="6A3F4D4D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b/>
          <w:bCs/>
          <w:color w:val="00B0F0"/>
          <w:lang w:val="ru-RU"/>
        </w:rPr>
      </w:pPr>
      <w:r w:rsidRPr="005E4F24">
        <w:rPr>
          <w:color w:val="00B0F0"/>
          <w:lang w:val="ru-RU"/>
        </w:rPr>
        <w:t>9. Готовность к локализации и ликвидации аварий</w:t>
      </w:r>
    </w:p>
    <w:p w14:paraId="19858354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наличие и готовность средств локализации разливов нефти;</w:t>
      </w:r>
    </w:p>
    <w:p w14:paraId="320BE6C3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обеспеченность сорбентами, бонами, средствами заглушения;</w:t>
      </w:r>
    </w:p>
    <w:p w14:paraId="0DA097FE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отработанные связи с подразделениями МЧС, аварийно-спасательными формированиями.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2" w:name="_Toc221032570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2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Проведенная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3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83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659DBBB" w14:textId="77777777" w:rsidR="00896323" w:rsidRPr="006F410B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604F66AE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rFonts w:eastAsia="Times New Roman"/>
          <w:lang w:val="ru-RU"/>
        </w:rPr>
        <w:t>Товарно-сырьевой склад</w:t>
      </w:r>
      <w:r w:rsidRPr="00157D11">
        <w:rPr>
          <w:rFonts w:eastAsia="Times New Roman"/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61230191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Прим.: ситуационный план для наиболее вероятной аварии С292 не приводится, т.к. отсутствуют поражающие факторы. 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17000825" w14:textId="77777777" w:rsidR="00896323" w:rsidRDefault="00896323" w:rsidP="00896323">
      <w:pPr>
        <w:rPr>
          <w:rFonts w:cs="Times New Roman"/>
          <w:sz w:val="24"/>
          <w:szCs w:val="24"/>
          <w:lang w:val="ru-RU" w:eastAsia="ru-RU"/>
        </w:rPr>
      </w:pPr>
      <w:bookmarkStart w:id="84" w:name="_Ref221267743"/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sz w:val="24"/>
          <w:szCs w:val="24"/>
          <w:lang w:val="ru-RU" w:eastAsia="ru-RU"/>
        </w:rPr>
        <w:fldChar w:fldCharType="begin"/>
      </w:r>
      <w:r w:rsidRPr="00157D11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157D11">
        <w:rPr>
          <w:rFonts w:cs="Times New Roman"/>
          <w:sz w:val="24"/>
          <w:szCs w:val="24"/>
          <w:lang w:val="ru-RU" w:eastAsia="ru-RU"/>
        </w:rPr>
        <w:fldChar w:fldCharType="separate"/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rFonts w:cs="Times New Roman"/>
          <w:sz w:val="24"/>
          <w:szCs w:val="24"/>
          <w:lang w:val="ru-RU" w:eastAsia="ru-RU"/>
        </w:rPr>
        <w:fldChar w:fldCharType="end"/>
      </w:r>
      <w:bookmarkEnd w:id="84"/>
      <w:r w:rsidRPr="00157D11">
        <w:rPr>
          <w:rFonts w:cs="Times New Roman"/>
          <w:sz w:val="24"/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4590D0" w14:textId="77777777" w:rsidR="00FB1999" w:rsidRDefault="00FB1999" w:rsidP="001570AC">
      <w:pPr>
        <w:spacing w:after="0" w:line="240" w:lineRule="auto"/>
      </w:pPr>
      <w:r>
        <w:separator/>
      </w:r>
    </w:p>
  </w:endnote>
  <w:endnote w:type="continuationSeparator" w:id="0">
    <w:p w14:paraId="108A4757" w14:textId="77777777" w:rsidR="00FB1999" w:rsidRDefault="00FB1999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581C41" w14:textId="77777777" w:rsidR="00FB1999" w:rsidRDefault="00FB1999" w:rsidP="001570AC">
      <w:pPr>
        <w:spacing w:after="0" w:line="240" w:lineRule="auto"/>
      </w:pPr>
      <w:r>
        <w:separator/>
      </w:r>
    </w:p>
  </w:footnote>
  <w:footnote w:type="continuationSeparator" w:id="0">
    <w:p w14:paraId="68B39E02" w14:textId="77777777" w:rsidR="00FB1999" w:rsidRDefault="00FB1999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6D1B97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DA01BE4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4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5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5"/>
  </w:num>
  <w:num w:numId="10" w16cid:durableId="510993585">
    <w:abstractNumId w:val="10"/>
  </w:num>
  <w:num w:numId="11" w16cid:durableId="1214536931">
    <w:abstractNumId w:val="14"/>
  </w:num>
  <w:num w:numId="12" w16cid:durableId="2141875876">
    <w:abstractNumId w:val="13"/>
  </w:num>
  <w:num w:numId="13" w16cid:durableId="98571480">
    <w:abstractNumId w:val="6"/>
  </w:num>
  <w:num w:numId="14" w16cid:durableId="540868685">
    <w:abstractNumId w:val="12"/>
  </w:num>
  <w:num w:numId="15" w16cid:durableId="1881084507">
    <w:abstractNumId w:val="11"/>
  </w:num>
  <w:num w:numId="16" w16cid:durableId="1899707719">
    <w:abstractNumId w:val="9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30B4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63D13"/>
    <w:rsid w:val="000753CB"/>
    <w:rsid w:val="00084D2E"/>
    <w:rsid w:val="0009450E"/>
    <w:rsid w:val="000B6C5E"/>
    <w:rsid w:val="000B7D8B"/>
    <w:rsid w:val="000D2202"/>
    <w:rsid w:val="000D6296"/>
    <w:rsid w:val="000D6B1D"/>
    <w:rsid w:val="000E7EC9"/>
    <w:rsid w:val="000F1B66"/>
    <w:rsid w:val="00100DE8"/>
    <w:rsid w:val="00111EC3"/>
    <w:rsid w:val="0011499A"/>
    <w:rsid w:val="0011544C"/>
    <w:rsid w:val="0012453C"/>
    <w:rsid w:val="00124780"/>
    <w:rsid w:val="00124AE3"/>
    <w:rsid w:val="00126E84"/>
    <w:rsid w:val="00132DEC"/>
    <w:rsid w:val="001342F0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30D9"/>
    <w:rsid w:val="001E77F0"/>
    <w:rsid w:val="001F2243"/>
    <w:rsid w:val="001F5D77"/>
    <w:rsid w:val="002009E4"/>
    <w:rsid w:val="00203D4F"/>
    <w:rsid w:val="002052F8"/>
    <w:rsid w:val="00210A5F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57A66"/>
    <w:rsid w:val="00260684"/>
    <w:rsid w:val="00263287"/>
    <w:rsid w:val="0027770C"/>
    <w:rsid w:val="00280751"/>
    <w:rsid w:val="00280B45"/>
    <w:rsid w:val="0029639D"/>
    <w:rsid w:val="002A13E0"/>
    <w:rsid w:val="002B2C8A"/>
    <w:rsid w:val="002B412C"/>
    <w:rsid w:val="002C419D"/>
    <w:rsid w:val="002C6D06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16D5F"/>
    <w:rsid w:val="00320CB7"/>
    <w:rsid w:val="0032301B"/>
    <w:rsid w:val="00326F90"/>
    <w:rsid w:val="00336999"/>
    <w:rsid w:val="00340D15"/>
    <w:rsid w:val="00344AFB"/>
    <w:rsid w:val="00344FA9"/>
    <w:rsid w:val="003453C2"/>
    <w:rsid w:val="00354A09"/>
    <w:rsid w:val="00355666"/>
    <w:rsid w:val="003764D2"/>
    <w:rsid w:val="00383FE4"/>
    <w:rsid w:val="00395DF3"/>
    <w:rsid w:val="003A3C72"/>
    <w:rsid w:val="003A3CE1"/>
    <w:rsid w:val="003A5C9A"/>
    <w:rsid w:val="003A669A"/>
    <w:rsid w:val="003B4473"/>
    <w:rsid w:val="003B7D5E"/>
    <w:rsid w:val="003C52AE"/>
    <w:rsid w:val="003C6364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0A41"/>
    <w:rsid w:val="00427CE0"/>
    <w:rsid w:val="0043093A"/>
    <w:rsid w:val="00434CB2"/>
    <w:rsid w:val="00435949"/>
    <w:rsid w:val="004578A1"/>
    <w:rsid w:val="0046151A"/>
    <w:rsid w:val="00462C3A"/>
    <w:rsid w:val="00463844"/>
    <w:rsid w:val="00464746"/>
    <w:rsid w:val="00464F07"/>
    <w:rsid w:val="004675A9"/>
    <w:rsid w:val="004676C8"/>
    <w:rsid w:val="00483BF6"/>
    <w:rsid w:val="00485FF9"/>
    <w:rsid w:val="00487886"/>
    <w:rsid w:val="00492511"/>
    <w:rsid w:val="004931FE"/>
    <w:rsid w:val="00493A2E"/>
    <w:rsid w:val="00495261"/>
    <w:rsid w:val="004A0987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122D"/>
    <w:rsid w:val="00552EA5"/>
    <w:rsid w:val="0056090F"/>
    <w:rsid w:val="00560B07"/>
    <w:rsid w:val="00564CED"/>
    <w:rsid w:val="00565A47"/>
    <w:rsid w:val="00571230"/>
    <w:rsid w:val="00577311"/>
    <w:rsid w:val="005857B8"/>
    <w:rsid w:val="00591860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E714B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33D1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64B8"/>
    <w:rsid w:val="006A7093"/>
    <w:rsid w:val="006D10B4"/>
    <w:rsid w:val="006D479F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368DD"/>
    <w:rsid w:val="00841DF7"/>
    <w:rsid w:val="008441D4"/>
    <w:rsid w:val="00846BE7"/>
    <w:rsid w:val="00850AC0"/>
    <w:rsid w:val="00850B30"/>
    <w:rsid w:val="00854C76"/>
    <w:rsid w:val="0086297D"/>
    <w:rsid w:val="00876C43"/>
    <w:rsid w:val="008778DD"/>
    <w:rsid w:val="008836F3"/>
    <w:rsid w:val="00883F0C"/>
    <w:rsid w:val="00886719"/>
    <w:rsid w:val="00896323"/>
    <w:rsid w:val="008B0AF5"/>
    <w:rsid w:val="008B1BFF"/>
    <w:rsid w:val="008B47F2"/>
    <w:rsid w:val="008B4BA4"/>
    <w:rsid w:val="008C0997"/>
    <w:rsid w:val="008C55F9"/>
    <w:rsid w:val="008C754D"/>
    <w:rsid w:val="008D0304"/>
    <w:rsid w:val="008D34F5"/>
    <w:rsid w:val="008D695B"/>
    <w:rsid w:val="008E0AEE"/>
    <w:rsid w:val="008E0E4B"/>
    <w:rsid w:val="008E58CE"/>
    <w:rsid w:val="008F1D02"/>
    <w:rsid w:val="008F4458"/>
    <w:rsid w:val="009034EF"/>
    <w:rsid w:val="009204BD"/>
    <w:rsid w:val="00923AC0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77DED"/>
    <w:rsid w:val="009809EB"/>
    <w:rsid w:val="009834D5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29F"/>
    <w:rsid w:val="009F0ACB"/>
    <w:rsid w:val="00A06267"/>
    <w:rsid w:val="00A10DB7"/>
    <w:rsid w:val="00A11A31"/>
    <w:rsid w:val="00A13D05"/>
    <w:rsid w:val="00A22E02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092F"/>
    <w:rsid w:val="00AD18BA"/>
    <w:rsid w:val="00AD3CC4"/>
    <w:rsid w:val="00AD52B5"/>
    <w:rsid w:val="00AD591D"/>
    <w:rsid w:val="00B123A0"/>
    <w:rsid w:val="00B131A8"/>
    <w:rsid w:val="00B16C41"/>
    <w:rsid w:val="00B208B4"/>
    <w:rsid w:val="00B2264F"/>
    <w:rsid w:val="00B23712"/>
    <w:rsid w:val="00B23A2B"/>
    <w:rsid w:val="00B253F0"/>
    <w:rsid w:val="00B47730"/>
    <w:rsid w:val="00B5411C"/>
    <w:rsid w:val="00B6458B"/>
    <w:rsid w:val="00B66EBE"/>
    <w:rsid w:val="00B7729D"/>
    <w:rsid w:val="00B9452F"/>
    <w:rsid w:val="00B95266"/>
    <w:rsid w:val="00BA3A10"/>
    <w:rsid w:val="00BA578F"/>
    <w:rsid w:val="00BC180B"/>
    <w:rsid w:val="00BD246E"/>
    <w:rsid w:val="00BD2504"/>
    <w:rsid w:val="00BD54C0"/>
    <w:rsid w:val="00BE65F6"/>
    <w:rsid w:val="00BF3831"/>
    <w:rsid w:val="00BF53B5"/>
    <w:rsid w:val="00C06679"/>
    <w:rsid w:val="00C113DA"/>
    <w:rsid w:val="00C12C94"/>
    <w:rsid w:val="00C1681F"/>
    <w:rsid w:val="00C20457"/>
    <w:rsid w:val="00C33D76"/>
    <w:rsid w:val="00C36240"/>
    <w:rsid w:val="00C40528"/>
    <w:rsid w:val="00C53AB6"/>
    <w:rsid w:val="00C55FF0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96D4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11F6"/>
    <w:rsid w:val="00DE30C0"/>
    <w:rsid w:val="00E044F0"/>
    <w:rsid w:val="00E211C6"/>
    <w:rsid w:val="00E22548"/>
    <w:rsid w:val="00E35AF9"/>
    <w:rsid w:val="00E36AEC"/>
    <w:rsid w:val="00E378FF"/>
    <w:rsid w:val="00E42521"/>
    <w:rsid w:val="00E43AB4"/>
    <w:rsid w:val="00E55155"/>
    <w:rsid w:val="00E56341"/>
    <w:rsid w:val="00E6129C"/>
    <w:rsid w:val="00E6178F"/>
    <w:rsid w:val="00E641BA"/>
    <w:rsid w:val="00E64F13"/>
    <w:rsid w:val="00E73411"/>
    <w:rsid w:val="00E86D95"/>
    <w:rsid w:val="00E94E0C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524A"/>
    <w:rsid w:val="00F32475"/>
    <w:rsid w:val="00F33E41"/>
    <w:rsid w:val="00F3615B"/>
    <w:rsid w:val="00F4310C"/>
    <w:rsid w:val="00F4624D"/>
    <w:rsid w:val="00F53271"/>
    <w:rsid w:val="00F5500B"/>
    <w:rsid w:val="00F570ED"/>
    <w:rsid w:val="00F61005"/>
    <w:rsid w:val="00F64404"/>
    <w:rsid w:val="00F776BE"/>
    <w:rsid w:val="00F801F4"/>
    <w:rsid w:val="00F830E2"/>
    <w:rsid w:val="00F9045D"/>
    <w:rsid w:val="00F91B4C"/>
    <w:rsid w:val="00F97822"/>
    <w:rsid w:val="00F97E21"/>
    <w:rsid w:val="00FA1B2D"/>
    <w:rsid w:val="00FA66C4"/>
    <w:rsid w:val="00FA728C"/>
    <w:rsid w:val="00FB1999"/>
    <w:rsid w:val="00FB60C6"/>
    <w:rsid w:val="00FB7C0F"/>
    <w:rsid w:val="00FC1739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1617</TotalTime>
  <Pages>41</Pages>
  <Words>10376</Words>
  <Characters>59144</Characters>
  <Application>Microsoft Office Word</Application>
  <DocSecurity>0</DocSecurity>
  <Lines>492</Lines>
  <Paragraphs>138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69382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326</cp:revision>
  <dcterms:created xsi:type="dcterms:W3CDTF">2013-12-23T23:15:00Z</dcterms:created>
  <dcterms:modified xsi:type="dcterms:W3CDTF">2026-04-01T12:28:00Z</dcterms:modified>
  <cp:category/>
</cp:coreProperties>
</file>