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CB62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proofErr w:type="spellStart"/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</w:t>
            </w:r>
            <w:r w:rsidRPr="004B17AE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 xml:space="preserve">Массовая доля </w:t>
            </w:r>
            <w:proofErr w:type="spellStart"/>
            <w:r w:rsidRPr="004B17AE"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 xml:space="preserve">Массовая доля смол </w:t>
            </w:r>
            <w:proofErr w:type="spellStart"/>
            <w:r w:rsidRPr="004B17AE"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 xml:space="preserve">С (при </w:t>
            </w:r>
            <w:proofErr w:type="gramStart"/>
            <w:r w:rsidRPr="004B17AE">
              <w:t>давлении  101</w:t>
            </w:r>
            <w:proofErr w:type="gramEnd"/>
            <w:r w:rsidRPr="004B17AE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 xml:space="preserve">Данные о </w:t>
            </w:r>
            <w:proofErr w:type="gramStart"/>
            <w:r w:rsidRPr="004B17AE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 xml:space="preserve">), при хранении и лабораторных испытаниях - к 4- </w:t>
            </w:r>
            <w:proofErr w:type="spellStart"/>
            <w:r w:rsidRPr="004B17AE">
              <w:t>му</w:t>
            </w:r>
            <w:proofErr w:type="spellEnd"/>
            <w:r w:rsidRPr="004B17AE">
              <w:t xml:space="preserve">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пересчете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</w:t>
            </w:r>
            <w:proofErr w:type="spellStart"/>
            <w:r w:rsidRPr="004B17AE">
              <w:t>дигидросульфид</w:t>
            </w:r>
            <w:proofErr w:type="spellEnd"/>
            <w:r w:rsidRPr="004B17AE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4B17AE">
              <w:t>Sn</w:t>
            </w:r>
            <w:proofErr w:type="spellEnd"/>
            <w:r w:rsidRPr="004B17AE">
              <w:t xml:space="preserve">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</w:t>
            </w:r>
            <w:proofErr w:type="spellStart"/>
            <w:r w:rsidRPr="004B17AE">
              <w:t>меркаптидов</w:t>
            </w:r>
            <w:proofErr w:type="spellEnd"/>
            <w:r w:rsidRPr="004B17AE">
              <w:t xml:space="preserve"> типа Me (SR) n. Сероводород вызывает коррозию Fe, Pb,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сульфидов. Сера вызывает коррозию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B17AE">
              <w:t>различных  типов</w:t>
            </w:r>
            <w:proofErr w:type="gramEnd"/>
            <w:r w:rsidRPr="004B17AE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 xml:space="preserve">1. 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 xml:space="preserve">Грунты и песок, </w:t>
            </w:r>
            <w:proofErr w:type="spellStart"/>
            <w:r w:rsidRPr="004B17AE">
              <w:t>загрязненные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нетью</w:t>
            </w:r>
            <w:proofErr w:type="spellEnd"/>
            <w:r w:rsidRPr="004B17AE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5. Вызвать скорую мед.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</w:t>
            </w:r>
            <w:proofErr w:type="gramStart"/>
            <w:r w:rsidRPr="004B17AE">
              <w:t>9)DOI</w:t>
            </w:r>
            <w:proofErr w:type="gramEnd"/>
            <w:r w:rsidRPr="004B17AE">
              <w:t>:10.32000/2072-1757-2019-6-6-9</w:t>
            </w:r>
          </w:p>
        </w:tc>
      </w:tr>
    </w:tbl>
    <w:p w14:paraId="0E960D67" w14:textId="0FBA0278" w:rsidR="00211F97" w:rsidRDefault="00211F97" w:rsidP="00E70AA7">
      <w:pPr>
        <w:spacing w:line="360" w:lineRule="auto"/>
        <w:rPr>
          <w:color w:val="FF0000"/>
        </w:rPr>
      </w:pPr>
    </w:p>
    <w:p w14:paraId="35F36E01" w14:textId="05F4CD66" w:rsidR="005B63DC" w:rsidRPr="00E14332" w:rsidRDefault="005B63DC" w:rsidP="00407820">
      <w:pPr>
        <w:spacing w:line="360" w:lineRule="auto"/>
      </w:pPr>
      <w:r w:rsidRPr="00E14332">
        <w:t xml:space="preserve">Таблица </w:t>
      </w:r>
      <w:r w:rsidRPr="00E14332">
        <w:rPr>
          <w:noProof/>
        </w:rPr>
        <w:fldChar w:fldCharType="begin"/>
      </w:r>
      <w:r w:rsidRPr="00E14332">
        <w:rPr>
          <w:noProof/>
        </w:rPr>
        <w:instrText xml:space="preserve"> SEQ Таблица \* ARABIC </w:instrText>
      </w:r>
      <w:r w:rsidRPr="00E14332">
        <w:rPr>
          <w:noProof/>
        </w:rPr>
        <w:fldChar w:fldCharType="separate"/>
      </w:r>
      <w:r w:rsidRPr="00E14332">
        <w:rPr>
          <w:noProof/>
        </w:rPr>
        <w:t>1</w:t>
      </w:r>
      <w:r w:rsidRPr="00E14332">
        <w:rPr>
          <w:noProof/>
        </w:rPr>
        <w:fldChar w:fldCharType="end"/>
      </w:r>
      <w:r w:rsidRPr="00E14332">
        <w:t xml:space="preserve">- Характеристика опасного вещества – </w:t>
      </w:r>
      <w:proofErr w:type="spellStart"/>
      <w:proofErr w:type="gramStart"/>
      <w:r w:rsidRPr="00E14332">
        <w:t>хим.реагент</w:t>
      </w:r>
      <w:proofErr w:type="spellEnd"/>
      <w:proofErr w:type="gramEnd"/>
      <w:r w:rsidRPr="00E14332">
        <w:rPr>
          <w:rStyle w:val="afff0"/>
        </w:rPr>
        <w:footnoteReference w:id="1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E14332" w14:paraId="683FFC3B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56CFE677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№№</w:t>
            </w:r>
          </w:p>
          <w:p w14:paraId="00C955B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46EA62A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Наименование</w:t>
            </w:r>
          </w:p>
          <w:p w14:paraId="28D7E00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7CBA9B1F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1DDDFD02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Источник информации</w:t>
            </w:r>
          </w:p>
        </w:tc>
      </w:tr>
      <w:tr w:rsidR="00E14332" w:rsidRPr="00E14332" w14:paraId="4C9791F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9BC60B6" w14:textId="77777777" w:rsidR="005B63DC" w:rsidRPr="00E14332" w:rsidRDefault="005B63DC" w:rsidP="004E6E7D">
            <w:pPr>
              <w:widowControl w:val="0"/>
            </w:pPr>
            <w:r w:rsidRPr="00E14332">
              <w:t>1.</w:t>
            </w:r>
          </w:p>
          <w:p w14:paraId="4AD71AEE" w14:textId="77777777" w:rsidR="005B63DC" w:rsidRPr="00E14332" w:rsidRDefault="005B63DC" w:rsidP="004E6E7D">
            <w:pPr>
              <w:widowControl w:val="0"/>
            </w:pPr>
            <w:r w:rsidRPr="00E14332">
              <w:t>1.1.</w:t>
            </w:r>
          </w:p>
          <w:p w14:paraId="3930FD32" w14:textId="77777777" w:rsidR="005B63DC" w:rsidRPr="00E14332" w:rsidRDefault="005B63DC" w:rsidP="004E6E7D">
            <w:pPr>
              <w:widowControl w:val="0"/>
            </w:pPr>
            <w:r w:rsidRPr="00E14332">
              <w:t>1.2.</w:t>
            </w:r>
          </w:p>
          <w:p w14:paraId="276E2DC0" w14:textId="77777777" w:rsidR="005B63DC" w:rsidRPr="00E14332" w:rsidRDefault="005B63DC" w:rsidP="004E6E7D">
            <w:pPr>
              <w:widowControl w:val="0"/>
            </w:pPr>
            <w:r w:rsidRPr="00E14332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8DDD646" w14:textId="77777777" w:rsidR="005B63DC" w:rsidRPr="00E14332" w:rsidRDefault="005B63DC" w:rsidP="004E6E7D">
            <w:pPr>
              <w:widowControl w:val="0"/>
            </w:pPr>
            <w:r w:rsidRPr="00E14332">
              <w:t xml:space="preserve">Наименование </w:t>
            </w:r>
          </w:p>
          <w:p w14:paraId="017205C3" w14:textId="77777777" w:rsidR="005B63DC" w:rsidRPr="00E14332" w:rsidRDefault="005B63DC" w:rsidP="004E6E7D">
            <w:pPr>
              <w:widowControl w:val="0"/>
            </w:pPr>
            <w:r w:rsidRPr="00E14332">
              <w:t>химическое</w:t>
            </w:r>
          </w:p>
          <w:p w14:paraId="0E53C483" w14:textId="77777777" w:rsidR="005B63DC" w:rsidRPr="00E14332" w:rsidRDefault="005B63DC" w:rsidP="004E6E7D">
            <w:pPr>
              <w:widowControl w:val="0"/>
            </w:pPr>
            <w:r w:rsidRPr="00E14332">
              <w:t>торговое</w:t>
            </w:r>
          </w:p>
          <w:p w14:paraId="3EA691AF" w14:textId="77777777" w:rsidR="005B63DC" w:rsidRPr="00E14332" w:rsidRDefault="005B63DC" w:rsidP="004E6E7D">
            <w:pPr>
              <w:widowControl w:val="0"/>
            </w:pPr>
            <w:r w:rsidRPr="00E14332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72FBF7B" w14:textId="77777777" w:rsidR="005B63DC" w:rsidRPr="00E14332" w:rsidRDefault="005B63DC" w:rsidP="004E6E7D">
            <w:pPr>
              <w:widowControl w:val="0"/>
              <w:jc w:val="center"/>
            </w:pPr>
          </w:p>
          <w:p w14:paraId="1DD185D6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-</w:t>
            </w:r>
          </w:p>
          <w:p w14:paraId="0A082668" w14:textId="2C847E8E" w:rsidR="005B63DC" w:rsidRPr="00E14332" w:rsidRDefault="00FC6F27" w:rsidP="004E6E7D">
            <w:pPr>
              <w:widowControl w:val="0"/>
              <w:jc w:val="center"/>
            </w:pPr>
            <w:proofErr w:type="spellStart"/>
            <w:proofErr w:type="gramStart"/>
            <w:r w:rsidRPr="00E14332">
              <w:t>хим.реагент</w:t>
            </w:r>
            <w:proofErr w:type="spellEnd"/>
            <w:proofErr w:type="gramEnd"/>
          </w:p>
          <w:p w14:paraId="75B61814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горючая жидкость</w:t>
            </w:r>
          </w:p>
        </w:tc>
        <w:tc>
          <w:tcPr>
            <w:tcW w:w="2436" w:type="dxa"/>
            <w:vMerge w:val="restart"/>
          </w:tcPr>
          <w:p w14:paraId="65C6AF39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123D1692" w14:textId="63751C90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2. </w:t>
            </w:r>
            <w:r w:rsidR="004B17AE" w:rsidRPr="00E14332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768D5EC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6DC88487" w14:textId="77777777" w:rsidR="005B63DC" w:rsidRPr="00E14332" w:rsidRDefault="005B63DC" w:rsidP="004E6E7D">
            <w:pPr>
              <w:widowControl w:val="0"/>
            </w:pPr>
            <w:r w:rsidRPr="00E14332">
              <w:t>2.</w:t>
            </w:r>
          </w:p>
          <w:p w14:paraId="40912548" w14:textId="77777777" w:rsidR="005B63DC" w:rsidRPr="00E14332" w:rsidRDefault="005B63DC" w:rsidP="004E6E7D">
            <w:pPr>
              <w:widowControl w:val="0"/>
            </w:pPr>
            <w:r w:rsidRPr="00E14332">
              <w:t>2.1.</w:t>
            </w:r>
          </w:p>
          <w:p w14:paraId="1B5006E9" w14:textId="77777777" w:rsidR="005B63DC" w:rsidRPr="00E14332" w:rsidRDefault="005B63DC" w:rsidP="004E6E7D">
            <w:pPr>
              <w:widowControl w:val="0"/>
            </w:pPr>
            <w:r w:rsidRPr="00E14332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825E49F" w14:textId="77777777" w:rsidR="005B63DC" w:rsidRPr="00E14332" w:rsidRDefault="005B63DC" w:rsidP="004E6E7D">
            <w:pPr>
              <w:widowControl w:val="0"/>
            </w:pPr>
            <w:r w:rsidRPr="00E14332">
              <w:t>Формула</w:t>
            </w:r>
          </w:p>
          <w:p w14:paraId="10C088A6" w14:textId="77777777" w:rsidR="005B63DC" w:rsidRPr="00E14332" w:rsidRDefault="005B63DC" w:rsidP="004E6E7D">
            <w:pPr>
              <w:widowControl w:val="0"/>
            </w:pPr>
            <w:r w:rsidRPr="00E14332">
              <w:t>эмпирическая</w:t>
            </w:r>
          </w:p>
          <w:p w14:paraId="4546F676" w14:textId="77777777" w:rsidR="005B63DC" w:rsidRPr="00E14332" w:rsidRDefault="005B63DC" w:rsidP="004E6E7D">
            <w:pPr>
              <w:widowControl w:val="0"/>
            </w:pPr>
            <w:r w:rsidRPr="00E14332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E69E282" w14:textId="77777777" w:rsidR="005B63DC" w:rsidRPr="00E14332" w:rsidRDefault="005B63DC" w:rsidP="004E6E7D">
            <w:pPr>
              <w:widowControl w:val="0"/>
              <w:jc w:val="center"/>
            </w:pPr>
          </w:p>
          <w:p w14:paraId="4F2386AB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–</w:t>
            </w:r>
          </w:p>
          <w:p w14:paraId="20F2281D" w14:textId="23F78AEC" w:rsidR="005B63DC" w:rsidRPr="00E14332" w:rsidRDefault="00FC6F27" w:rsidP="00FC6F27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04F999C9" w14:textId="77777777" w:rsidR="005B63DC" w:rsidRPr="00E14332" w:rsidRDefault="005B63DC" w:rsidP="004E6E7D">
            <w:pPr>
              <w:widowControl w:val="0"/>
              <w:jc w:val="both"/>
            </w:pPr>
          </w:p>
        </w:tc>
      </w:tr>
      <w:tr w:rsidR="00E14332" w:rsidRPr="00E14332" w14:paraId="45DA58D6" w14:textId="77777777" w:rsidTr="00E14332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AD3D0" w14:textId="77777777" w:rsidR="00FC6F27" w:rsidRPr="00E14332" w:rsidRDefault="00FC6F27" w:rsidP="004E6E7D">
            <w:pPr>
              <w:widowControl w:val="0"/>
            </w:pPr>
            <w:r w:rsidRPr="00E14332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C976D" w14:textId="791D763E" w:rsidR="00FC6F27" w:rsidRPr="00E14332" w:rsidRDefault="00FC6F27" w:rsidP="004E6E7D">
            <w:pPr>
              <w:widowControl w:val="0"/>
            </w:pPr>
            <w:r w:rsidRPr="00E14332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E9E14D" w14:textId="2E511EF5" w:rsidR="00FC6F27" w:rsidRPr="00E14332" w:rsidRDefault="00FC6F27" w:rsidP="004E6E7D">
            <w:pPr>
              <w:widowControl w:val="0"/>
              <w:jc w:val="center"/>
            </w:pPr>
            <w:r w:rsidRPr="00E14332">
              <w:t>Зависит от марки (основа метанол)</w:t>
            </w:r>
          </w:p>
        </w:tc>
        <w:tc>
          <w:tcPr>
            <w:tcW w:w="2436" w:type="dxa"/>
            <w:vMerge/>
          </w:tcPr>
          <w:p w14:paraId="4175235C" w14:textId="77777777" w:rsidR="00FC6F27" w:rsidRPr="00E14332" w:rsidRDefault="00FC6F27" w:rsidP="004E6E7D">
            <w:pPr>
              <w:widowControl w:val="0"/>
              <w:jc w:val="both"/>
            </w:pPr>
          </w:p>
        </w:tc>
      </w:tr>
      <w:tr w:rsidR="00E14332" w:rsidRPr="00E14332" w14:paraId="3517AE78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6E4E43B5" w14:textId="77777777" w:rsidR="005B63DC" w:rsidRPr="00E14332" w:rsidRDefault="005B63DC" w:rsidP="004E6E7D">
            <w:pPr>
              <w:widowControl w:val="0"/>
            </w:pPr>
            <w:r w:rsidRPr="00E14332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B8864F9" w14:textId="77777777" w:rsidR="005B63DC" w:rsidRPr="00E14332" w:rsidRDefault="005B63DC" w:rsidP="004E6E7D">
            <w:pPr>
              <w:widowControl w:val="0"/>
            </w:pPr>
            <w:r w:rsidRPr="00E14332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A969154" w14:textId="77777777" w:rsidR="005B63DC" w:rsidRPr="00E14332" w:rsidRDefault="005B63DC" w:rsidP="004E6E7D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0D521A7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4C24A696" w14:textId="57F9B7BF" w:rsidR="005B63DC" w:rsidRPr="00E14332" w:rsidRDefault="00FC6F27" w:rsidP="004E6E7D">
            <w:pPr>
              <w:widowControl w:val="0"/>
              <w:jc w:val="both"/>
            </w:pPr>
            <w:r w:rsidRPr="00E14332">
              <w:t>2</w:t>
            </w:r>
            <w:r w:rsidR="005B63DC" w:rsidRPr="00E14332">
              <w:t xml:space="preserve">. </w:t>
            </w:r>
            <w:r w:rsidR="004B17AE" w:rsidRPr="00E14332">
              <w:t xml:space="preserve">Технологический регламент ООО «Башнефть-Добыча» </w:t>
            </w:r>
            <w:r w:rsidR="004B17AE" w:rsidRPr="00E14332">
              <w:lastRenderedPageBreak/>
              <w:t>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1AF0008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88D1399" w14:textId="77777777" w:rsidR="005B63DC" w:rsidRPr="00E14332" w:rsidRDefault="005B63DC" w:rsidP="004E6E7D">
            <w:pPr>
              <w:widowControl w:val="0"/>
            </w:pPr>
            <w:r w:rsidRPr="00E14332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735C4E7" w14:textId="77777777" w:rsidR="005B63DC" w:rsidRPr="00E14332" w:rsidRDefault="005B63DC" w:rsidP="004E6E7D">
            <w:pPr>
              <w:widowControl w:val="0"/>
            </w:pPr>
            <w:r w:rsidRPr="00E14332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34CF901C" w14:textId="3BF6C1E7" w:rsidR="005B63DC" w:rsidRPr="00E14332" w:rsidRDefault="00FC6F27" w:rsidP="004E6E7D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19D852DF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0661E1B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4518B93" w14:textId="77777777" w:rsidR="005B63DC" w:rsidRPr="00E14332" w:rsidRDefault="005B63DC" w:rsidP="004E6E7D">
            <w:pPr>
              <w:widowControl w:val="0"/>
            </w:pPr>
            <w:r w:rsidRPr="00E14332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76426EC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кипения, </w:t>
            </w:r>
            <w:r w:rsidRPr="00E14332">
              <w:rPr>
                <w:vertAlign w:val="superscript"/>
              </w:rPr>
              <w:t>0</w:t>
            </w:r>
            <w:r w:rsidRPr="00E14332">
              <w:t xml:space="preserve">С (при </w:t>
            </w:r>
            <w:proofErr w:type="gramStart"/>
            <w:r w:rsidRPr="00E14332">
              <w:t>давлении  101</w:t>
            </w:r>
            <w:proofErr w:type="gramEnd"/>
            <w:r w:rsidRPr="00E14332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6835FF21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A897531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57E3689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741C3E1B" w14:textId="77777777" w:rsidR="005B63DC" w:rsidRPr="00E14332" w:rsidRDefault="005B63DC" w:rsidP="004E6E7D">
            <w:pPr>
              <w:widowControl w:val="0"/>
            </w:pPr>
            <w:r w:rsidRPr="00E14332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A8786D8" w14:textId="77777777" w:rsidR="005B63DC" w:rsidRPr="00E14332" w:rsidRDefault="005B63DC" w:rsidP="004E6E7D">
            <w:pPr>
              <w:widowControl w:val="0"/>
            </w:pPr>
            <w:r w:rsidRPr="00E14332">
              <w:t xml:space="preserve">плотность при 20 </w:t>
            </w:r>
            <w:r w:rsidRPr="00E14332">
              <w:rPr>
                <w:vertAlign w:val="superscript"/>
              </w:rPr>
              <w:t>0</w:t>
            </w:r>
            <w:r w:rsidRPr="00E14332">
              <w:t>С,</w:t>
            </w:r>
          </w:p>
          <w:p w14:paraId="3C4D022F" w14:textId="77777777" w:rsidR="005B63DC" w:rsidRPr="00E14332" w:rsidRDefault="005B63DC" w:rsidP="004E6E7D">
            <w:pPr>
              <w:widowControl w:val="0"/>
            </w:pPr>
            <w:r w:rsidRPr="00E14332">
              <w:t>кг/м</w:t>
            </w:r>
            <w:r w:rsidRPr="00E14332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71598656" w14:textId="48926001" w:rsidR="005B63DC" w:rsidRPr="00E14332" w:rsidRDefault="00FC6F27" w:rsidP="004E6E7D">
            <w:pPr>
              <w:widowControl w:val="0"/>
              <w:jc w:val="center"/>
              <w:rPr>
                <w:highlight w:val="green"/>
                <w:lang w:val="en-US"/>
              </w:rPr>
            </w:pPr>
            <w:r w:rsidRPr="00E14332">
              <w:rPr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1283731A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0B63A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4A312367" w14:textId="77777777" w:rsidR="005B63DC" w:rsidRPr="00E14332" w:rsidRDefault="005B63DC" w:rsidP="004E6E7D">
            <w:pPr>
              <w:widowControl w:val="0"/>
            </w:pPr>
            <w:r w:rsidRPr="00E14332">
              <w:lastRenderedPageBreak/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5A28147D" w14:textId="77777777" w:rsidR="005B63DC" w:rsidRPr="00E14332" w:rsidRDefault="005B63DC" w:rsidP="004E6E7D">
            <w:pPr>
              <w:widowControl w:val="0"/>
            </w:pPr>
            <w:r w:rsidRPr="00E14332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4EA6D2BB" w14:textId="5E4DB951" w:rsidR="005B63DC" w:rsidRPr="00E14332" w:rsidRDefault="00FC6F27" w:rsidP="004E6E7D">
            <w:pPr>
              <w:widowControl w:val="0"/>
              <w:jc w:val="center"/>
              <w:rPr>
                <w:highlight w:val="green"/>
              </w:rPr>
            </w:pPr>
            <w:r w:rsidRPr="00E14332">
              <w:t>35 - 42</w:t>
            </w:r>
          </w:p>
        </w:tc>
        <w:tc>
          <w:tcPr>
            <w:tcW w:w="2436" w:type="dxa"/>
            <w:vMerge/>
          </w:tcPr>
          <w:p w14:paraId="70EF292C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359B89F5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9FA385C" w14:textId="77777777" w:rsidR="005B63DC" w:rsidRPr="00E14332" w:rsidRDefault="005B63DC" w:rsidP="004E6E7D">
            <w:pPr>
              <w:widowControl w:val="0"/>
            </w:pPr>
            <w:r w:rsidRPr="00E14332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7F50FA95" w14:textId="77777777" w:rsidR="005B63DC" w:rsidRPr="00E14332" w:rsidRDefault="005B63DC" w:rsidP="004E6E7D">
            <w:pPr>
              <w:widowControl w:val="0"/>
            </w:pPr>
            <w:r w:rsidRPr="00E14332">
              <w:t xml:space="preserve">Данные о </w:t>
            </w:r>
            <w:proofErr w:type="gramStart"/>
            <w:r w:rsidRPr="00E14332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60AA2C2D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B6D9289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17DD67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B083CF8" w14:textId="77777777" w:rsidR="005B63DC" w:rsidRPr="00E14332" w:rsidRDefault="005B63DC" w:rsidP="004E6E7D">
            <w:pPr>
              <w:widowControl w:val="0"/>
            </w:pPr>
            <w:r w:rsidRPr="00E14332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617BC13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вспышки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9717C5" w14:textId="3B184E1A" w:rsidR="005B63DC" w:rsidRPr="00E14332" w:rsidRDefault="00FC6F27" w:rsidP="004E6E7D">
            <w:pPr>
              <w:widowControl w:val="0"/>
              <w:jc w:val="center"/>
            </w:pPr>
            <w:r w:rsidRPr="00E14332">
              <w:t>+25</w:t>
            </w:r>
          </w:p>
        </w:tc>
        <w:tc>
          <w:tcPr>
            <w:tcW w:w="2436" w:type="dxa"/>
            <w:vMerge/>
          </w:tcPr>
          <w:p w14:paraId="4A77A593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461AA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D95B2EE" w14:textId="77777777" w:rsidR="005B63DC" w:rsidRPr="00E14332" w:rsidRDefault="005B63DC" w:rsidP="004E6E7D">
            <w:pPr>
              <w:widowControl w:val="0"/>
            </w:pPr>
            <w:r w:rsidRPr="00E14332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2FE0756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самовоспламенения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66C54E5" w14:textId="6D9C60FE" w:rsidR="005B63DC" w:rsidRPr="00E14332" w:rsidRDefault="00FC6F27" w:rsidP="004E6E7D">
            <w:pPr>
              <w:widowControl w:val="0"/>
              <w:jc w:val="center"/>
            </w:pPr>
            <w:r w:rsidRPr="00E14332">
              <w:t>442</w:t>
            </w:r>
          </w:p>
        </w:tc>
        <w:tc>
          <w:tcPr>
            <w:tcW w:w="2436" w:type="dxa"/>
            <w:vMerge/>
          </w:tcPr>
          <w:p w14:paraId="2501A93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76092AF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47E39EAF" w14:textId="77777777" w:rsidR="005B63DC" w:rsidRPr="00E14332" w:rsidRDefault="005B63DC" w:rsidP="004E6E7D">
            <w:pPr>
              <w:widowControl w:val="0"/>
            </w:pPr>
            <w:r w:rsidRPr="00E14332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24B76F2" w14:textId="77777777" w:rsidR="005B63DC" w:rsidRPr="00E14332" w:rsidRDefault="005B63DC" w:rsidP="004E6E7D">
            <w:pPr>
              <w:widowControl w:val="0"/>
            </w:pPr>
            <w:r w:rsidRPr="00E14332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41ECD73" w14:textId="7C1D17E0" w:rsidR="005B63DC" w:rsidRPr="00E14332" w:rsidRDefault="00FC6F27" w:rsidP="004E6E7D">
            <w:pPr>
              <w:widowControl w:val="0"/>
              <w:jc w:val="center"/>
            </w:pPr>
            <w:r w:rsidRPr="00E14332">
              <w:t>6,98-35,5</w:t>
            </w:r>
          </w:p>
        </w:tc>
        <w:tc>
          <w:tcPr>
            <w:tcW w:w="2436" w:type="dxa"/>
            <w:vMerge/>
          </w:tcPr>
          <w:p w14:paraId="4CBC7CB6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27D3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8C2C95B" w14:textId="79DC5939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3B390BC" w14:textId="74E11480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5AC44C9E" w14:textId="1557E11C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37BC3ED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547781D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F4B7887" w14:textId="77777777" w:rsidR="005B63DC" w:rsidRPr="00E14332" w:rsidRDefault="005B63DC" w:rsidP="00FC6F27">
            <w:pPr>
              <w:widowControl w:val="0"/>
            </w:pPr>
            <w:r w:rsidRPr="00E14332"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0D5BDE6A" w14:textId="77777777" w:rsidR="005B63DC" w:rsidRPr="00E14332" w:rsidRDefault="005B63DC" w:rsidP="004E6E7D">
            <w:pPr>
              <w:widowControl w:val="0"/>
            </w:pPr>
            <w:r w:rsidRPr="00E14332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1870364B" w14:textId="142E5BC6" w:rsidR="005B63DC" w:rsidRPr="00E14332" w:rsidRDefault="00FC6F27" w:rsidP="004E6E7D">
            <w:pPr>
              <w:widowControl w:val="0"/>
              <w:jc w:val="center"/>
            </w:pPr>
            <w:r w:rsidRPr="00E14332">
              <w:t>Относится</w:t>
            </w:r>
            <w:r w:rsidR="005B63DC" w:rsidRPr="00E14332">
              <w:t xml:space="preserve"> к 3-му классу опасности (</w:t>
            </w:r>
            <w:r w:rsidRPr="00E14332">
              <w:t>по метанолу 15/5 мг/м</w:t>
            </w:r>
            <w:r w:rsidRPr="00E14332">
              <w:rPr>
                <w:vertAlign w:val="superscript"/>
              </w:rPr>
              <w:t>3</w:t>
            </w:r>
            <w:r w:rsidRPr="00E14332">
              <w:t>)</w:t>
            </w:r>
          </w:p>
        </w:tc>
        <w:tc>
          <w:tcPr>
            <w:tcW w:w="2436" w:type="dxa"/>
            <w:vMerge w:val="restart"/>
          </w:tcPr>
          <w:p w14:paraId="23DF8E0D" w14:textId="220AF640" w:rsidR="005B63DC" w:rsidRPr="00E14332" w:rsidRDefault="005B63DC" w:rsidP="004E6E7D">
            <w:pPr>
              <w:widowControl w:val="0"/>
            </w:pPr>
            <w:r w:rsidRPr="00E14332"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5259420B" w14:textId="51836976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44E547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61D7BB63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2C3CB06A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vMerge/>
          </w:tcPr>
          <w:p w14:paraId="2F48981E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0F0086ED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0D6677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81C8A97" w14:textId="77777777" w:rsidR="005B63DC" w:rsidRPr="00E14332" w:rsidRDefault="005B63DC" w:rsidP="004E6E7D">
            <w:pPr>
              <w:widowControl w:val="0"/>
            </w:pPr>
            <w:r w:rsidRPr="00E14332">
              <w:t>7.</w:t>
            </w:r>
          </w:p>
        </w:tc>
        <w:tc>
          <w:tcPr>
            <w:tcW w:w="2530" w:type="dxa"/>
            <w:vAlign w:val="center"/>
          </w:tcPr>
          <w:p w14:paraId="09FDACBC" w14:textId="77777777" w:rsidR="005B63DC" w:rsidRPr="00E14332" w:rsidRDefault="005B63DC" w:rsidP="004E6E7D">
            <w:pPr>
              <w:widowControl w:val="0"/>
            </w:pPr>
            <w:r w:rsidRPr="00E14332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63D84EA9" w14:textId="07453810" w:rsidR="005B63DC" w:rsidRPr="00E14332" w:rsidRDefault="00FC6F27" w:rsidP="004E6E7D">
            <w:pPr>
              <w:widowControl w:val="0"/>
              <w:jc w:val="both"/>
            </w:pPr>
            <w:r w:rsidRPr="00E14332"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C4E833B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171F01F0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C20E321" w14:textId="77777777" w:rsidR="005B63DC" w:rsidRPr="00E14332" w:rsidRDefault="005B63DC" w:rsidP="004E6E7D">
            <w:pPr>
              <w:widowControl w:val="0"/>
            </w:pPr>
            <w:r w:rsidRPr="00E14332">
              <w:t>8.</w:t>
            </w:r>
          </w:p>
        </w:tc>
        <w:tc>
          <w:tcPr>
            <w:tcW w:w="2530" w:type="dxa"/>
            <w:vAlign w:val="center"/>
          </w:tcPr>
          <w:p w14:paraId="14B66B97" w14:textId="77777777" w:rsidR="005B63DC" w:rsidRPr="00E14332" w:rsidRDefault="005B63DC" w:rsidP="004E6E7D">
            <w:pPr>
              <w:widowControl w:val="0"/>
            </w:pPr>
            <w:r w:rsidRPr="00E14332">
              <w:t>Запах</w:t>
            </w:r>
          </w:p>
        </w:tc>
        <w:tc>
          <w:tcPr>
            <w:tcW w:w="3998" w:type="dxa"/>
            <w:vAlign w:val="center"/>
          </w:tcPr>
          <w:p w14:paraId="354A4A69" w14:textId="054EAB98" w:rsidR="005B63DC" w:rsidRPr="00E14332" w:rsidRDefault="00FC6F27" w:rsidP="004E6E7D">
            <w:pPr>
              <w:widowControl w:val="0"/>
              <w:jc w:val="both"/>
            </w:pPr>
            <w:r w:rsidRPr="00E14332">
              <w:t xml:space="preserve">Слабо ароматизированный. Порог восприятия </w:t>
            </w:r>
            <w:proofErr w:type="gramStart"/>
            <w:r w:rsidRPr="00E14332">
              <w:t>запаха  из</w:t>
            </w:r>
            <w:proofErr w:type="gramEnd"/>
            <w:r w:rsidRPr="00E14332"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7E156DB7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Справочник </w:t>
            </w:r>
            <w:proofErr w:type="spellStart"/>
            <w:r w:rsidRPr="00E14332">
              <w:t>нефтепереработчика</w:t>
            </w:r>
            <w:proofErr w:type="spellEnd"/>
            <w:r w:rsidRPr="00E14332">
              <w:t xml:space="preserve"> под ред. Ластовкина Г.А., Радченко Е.Д., Рудина М.Г.: Л., Химия, 1986 г.</w:t>
            </w:r>
          </w:p>
        </w:tc>
      </w:tr>
      <w:tr w:rsidR="00E14332" w:rsidRPr="00E14332" w14:paraId="3BDA9911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B9A22CA" w14:textId="77777777" w:rsidR="005B63DC" w:rsidRPr="00E14332" w:rsidRDefault="005B63DC" w:rsidP="004E6E7D">
            <w:pPr>
              <w:widowControl w:val="0"/>
            </w:pPr>
            <w:r w:rsidRPr="00E14332">
              <w:t>9.</w:t>
            </w:r>
          </w:p>
        </w:tc>
        <w:tc>
          <w:tcPr>
            <w:tcW w:w="2530" w:type="dxa"/>
            <w:vAlign w:val="center"/>
          </w:tcPr>
          <w:p w14:paraId="0335679E" w14:textId="77777777" w:rsidR="005B63DC" w:rsidRPr="00E14332" w:rsidRDefault="005B63DC" w:rsidP="004E6E7D">
            <w:pPr>
              <w:widowControl w:val="0"/>
            </w:pPr>
            <w:r w:rsidRPr="00E14332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32D4CFC6" w14:textId="21B963F8" w:rsidR="005B63DC" w:rsidRPr="00E14332" w:rsidRDefault="00FC6F27" w:rsidP="004E6E7D">
            <w:pPr>
              <w:widowControl w:val="0"/>
              <w:jc w:val="both"/>
            </w:pPr>
            <w:r w:rsidRPr="00E14332"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29339B5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E14332" w14:paraId="0E46320B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C2EF9D1" w14:textId="77777777" w:rsidR="005B63DC" w:rsidRPr="00E14332" w:rsidRDefault="005B63DC" w:rsidP="004E6E7D">
            <w:pPr>
              <w:widowControl w:val="0"/>
            </w:pPr>
            <w:r w:rsidRPr="00E14332">
              <w:t>10.</w:t>
            </w:r>
          </w:p>
        </w:tc>
        <w:tc>
          <w:tcPr>
            <w:tcW w:w="2530" w:type="dxa"/>
            <w:vAlign w:val="center"/>
          </w:tcPr>
          <w:p w14:paraId="41329C32" w14:textId="77777777" w:rsidR="005B63DC" w:rsidRPr="00E14332" w:rsidRDefault="005B63DC" w:rsidP="004E6E7D">
            <w:pPr>
              <w:widowControl w:val="0"/>
            </w:pPr>
            <w:r w:rsidRPr="00E14332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D9EF8C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Исключить попадание на кожу рук и лица.</w:t>
            </w:r>
          </w:p>
          <w:p w14:paraId="66BA3F6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2. Оснащение рабочих мест средствами безопасности, приборами контроля загазованности.</w:t>
            </w:r>
          </w:p>
          <w:p w14:paraId="1220631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7F85193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Вредные вещества в промышленности. Справочник. Химия, Л., в трех томах, под ред.</w:t>
            </w:r>
          </w:p>
          <w:p w14:paraId="3024C92B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E14332" w:rsidRPr="00E14332" w14:paraId="4EACF24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5FA850C" w14:textId="77777777" w:rsidR="005B63DC" w:rsidRPr="00E14332" w:rsidRDefault="005B63DC" w:rsidP="004E6E7D">
            <w:pPr>
              <w:widowControl w:val="0"/>
            </w:pPr>
            <w:r w:rsidRPr="00E14332">
              <w:t>11.</w:t>
            </w:r>
          </w:p>
        </w:tc>
        <w:tc>
          <w:tcPr>
            <w:tcW w:w="2530" w:type="dxa"/>
            <w:vAlign w:val="center"/>
          </w:tcPr>
          <w:p w14:paraId="66CEE7E9" w14:textId="77777777" w:rsidR="005B63DC" w:rsidRPr="00E14332" w:rsidRDefault="005B63DC" w:rsidP="004E6E7D">
            <w:pPr>
              <w:widowControl w:val="0"/>
            </w:pPr>
            <w:r w:rsidRPr="00E14332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2AA3CB95" w14:textId="19858D46" w:rsidR="005B63DC" w:rsidRPr="00E14332" w:rsidRDefault="005B63DC" w:rsidP="004E6E7D">
            <w:pPr>
              <w:widowControl w:val="0"/>
              <w:jc w:val="both"/>
            </w:pPr>
            <w:r w:rsidRPr="00E14332"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68C5E938" w14:textId="33896F87" w:rsidR="005B63DC" w:rsidRPr="00E14332" w:rsidRDefault="005B63DC" w:rsidP="004E6E7D">
            <w:pPr>
              <w:widowControl w:val="0"/>
              <w:jc w:val="both"/>
            </w:pPr>
            <w:r w:rsidRPr="00E14332">
              <w:rPr>
                <w:highlight w:val="cyan"/>
              </w:rPr>
              <w:lastRenderedPageBreak/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0B90FE3C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lastRenderedPageBreak/>
              <w:t>Вредные вещества в промышленности. Справочник. Химия, Л., в трех томах, под ред.</w:t>
            </w:r>
          </w:p>
          <w:p w14:paraId="5476050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407820" w:rsidRPr="00407820" w14:paraId="7B3059F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BD87CB7" w14:textId="77777777" w:rsidR="005B63DC" w:rsidRPr="00407820" w:rsidRDefault="005B63DC" w:rsidP="004E6E7D">
            <w:pPr>
              <w:widowControl w:val="0"/>
            </w:pPr>
            <w:r w:rsidRPr="00407820">
              <w:t>12.</w:t>
            </w:r>
          </w:p>
        </w:tc>
        <w:tc>
          <w:tcPr>
            <w:tcW w:w="2530" w:type="dxa"/>
            <w:vAlign w:val="center"/>
          </w:tcPr>
          <w:p w14:paraId="1B356547" w14:textId="77777777" w:rsidR="005B63DC" w:rsidRPr="00407820" w:rsidRDefault="005B63DC" w:rsidP="004E6E7D">
            <w:pPr>
              <w:widowControl w:val="0"/>
            </w:pPr>
            <w:r w:rsidRPr="00407820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6A7B24B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07820">
              <w:t>различных  типов</w:t>
            </w:r>
            <w:proofErr w:type="gramEnd"/>
            <w:r w:rsidRPr="00407820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113D5F9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1. Справочник </w:t>
            </w:r>
            <w:proofErr w:type="spellStart"/>
            <w:r w:rsidRPr="00407820">
              <w:t>нефтепереработчика</w:t>
            </w:r>
            <w:proofErr w:type="spellEnd"/>
            <w:r w:rsidRPr="00407820">
              <w:t xml:space="preserve"> под ред. Ластовкина Г.А., Радченко Е.Д., Рудина М.Г.: Л., Химия, 1986 г.</w:t>
            </w:r>
          </w:p>
          <w:p w14:paraId="7A892A80" w14:textId="77777777" w:rsidR="005B63DC" w:rsidRPr="00407820" w:rsidRDefault="005B63DC" w:rsidP="004E6E7D">
            <w:pPr>
              <w:widowControl w:val="0"/>
              <w:jc w:val="both"/>
            </w:pPr>
          </w:p>
        </w:tc>
      </w:tr>
      <w:tr w:rsidR="00407820" w:rsidRPr="00407820" w14:paraId="09FC07A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08F98240" w14:textId="77777777" w:rsidR="005B63DC" w:rsidRPr="00407820" w:rsidRDefault="005B63DC" w:rsidP="004E6E7D">
            <w:pPr>
              <w:widowControl w:val="0"/>
            </w:pPr>
            <w:r w:rsidRPr="00407820">
              <w:t>13.</w:t>
            </w:r>
          </w:p>
        </w:tc>
        <w:tc>
          <w:tcPr>
            <w:tcW w:w="2530" w:type="dxa"/>
          </w:tcPr>
          <w:p w14:paraId="67069967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338018D" w14:textId="77777777" w:rsidR="005B63DC" w:rsidRPr="00407820" w:rsidRDefault="005B63DC" w:rsidP="004E6E7D">
            <w:pPr>
              <w:widowControl w:val="0"/>
            </w:pPr>
            <w:r w:rsidRPr="00407820">
              <w:t>Сбор нефти сорбентами с последующей утилизацией.</w:t>
            </w:r>
          </w:p>
          <w:p w14:paraId="16A03EBD" w14:textId="77777777" w:rsidR="005B63DC" w:rsidRPr="00407820" w:rsidRDefault="005B63DC" w:rsidP="004E6E7D">
            <w:pPr>
              <w:widowControl w:val="0"/>
            </w:pPr>
            <w:r w:rsidRPr="00407820">
              <w:t xml:space="preserve">Грунты и песок, </w:t>
            </w:r>
            <w:proofErr w:type="spellStart"/>
            <w:r w:rsidRPr="00407820">
              <w:t>загрязненные</w:t>
            </w:r>
            <w:proofErr w:type="spellEnd"/>
            <w:r w:rsidRPr="00407820">
              <w:t xml:space="preserve"> </w:t>
            </w:r>
            <w:proofErr w:type="spellStart"/>
            <w:r w:rsidRPr="00407820">
              <w:t>нетью</w:t>
            </w:r>
            <w:proofErr w:type="spellEnd"/>
            <w:r w:rsidRPr="00407820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1C939B34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Вредные вещества в промышленности. Справочник. Химия, Л., в трех томах, под ред.</w:t>
            </w:r>
          </w:p>
          <w:p w14:paraId="65B5C96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</w:tc>
      </w:tr>
      <w:tr w:rsidR="00407820" w:rsidRPr="00407820" w14:paraId="06A2C37C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24BF457A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8D913B0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1AD533E3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Вывести пострадавшего из загазованной зоны на свежий воздух, удобно уложить.</w:t>
            </w:r>
          </w:p>
          <w:p w14:paraId="003442FE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Освободить от стесняющей одежды.</w:t>
            </w:r>
          </w:p>
          <w:p w14:paraId="6FFAAE3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3. Покой, тепло, чай, успокаивающие средства.</w:t>
            </w:r>
          </w:p>
          <w:p w14:paraId="7EFB3B3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4. В тяжелых случаях искусственное дыхание методами «рот в рот», и «рот в нос».</w:t>
            </w:r>
          </w:p>
          <w:p w14:paraId="071AB7B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5. Вызвать скорую мед. помощь.</w:t>
            </w:r>
          </w:p>
          <w:p w14:paraId="2706DD7F" w14:textId="77777777" w:rsidR="005B63DC" w:rsidRPr="00407820" w:rsidRDefault="005B63DC" w:rsidP="004E6E7D">
            <w:pPr>
              <w:widowControl w:val="0"/>
              <w:jc w:val="both"/>
              <w:rPr>
                <w:highlight w:val="cyan"/>
              </w:rPr>
            </w:pPr>
            <w:r w:rsidRPr="00407820">
              <w:rPr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D6C07D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rPr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</w:t>
            </w:r>
            <w:r w:rsidRPr="00407820">
              <w:rPr>
                <w:highlight w:val="cyan"/>
              </w:rPr>
              <w:lastRenderedPageBreak/>
              <w:t>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4475672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lastRenderedPageBreak/>
              <w:t>1. Вредные вещества в промышленности. Справочник. Химия, Л., в трех томах, под ред.</w:t>
            </w:r>
          </w:p>
          <w:p w14:paraId="6702DE7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  <w:p w14:paraId="741C7362" w14:textId="77777777" w:rsidR="005B63DC" w:rsidRPr="00407820" w:rsidRDefault="005B63DC" w:rsidP="004E6E7D">
            <w:pPr>
              <w:widowControl w:val="0"/>
              <w:jc w:val="both"/>
            </w:pPr>
          </w:p>
          <w:p w14:paraId="02836ABF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407820">
              <w:t>9)DOI</w:t>
            </w:r>
            <w:proofErr w:type="gramEnd"/>
            <w:r w:rsidRPr="00407820">
              <w:t>:10.32000/2072-1757-2019-6-6-9</w:t>
            </w:r>
          </w:p>
        </w:tc>
      </w:tr>
    </w:tbl>
    <w:p w14:paraId="2D3211F7" w14:textId="08AD93FA" w:rsidR="005B63DC" w:rsidRPr="00407820" w:rsidRDefault="005B63DC" w:rsidP="005B63DC">
      <w:pPr>
        <w:spacing w:line="360" w:lineRule="auto"/>
      </w:pPr>
    </w:p>
    <w:p w14:paraId="63546385" w14:textId="77777777" w:rsidR="00E14332" w:rsidRPr="00407820" w:rsidRDefault="00E14332" w:rsidP="00E14332">
      <w:pPr>
        <w:spacing w:line="360" w:lineRule="auto"/>
      </w:pPr>
    </w:p>
    <w:p w14:paraId="377ADB7B" w14:textId="0DF7CF31" w:rsidR="00E14332" w:rsidRPr="00407820" w:rsidRDefault="00E14332" w:rsidP="00E14332">
      <w:pPr>
        <w:spacing w:line="360" w:lineRule="auto"/>
      </w:pPr>
      <w:r w:rsidRPr="00407820">
        <w:t xml:space="preserve">Таблица </w:t>
      </w:r>
      <w:r w:rsidRPr="00407820">
        <w:rPr>
          <w:noProof/>
        </w:rPr>
        <w:fldChar w:fldCharType="begin"/>
      </w:r>
      <w:r w:rsidRPr="00407820">
        <w:rPr>
          <w:noProof/>
        </w:rPr>
        <w:instrText xml:space="preserve"> SEQ Таблица \* ARABIC </w:instrText>
      </w:r>
      <w:r w:rsidRPr="00407820">
        <w:rPr>
          <w:noProof/>
        </w:rPr>
        <w:fldChar w:fldCharType="separate"/>
      </w:r>
      <w:r w:rsidRPr="00407820">
        <w:rPr>
          <w:noProof/>
        </w:rPr>
        <w:t>1</w:t>
      </w:r>
      <w:r w:rsidRPr="00407820">
        <w:rPr>
          <w:noProof/>
        </w:rPr>
        <w:fldChar w:fldCharType="end"/>
      </w:r>
      <w:r w:rsidRPr="00407820">
        <w:t xml:space="preserve">- Характеристика опасного вещества – </w:t>
      </w:r>
      <w:r w:rsidR="00407820" w:rsidRPr="00407820">
        <w:t>технологическое масло</w:t>
      </w:r>
      <w:r w:rsidRPr="00407820">
        <w:rPr>
          <w:rStyle w:val="afff0"/>
        </w:rPr>
        <w:footnoteReference w:id="2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715365" w14:paraId="1FC55FFE" w14:textId="77777777" w:rsidTr="00407820">
        <w:trPr>
          <w:trHeight w:val="20"/>
          <w:tblHeader/>
        </w:trPr>
        <w:tc>
          <w:tcPr>
            <w:tcW w:w="812" w:type="dxa"/>
            <w:vAlign w:val="center"/>
          </w:tcPr>
          <w:p w14:paraId="7F42C25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№№</w:t>
            </w:r>
          </w:p>
          <w:p w14:paraId="3F2585F3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1D90A41B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Наименование</w:t>
            </w:r>
          </w:p>
          <w:p w14:paraId="50F457B4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48D5819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41D83DBD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Источник информации</w:t>
            </w:r>
          </w:p>
        </w:tc>
      </w:tr>
      <w:tr w:rsidR="00E14332" w:rsidRPr="00715365" w14:paraId="7BC67DF5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2004F10" w14:textId="77777777" w:rsidR="00E14332" w:rsidRPr="00407820" w:rsidRDefault="00E14332" w:rsidP="004E6E7D">
            <w:pPr>
              <w:widowControl w:val="0"/>
            </w:pPr>
            <w:r w:rsidRPr="00407820">
              <w:t>1.</w:t>
            </w:r>
          </w:p>
          <w:p w14:paraId="10E61712" w14:textId="77777777" w:rsidR="00E14332" w:rsidRPr="00407820" w:rsidRDefault="00E14332" w:rsidP="004E6E7D">
            <w:pPr>
              <w:widowControl w:val="0"/>
            </w:pPr>
            <w:r w:rsidRPr="00407820">
              <w:t>1.1.</w:t>
            </w:r>
          </w:p>
          <w:p w14:paraId="660FC38F" w14:textId="77777777" w:rsidR="00E14332" w:rsidRPr="00407820" w:rsidRDefault="00E14332" w:rsidP="004E6E7D">
            <w:pPr>
              <w:widowControl w:val="0"/>
            </w:pPr>
            <w:r w:rsidRPr="00407820">
              <w:t>1.2.</w:t>
            </w:r>
          </w:p>
          <w:p w14:paraId="05CE43BB" w14:textId="77777777" w:rsidR="00E14332" w:rsidRPr="00407820" w:rsidRDefault="00E14332" w:rsidP="004E6E7D">
            <w:pPr>
              <w:widowControl w:val="0"/>
            </w:pPr>
            <w:r w:rsidRPr="00407820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55091D4C" w14:textId="77777777" w:rsidR="00E14332" w:rsidRPr="00407820" w:rsidRDefault="00E14332" w:rsidP="004E6E7D">
            <w:pPr>
              <w:widowControl w:val="0"/>
            </w:pPr>
            <w:r w:rsidRPr="00407820">
              <w:t xml:space="preserve">Наименование </w:t>
            </w:r>
          </w:p>
          <w:p w14:paraId="59B5C792" w14:textId="77777777" w:rsidR="00E14332" w:rsidRPr="00407820" w:rsidRDefault="00E14332" w:rsidP="004E6E7D">
            <w:pPr>
              <w:widowControl w:val="0"/>
            </w:pPr>
            <w:r w:rsidRPr="00407820">
              <w:t>химическое</w:t>
            </w:r>
          </w:p>
          <w:p w14:paraId="2DB61983" w14:textId="77777777" w:rsidR="00E14332" w:rsidRPr="00407820" w:rsidRDefault="00E14332" w:rsidP="004E6E7D">
            <w:pPr>
              <w:widowControl w:val="0"/>
            </w:pPr>
            <w:r w:rsidRPr="00407820">
              <w:t>торговое</w:t>
            </w:r>
          </w:p>
          <w:p w14:paraId="3DFD7887" w14:textId="77777777" w:rsidR="00E14332" w:rsidRPr="00407820" w:rsidRDefault="00E14332" w:rsidP="004E6E7D">
            <w:pPr>
              <w:widowControl w:val="0"/>
            </w:pPr>
            <w:r w:rsidRPr="00407820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005A6E3" w14:textId="77777777" w:rsidR="00E14332" w:rsidRPr="00407820" w:rsidRDefault="00E14332" w:rsidP="004E6E7D">
            <w:pPr>
              <w:widowControl w:val="0"/>
              <w:jc w:val="center"/>
            </w:pPr>
          </w:p>
          <w:p w14:paraId="33E0361F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-</w:t>
            </w:r>
          </w:p>
          <w:p w14:paraId="3B890D11" w14:textId="6E7A7B21" w:rsidR="00E14332" w:rsidRPr="00407820" w:rsidRDefault="00407820" w:rsidP="004E6E7D">
            <w:pPr>
              <w:widowControl w:val="0"/>
              <w:jc w:val="center"/>
            </w:pPr>
            <w:r w:rsidRPr="00407820">
              <w:t>технологическое масло</w:t>
            </w:r>
          </w:p>
          <w:p w14:paraId="13C71BCC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горючая жидкость</w:t>
            </w:r>
          </w:p>
        </w:tc>
        <w:tc>
          <w:tcPr>
            <w:tcW w:w="2436" w:type="dxa"/>
            <w:vMerge w:val="restart"/>
          </w:tcPr>
          <w:p w14:paraId="588213AF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1. Вредные вещества в промышленности. Справочник. Химия, Л., в трех томах, под ред. Н.В. Лазарева.</w:t>
            </w:r>
          </w:p>
          <w:p w14:paraId="113A11B8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2. 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146E0F42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08DB101A" w14:textId="77777777" w:rsidR="00E14332" w:rsidRPr="00407820" w:rsidRDefault="00E14332" w:rsidP="004E6E7D">
            <w:pPr>
              <w:widowControl w:val="0"/>
            </w:pPr>
            <w:r w:rsidRPr="00407820">
              <w:t>2.</w:t>
            </w:r>
          </w:p>
          <w:p w14:paraId="57055EBB" w14:textId="77777777" w:rsidR="00E14332" w:rsidRPr="00407820" w:rsidRDefault="00E14332" w:rsidP="004E6E7D">
            <w:pPr>
              <w:widowControl w:val="0"/>
            </w:pPr>
            <w:r w:rsidRPr="00407820">
              <w:t>2.1.</w:t>
            </w:r>
          </w:p>
          <w:p w14:paraId="04100900" w14:textId="77777777" w:rsidR="00E14332" w:rsidRPr="00407820" w:rsidRDefault="00E14332" w:rsidP="004E6E7D">
            <w:pPr>
              <w:widowControl w:val="0"/>
            </w:pPr>
            <w:r w:rsidRPr="00407820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635E90A" w14:textId="77777777" w:rsidR="00E14332" w:rsidRPr="00407820" w:rsidRDefault="00E14332" w:rsidP="004E6E7D">
            <w:pPr>
              <w:widowControl w:val="0"/>
            </w:pPr>
            <w:r w:rsidRPr="00407820">
              <w:t>Формула</w:t>
            </w:r>
          </w:p>
          <w:p w14:paraId="0D3A0CA3" w14:textId="77777777" w:rsidR="00E14332" w:rsidRPr="00407820" w:rsidRDefault="00E14332" w:rsidP="004E6E7D">
            <w:pPr>
              <w:widowControl w:val="0"/>
            </w:pPr>
            <w:r w:rsidRPr="00407820">
              <w:t>эмпирическая</w:t>
            </w:r>
          </w:p>
          <w:p w14:paraId="07038131" w14:textId="77777777" w:rsidR="00E14332" w:rsidRPr="00407820" w:rsidRDefault="00E14332" w:rsidP="004E6E7D">
            <w:pPr>
              <w:widowControl w:val="0"/>
            </w:pPr>
            <w:r w:rsidRPr="00407820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2C7FDC37" w14:textId="77777777" w:rsidR="00E14332" w:rsidRPr="00407820" w:rsidRDefault="00E14332" w:rsidP="004E6E7D">
            <w:pPr>
              <w:widowControl w:val="0"/>
              <w:jc w:val="center"/>
            </w:pPr>
          </w:p>
          <w:p w14:paraId="402FF249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  <w:p w14:paraId="0A6EBF3A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</w:tc>
        <w:tc>
          <w:tcPr>
            <w:tcW w:w="2436" w:type="dxa"/>
            <w:vMerge/>
          </w:tcPr>
          <w:p w14:paraId="55AACC5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4C8E4ECD" w14:textId="77777777" w:rsidTr="00407820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C0ECC" w14:textId="77777777" w:rsidR="00E14332" w:rsidRPr="00407820" w:rsidRDefault="00E14332" w:rsidP="004E6E7D">
            <w:pPr>
              <w:widowControl w:val="0"/>
            </w:pPr>
            <w:r w:rsidRPr="00407820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08E50" w14:textId="77777777" w:rsidR="00E14332" w:rsidRPr="00407820" w:rsidRDefault="00E14332" w:rsidP="004E6E7D">
            <w:pPr>
              <w:widowControl w:val="0"/>
            </w:pPr>
            <w:r w:rsidRPr="00407820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639C" w14:textId="26076055" w:rsidR="00E14332" w:rsidRPr="00407820" w:rsidRDefault="00407820" w:rsidP="004E6E7D">
            <w:pPr>
              <w:widowControl w:val="0"/>
              <w:jc w:val="center"/>
            </w:pPr>
            <w:r w:rsidRPr="00407820">
              <w:t xml:space="preserve">Вырабатывается из сернистых </w:t>
            </w:r>
            <w:proofErr w:type="spellStart"/>
            <w:r w:rsidRPr="00407820">
              <w:t>нефтей</w:t>
            </w:r>
            <w:proofErr w:type="spellEnd"/>
            <w:r w:rsidRPr="00407820">
              <w:t xml:space="preserve"> с применением селективной очистки с содержанием серы не более 1,1 %</w:t>
            </w:r>
          </w:p>
        </w:tc>
        <w:tc>
          <w:tcPr>
            <w:tcW w:w="2436" w:type="dxa"/>
            <w:vMerge/>
          </w:tcPr>
          <w:p w14:paraId="5DBA3B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5141DAC5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0A71FA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51B5D68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7F4027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770F47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03CA2E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715365">
              <w:rPr>
                <w:color w:val="FF0000"/>
              </w:rPr>
              <w:t xml:space="preserve">. </w:t>
            </w:r>
            <w:r w:rsidRPr="005B63DC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0551162F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6729E8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6381DD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1DCE26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</w:tcPr>
          <w:p w14:paraId="51E626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1DDBA8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CAEE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15F166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7EC687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53710D7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49CD308D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B807E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B8465E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14637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4DDDF1E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FC6F27">
              <w:rPr>
                <w:color w:val="FF0000"/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5695BEF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8AA4F63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FCC6AF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031369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B09028C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35 - 42</w:t>
            </w:r>
          </w:p>
        </w:tc>
        <w:tc>
          <w:tcPr>
            <w:tcW w:w="2436" w:type="dxa"/>
            <w:vMerge/>
          </w:tcPr>
          <w:p w14:paraId="63B382B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29A0B638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38B48F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0201BCB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17B218A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6691D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E14DB89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57B5B1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8612A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2AF6C6C" w14:textId="66330CAD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407820">
              <w:rPr>
                <w:color w:val="FF0000"/>
              </w:rPr>
              <w:t>276</w:t>
            </w:r>
          </w:p>
        </w:tc>
        <w:tc>
          <w:tcPr>
            <w:tcW w:w="2436" w:type="dxa"/>
            <w:vMerge/>
          </w:tcPr>
          <w:p w14:paraId="1EDF0D7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59F52B2E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36FBE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56B6E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58CD897" w14:textId="1983E08C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407820">
              <w:rPr>
                <w:color w:val="FF0000"/>
              </w:rPr>
              <w:t>00</w:t>
            </w:r>
          </w:p>
        </w:tc>
        <w:tc>
          <w:tcPr>
            <w:tcW w:w="2436" w:type="dxa"/>
            <w:vMerge/>
          </w:tcPr>
          <w:p w14:paraId="275DF10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E1D83B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D866B0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18C5249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5E1A8DE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FC6F27">
              <w:rPr>
                <w:color w:val="FF0000"/>
              </w:rPr>
              <w:t>6,98-35,5</w:t>
            </w:r>
          </w:p>
        </w:tc>
        <w:tc>
          <w:tcPr>
            <w:tcW w:w="2436" w:type="dxa"/>
            <w:vMerge/>
          </w:tcPr>
          <w:p w14:paraId="3BC29BD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E6E9FC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7A3127B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ACCD6D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2F59F33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8D405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14FD936C" w14:textId="77777777" w:rsidTr="00407820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DAB65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3374043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04D23DC0" w14:textId="77777777" w:rsidR="00E14332" w:rsidRPr="00FC6F27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Относится</w:t>
            </w:r>
            <w:r w:rsidRPr="00715365">
              <w:rPr>
                <w:color w:val="FF0000"/>
              </w:rPr>
              <w:t xml:space="preserve"> </w:t>
            </w:r>
            <w:r w:rsidRPr="00FC6F27">
              <w:rPr>
                <w:color w:val="FF0000"/>
              </w:rPr>
              <w:t>к 3-му классу опасности (</w:t>
            </w:r>
            <w:r w:rsidRPr="00FC6F27">
              <w:t>по метанолу 15/5 мг/м</w:t>
            </w:r>
            <w:r w:rsidRPr="00FC6F27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36" w:type="dxa"/>
            <w:vMerge w:val="restart"/>
          </w:tcPr>
          <w:p w14:paraId="10978FB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21715C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C508A27" w14:textId="77777777" w:rsidTr="00407820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F0D54A6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1D7549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37A12ECF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3D8D99C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0BFFF3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8D102D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4566B1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0FB7021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AD8BE5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052B3ECA" w14:textId="77777777" w:rsidTr="00407820">
        <w:trPr>
          <w:trHeight w:val="20"/>
        </w:trPr>
        <w:tc>
          <w:tcPr>
            <w:tcW w:w="812" w:type="dxa"/>
            <w:vAlign w:val="center"/>
          </w:tcPr>
          <w:p w14:paraId="2F670B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1F2C7CF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08C35C8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 xml:space="preserve">Слабо ароматизированный. Порог восприятия </w:t>
            </w:r>
            <w:proofErr w:type="gramStart"/>
            <w:r w:rsidRPr="00FC6F27">
              <w:rPr>
                <w:color w:val="FF0000"/>
              </w:rPr>
              <w:t>запаха  из</w:t>
            </w:r>
            <w:proofErr w:type="gramEnd"/>
            <w:r w:rsidRPr="00FC6F27">
              <w:rPr>
                <w:color w:val="FF0000"/>
              </w:rPr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49C0D15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E14332" w:rsidRPr="00715365" w14:paraId="2AEF946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6714727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167944E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455653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1BD3E471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715365" w14:paraId="015F60B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41DD7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47D2523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6AAA052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794102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Оснащение рабочих мест средствами безопасности, приборами контроля загазованности.</w:t>
            </w:r>
          </w:p>
          <w:p w14:paraId="263C1BA8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6AFDC90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51713C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2F42D985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30EEE2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2ED3308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76FA631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7EB9643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2945940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6D4C9D7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7F12BC8E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29F88C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2D4EFC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4A34F70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6CF5563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1AF9DFF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68E6C392" w14:textId="77777777" w:rsidTr="00407820">
        <w:trPr>
          <w:trHeight w:val="20"/>
        </w:trPr>
        <w:tc>
          <w:tcPr>
            <w:tcW w:w="812" w:type="dxa"/>
            <w:vAlign w:val="center"/>
          </w:tcPr>
          <w:p w14:paraId="0CD8970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530" w:type="dxa"/>
          </w:tcPr>
          <w:p w14:paraId="6C2618A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C8C418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нефти сорбентами с последующей утилизацией.</w:t>
            </w:r>
          </w:p>
          <w:p w14:paraId="7BBA3B3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Грунты и песок, </w:t>
            </w:r>
            <w:proofErr w:type="spellStart"/>
            <w:r w:rsidRPr="00715365">
              <w:rPr>
                <w:color w:val="FF0000"/>
              </w:rPr>
              <w:t>загрязненные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нетью</w:t>
            </w:r>
            <w:proofErr w:type="spellEnd"/>
            <w:r w:rsidRPr="00715365">
              <w:rPr>
                <w:color w:val="FF0000"/>
              </w:rPr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327DC9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EACDEA9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34509D7B" w14:textId="77777777" w:rsidTr="00407820">
        <w:trPr>
          <w:trHeight w:val="847"/>
        </w:trPr>
        <w:tc>
          <w:tcPr>
            <w:tcW w:w="812" w:type="dxa"/>
            <w:vAlign w:val="center"/>
          </w:tcPr>
          <w:p w14:paraId="77E9B17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B4B3FD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70DCC16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FF4128F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3178F44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083F489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ECFAC2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000D41D2" w14:textId="77777777" w:rsidR="00E14332" w:rsidRPr="00456229" w:rsidRDefault="00E14332" w:rsidP="004E6E7D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17A2D85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5D52BDF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4A4EF9A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52CD520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  <w:p w14:paraId="29D03A1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13B64277" w14:textId="77777777" w:rsidR="00E14332" w:rsidRPr="00715365" w:rsidRDefault="00E14332" w:rsidP="00E14332">
      <w:pPr>
        <w:spacing w:line="360" w:lineRule="auto"/>
        <w:rPr>
          <w:color w:val="FF0000"/>
        </w:rPr>
      </w:pPr>
    </w:p>
    <w:p w14:paraId="061297BE" w14:textId="1254172A" w:rsidR="00E14332" w:rsidRDefault="00E14332" w:rsidP="005B63DC">
      <w:pPr>
        <w:spacing w:line="360" w:lineRule="auto"/>
        <w:rPr>
          <w:color w:val="FF0000"/>
        </w:rPr>
      </w:pP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194B1E34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Pr="00715365">
        <w:rPr>
          <w:noProof/>
          <w:color w:val="FF0000"/>
        </w:rPr>
        <w:t>1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117F77" w:rsidRPr="00117F77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№№</w:t>
            </w:r>
          </w:p>
          <w:p w14:paraId="1E1DCF14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Наименование</w:t>
            </w:r>
          </w:p>
          <w:p w14:paraId="5F80194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Источник информации</w:t>
            </w:r>
          </w:p>
        </w:tc>
      </w:tr>
      <w:tr w:rsidR="00117F77" w:rsidRPr="00117F77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117F77" w:rsidRDefault="00CD2196" w:rsidP="00CD2196">
            <w:pPr>
              <w:widowControl w:val="0"/>
            </w:pPr>
            <w:r w:rsidRPr="00117F77">
              <w:t>1.</w:t>
            </w:r>
          </w:p>
          <w:p w14:paraId="1E32E8E6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1.1.</w:t>
            </w:r>
          </w:p>
          <w:p w14:paraId="221D7189" w14:textId="77777777" w:rsidR="00CD2196" w:rsidRPr="00117F77" w:rsidRDefault="00CD2196" w:rsidP="00CD2196">
            <w:pPr>
              <w:widowControl w:val="0"/>
            </w:pPr>
            <w:r w:rsidRPr="00117F77">
              <w:t>1.2.</w:t>
            </w:r>
          </w:p>
          <w:p w14:paraId="4413558A" w14:textId="5E994E2A" w:rsidR="00CD2196" w:rsidRPr="00117F77" w:rsidRDefault="00CD2196" w:rsidP="00CD2196">
            <w:pPr>
              <w:widowControl w:val="0"/>
            </w:pPr>
            <w:r w:rsidRPr="00117F77"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Наименование </w:t>
            </w:r>
          </w:p>
          <w:p w14:paraId="74169CD9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химическое</w:t>
            </w:r>
          </w:p>
          <w:p w14:paraId="228C195C" w14:textId="77777777" w:rsidR="00CD2196" w:rsidRPr="00117F77" w:rsidRDefault="00CD2196" w:rsidP="00CD2196">
            <w:pPr>
              <w:widowControl w:val="0"/>
            </w:pPr>
            <w:r w:rsidRPr="00117F77">
              <w:t>торговое</w:t>
            </w:r>
          </w:p>
          <w:p w14:paraId="2CA45B67" w14:textId="73B5A0E1" w:rsidR="00CD2196" w:rsidRPr="00117F77" w:rsidRDefault="00CD2196" w:rsidP="00CD2196">
            <w:pPr>
              <w:widowControl w:val="0"/>
            </w:pPr>
            <w:r w:rsidRPr="00117F77"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Pr="00117F77" w:rsidRDefault="00CD2196" w:rsidP="00CD2196">
            <w:pPr>
              <w:widowControl w:val="0"/>
              <w:jc w:val="center"/>
            </w:pPr>
          </w:p>
          <w:p w14:paraId="0EEB2D64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lastRenderedPageBreak/>
              <w:t>-</w:t>
            </w:r>
          </w:p>
          <w:p w14:paraId="4D15EA67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t xml:space="preserve">попутный нефтяной газ </w:t>
            </w:r>
          </w:p>
          <w:p w14:paraId="7460CBCA" w14:textId="3EBF5468" w:rsidR="00CD2196" w:rsidRPr="00117F77" w:rsidRDefault="00CD2196" w:rsidP="00CD2196">
            <w:pPr>
              <w:widowControl w:val="0"/>
              <w:jc w:val="center"/>
            </w:pPr>
            <w:r w:rsidRPr="00117F77"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1. Вредные вещества </w:t>
            </w:r>
            <w:r w:rsidRPr="00117F77">
              <w:lastRenderedPageBreak/>
              <w:t>в промышленности. Справочник. Химия, Л., в трех томах, под ред. Н.В. Лазарева.</w:t>
            </w:r>
          </w:p>
          <w:p w14:paraId="2E73DD36" w14:textId="3E1216C9" w:rsidR="00CD2196" w:rsidRPr="00117F77" w:rsidRDefault="00CD2196" w:rsidP="00CD2196">
            <w:pPr>
              <w:widowControl w:val="0"/>
            </w:pPr>
            <w:r w:rsidRPr="00117F77">
              <w:t xml:space="preserve">2. </w:t>
            </w:r>
            <w:r w:rsidR="004B17AE" w:rsidRPr="00117F77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117F77" w:rsidRPr="00117F77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2.</w:t>
            </w:r>
          </w:p>
          <w:p w14:paraId="48A744B5" w14:textId="77777777" w:rsidR="002C66C2" w:rsidRPr="00117F77" w:rsidRDefault="002C66C2" w:rsidP="008E6622">
            <w:pPr>
              <w:widowControl w:val="0"/>
            </w:pPr>
            <w:r w:rsidRPr="00117F77">
              <w:t>2.1.</w:t>
            </w:r>
          </w:p>
          <w:p w14:paraId="5403A832" w14:textId="77777777" w:rsidR="002C66C2" w:rsidRPr="00117F77" w:rsidRDefault="002C66C2" w:rsidP="008E6622">
            <w:pPr>
              <w:widowControl w:val="0"/>
            </w:pPr>
            <w:r w:rsidRPr="00117F77"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117F77" w:rsidRDefault="002C66C2" w:rsidP="008E6622">
            <w:pPr>
              <w:widowControl w:val="0"/>
            </w:pPr>
            <w:r w:rsidRPr="00117F77">
              <w:t>Формула</w:t>
            </w:r>
          </w:p>
          <w:p w14:paraId="7C7B4916" w14:textId="77777777" w:rsidR="002C66C2" w:rsidRPr="00117F77" w:rsidRDefault="002C66C2" w:rsidP="008E6622">
            <w:pPr>
              <w:widowControl w:val="0"/>
            </w:pPr>
            <w:r w:rsidRPr="00117F77">
              <w:t>Эмпирическая</w:t>
            </w:r>
          </w:p>
          <w:p w14:paraId="20AFD0F9" w14:textId="77777777" w:rsidR="002C66C2" w:rsidRPr="00117F77" w:rsidRDefault="002C66C2" w:rsidP="008E6622">
            <w:pPr>
              <w:widowControl w:val="0"/>
            </w:pPr>
            <w:r w:rsidRPr="00117F77"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117F77" w:rsidRDefault="002C66C2" w:rsidP="00825694">
            <w:pPr>
              <w:widowControl w:val="0"/>
              <w:jc w:val="center"/>
            </w:pPr>
          </w:p>
          <w:p w14:paraId="10CC7976" w14:textId="77777777" w:rsidR="002C66C2" w:rsidRPr="00117F77" w:rsidRDefault="002C66C2" w:rsidP="00825694">
            <w:pPr>
              <w:widowControl w:val="0"/>
              <w:jc w:val="center"/>
              <w:rPr>
                <w:vertAlign w:val="subscript"/>
              </w:rPr>
            </w:pPr>
            <w:proofErr w:type="spellStart"/>
            <w:r w:rsidRPr="00117F77">
              <w:t>С</w:t>
            </w:r>
            <w:r w:rsidRPr="00117F77">
              <w:rPr>
                <w:vertAlign w:val="subscript"/>
              </w:rPr>
              <w:t>n</w:t>
            </w:r>
            <w:proofErr w:type="spellEnd"/>
            <w:r w:rsidRPr="00117F77">
              <w:t xml:space="preserve"> </w:t>
            </w:r>
            <w:proofErr w:type="spellStart"/>
            <w:r w:rsidRPr="00117F77">
              <w:t>Н</w:t>
            </w:r>
            <w:r w:rsidRPr="00117F77">
              <w:rPr>
                <w:vertAlign w:val="subscript"/>
              </w:rPr>
              <w:t>m</w:t>
            </w:r>
            <w:proofErr w:type="spellEnd"/>
          </w:p>
          <w:p w14:paraId="0F5C70F9" w14:textId="77777777" w:rsidR="002C66C2" w:rsidRPr="00117F77" w:rsidRDefault="002C66C2" w:rsidP="00825694">
            <w:pPr>
              <w:widowControl w:val="0"/>
              <w:jc w:val="center"/>
            </w:pPr>
            <w:r w:rsidRPr="00117F77"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117F77" w:rsidRDefault="002C66C2" w:rsidP="008E6622">
            <w:pPr>
              <w:widowControl w:val="0"/>
            </w:pPr>
            <w:r w:rsidRPr="00117F77"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55B5EF4A" w:rsidR="002C66C2" w:rsidRPr="00117F77" w:rsidRDefault="004B17AE" w:rsidP="008E6622">
            <w:pPr>
              <w:widowControl w:val="0"/>
            </w:pPr>
            <w:r w:rsidRPr="00117F77">
              <w:t>Состав</w:t>
            </w:r>
            <w:r w:rsidR="002C66C2" w:rsidRPr="00117F77">
              <w:t xml:space="preserve">, % </w:t>
            </w:r>
            <w:r w:rsidRPr="00117F77">
              <w:t>об.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117F77" w:rsidRDefault="000F6525" w:rsidP="000F6525">
            <w:pPr>
              <w:widowControl w:val="0"/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22BB02D3" w14:textId="77777777" w:rsidR="004B17AE" w:rsidRPr="00117F77" w:rsidRDefault="004B17AE" w:rsidP="004B17AE">
            <w:pPr>
              <w:widowControl w:val="0"/>
            </w:pPr>
            <w:r w:rsidRPr="00117F77">
              <w:t>СН</w:t>
            </w:r>
            <w:r w:rsidRPr="00117F77">
              <w:rPr>
                <w:vertAlign w:val="subscript"/>
              </w:rPr>
              <w:t>4</w:t>
            </w:r>
          </w:p>
          <w:p w14:paraId="7B680A7A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2</w:t>
            </w:r>
            <w:r w:rsidRPr="00117F77">
              <w:t>Н</w:t>
            </w:r>
            <w:r w:rsidRPr="00117F77">
              <w:rPr>
                <w:vertAlign w:val="subscript"/>
              </w:rPr>
              <w:t>6</w:t>
            </w:r>
          </w:p>
          <w:p w14:paraId="6166E281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3</w:t>
            </w:r>
            <w:r w:rsidRPr="00117F77">
              <w:t>Н</w:t>
            </w:r>
            <w:r w:rsidRPr="00117F77">
              <w:rPr>
                <w:vertAlign w:val="subscript"/>
              </w:rPr>
              <w:t>8</w:t>
            </w:r>
          </w:p>
          <w:p w14:paraId="430C5631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4B535BC9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57F4FA85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6C3BAB9D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48338412" w14:textId="77777777" w:rsidR="004B17AE" w:rsidRPr="00117F77" w:rsidRDefault="004B17AE" w:rsidP="004B17AE">
            <w:pPr>
              <w:widowControl w:val="0"/>
            </w:pPr>
            <w:r w:rsidRPr="00117F77">
              <w:t>C</w:t>
            </w:r>
            <w:r w:rsidRPr="00117F77">
              <w:rPr>
                <w:vertAlign w:val="subscript"/>
              </w:rPr>
              <w:t>6</w:t>
            </w:r>
            <w:r w:rsidRPr="00117F77">
              <w:t xml:space="preserve">+ </w:t>
            </w:r>
            <w:proofErr w:type="spellStart"/>
            <w:r w:rsidRPr="00117F77">
              <w:t>высш</w:t>
            </w:r>
            <w:proofErr w:type="spellEnd"/>
            <w:r w:rsidRPr="00117F77">
              <w:t>.</w:t>
            </w:r>
          </w:p>
          <w:p w14:paraId="7B5E7EE0" w14:textId="77777777" w:rsidR="004B17AE" w:rsidRPr="00117F77" w:rsidRDefault="004B17AE" w:rsidP="004B17AE">
            <w:pPr>
              <w:widowControl w:val="0"/>
            </w:pPr>
            <w:r w:rsidRPr="00117F77">
              <w:t>CО</w:t>
            </w:r>
            <w:r w:rsidRPr="00117F77">
              <w:rPr>
                <w:vertAlign w:val="subscript"/>
              </w:rPr>
              <w:t>2</w:t>
            </w:r>
          </w:p>
          <w:p w14:paraId="73365D7E" w14:textId="77777777" w:rsidR="004B17AE" w:rsidRPr="00117F77" w:rsidRDefault="004B17AE" w:rsidP="004B17AE">
            <w:pPr>
              <w:widowControl w:val="0"/>
            </w:pPr>
            <w:r w:rsidRPr="00117F77">
              <w:t>О</w:t>
            </w:r>
            <w:r w:rsidRPr="00117F77">
              <w:rPr>
                <w:vertAlign w:val="subscript"/>
              </w:rPr>
              <w:t>2</w:t>
            </w:r>
          </w:p>
          <w:p w14:paraId="07ADB060" w14:textId="77777777" w:rsidR="004B17AE" w:rsidRPr="00117F77" w:rsidRDefault="004B17AE" w:rsidP="004B17AE">
            <w:pPr>
              <w:widowControl w:val="0"/>
            </w:pPr>
            <w:r w:rsidRPr="00117F77">
              <w:t>N</w:t>
            </w:r>
            <w:r w:rsidRPr="00117F77">
              <w:rPr>
                <w:vertAlign w:val="subscript"/>
              </w:rPr>
              <w:t>2</w:t>
            </w:r>
          </w:p>
          <w:p w14:paraId="447C653C" w14:textId="2D540142" w:rsidR="004B17AE" w:rsidRPr="00117F77" w:rsidRDefault="004B17AE" w:rsidP="004B17AE">
            <w:pPr>
              <w:widowControl w:val="0"/>
            </w:pPr>
            <w:r w:rsidRPr="00117F77">
              <w:t>H</w:t>
            </w:r>
            <w:r w:rsidRPr="00117F77">
              <w:rPr>
                <w:vertAlign w:val="subscript"/>
              </w:rPr>
              <w:t>2</w:t>
            </w:r>
            <w:r w:rsidRPr="00117F77"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9A53A26" w14:textId="0FF03E36" w:rsidR="004B17AE" w:rsidRPr="00117F77" w:rsidRDefault="004B17AE" w:rsidP="004B17AE">
            <w:pPr>
              <w:widowControl w:val="0"/>
              <w:jc w:val="center"/>
            </w:pPr>
            <w:r w:rsidRPr="00117F77">
              <w:t>10,2 – 29,8</w:t>
            </w:r>
          </w:p>
          <w:p w14:paraId="52B4C821" w14:textId="2AF039D9" w:rsidR="004B17AE" w:rsidRPr="00117F77" w:rsidRDefault="004B17AE" w:rsidP="004B17AE">
            <w:pPr>
              <w:widowControl w:val="0"/>
              <w:jc w:val="center"/>
            </w:pPr>
            <w:r w:rsidRPr="00117F77">
              <w:t>5,7 – 12,2</w:t>
            </w:r>
          </w:p>
          <w:p w14:paraId="7C6E6B6F" w14:textId="5CE814CB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5,8 - 13,9 </w:t>
            </w:r>
          </w:p>
          <w:p w14:paraId="331C6C2C" w14:textId="6E50B100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0,42 – 2,66 </w:t>
            </w:r>
          </w:p>
          <w:p w14:paraId="646EAEB8" w14:textId="28A330A8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1,18 – 2,99 </w:t>
            </w:r>
          </w:p>
          <w:p w14:paraId="0531C7C7" w14:textId="178E66FD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0,20 – 1,28 </w:t>
            </w:r>
          </w:p>
          <w:p w14:paraId="61C9C53A" w14:textId="3B83D425" w:rsidR="004B17AE" w:rsidRPr="00117F77" w:rsidRDefault="004B17AE" w:rsidP="004B17AE">
            <w:pPr>
              <w:widowControl w:val="0"/>
              <w:jc w:val="center"/>
            </w:pPr>
            <w:r w:rsidRPr="00117F77">
              <w:t>0,11 – 0,88</w:t>
            </w:r>
          </w:p>
          <w:p w14:paraId="14A03B28" w14:textId="4B6E5AF8" w:rsidR="004B17AE" w:rsidRPr="00117F77" w:rsidRDefault="004B17AE" w:rsidP="004B17AE">
            <w:pPr>
              <w:widowControl w:val="0"/>
              <w:jc w:val="center"/>
            </w:pPr>
            <w:r w:rsidRPr="00117F77">
              <w:t>0,05 – 0,996.</w:t>
            </w:r>
          </w:p>
          <w:p w14:paraId="620A3563" w14:textId="416E5D4A" w:rsidR="004B17AE" w:rsidRPr="00117F77" w:rsidRDefault="004B17AE" w:rsidP="004B17AE">
            <w:pPr>
              <w:widowControl w:val="0"/>
              <w:jc w:val="center"/>
            </w:pPr>
            <w:r w:rsidRPr="00117F77">
              <w:t>1,102 – 2,73</w:t>
            </w:r>
          </w:p>
          <w:p w14:paraId="3CAEF839" w14:textId="41FDB347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0,05 – 1,150 </w:t>
            </w:r>
          </w:p>
          <w:p w14:paraId="1F7573B5" w14:textId="1A886189" w:rsidR="004B17AE" w:rsidRPr="00117F77" w:rsidRDefault="004B17AE" w:rsidP="004B17AE">
            <w:pPr>
              <w:widowControl w:val="0"/>
              <w:jc w:val="center"/>
            </w:pPr>
            <w:r w:rsidRPr="00117F77">
              <w:t>53,7 – 75,2</w:t>
            </w:r>
          </w:p>
          <w:p w14:paraId="73448E07" w14:textId="7D1272C6" w:rsidR="004B17AE" w:rsidRPr="00117F77" w:rsidRDefault="004B17AE" w:rsidP="004B17AE">
            <w:pPr>
              <w:widowControl w:val="0"/>
              <w:jc w:val="center"/>
              <w:rPr>
                <w:bCs/>
                <w:highlight w:val="green"/>
              </w:rPr>
            </w:pPr>
            <w:r w:rsidRPr="00117F77">
              <w:t xml:space="preserve">0,10 – 0,95 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117F77" w:rsidRDefault="000F6525" w:rsidP="000F6525">
            <w:pPr>
              <w:widowControl w:val="0"/>
            </w:pPr>
          </w:p>
        </w:tc>
      </w:tr>
      <w:tr w:rsidR="00117F77" w:rsidRPr="00117F77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117F77" w:rsidRDefault="00CD2196" w:rsidP="00CD2196">
            <w:pPr>
              <w:widowControl w:val="0"/>
            </w:pPr>
            <w:r w:rsidRPr="00117F77"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117F77" w:rsidRDefault="00CD2196" w:rsidP="00CD2196">
            <w:pPr>
              <w:widowControl w:val="0"/>
            </w:pPr>
            <w:r w:rsidRPr="00117F77"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117F77" w:rsidRDefault="00CD2196" w:rsidP="00CD2196">
            <w:pPr>
              <w:widowControl w:val="0"/>
            </w:pPr>
            <w:r w:rsidRPr="00117F77"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117F77" w:rsidRDefault="00CD2196" w:rsidP="00CD2196">
            <w:pPr>
              <w:widowControl w:val="0"/>
            </w:pPr>
            <w:r w:rsidRPr="00117F77"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  <w:r w:rsidRPr="00117F77">
              <w:t>- (смесь легких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117F77" w:rsidRDefault="00CD2196" w:rsidP="00CD2196">
            <w:pPr>
              <w:widowControl w:val="0"/>
            </w:pPr>
            <w:r w:rsidRPr="00117F77"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117F77" w:rsidRDefault="00CD2196" w:rsidP="00CD2196">
            <w:pPr>
              <w:widowControl w:val="0"/>
            </w:pPr>
            <w:r w:rsidRPr="00117F77">
              <w:t xml:space="preserve">температура кипения, </w:t>
            </w:r>
            <w:r w:rsidRPr="00117F77">
              <w:rPr>
                <w:vertAlign w:val="superscript"/>
              </w:rPr>
              <w:t>0</w:t>
            </w:r>
            <w:r w:rsidRPr="00117F77">
              <w:t xml:space="preserve">С (при </w:t>
            </w:r>
            <w:proofErr w:type="gramStart"/>
            <w:r w:rsidRPr="00117F77">
              <w:t>давлении  101</w:t>
            </w:r>
            <w:proofErr w:type="gramEnd"/>
            <w:r w:rsidRPr="00117F77"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117F77" w:rsidRDefault="00CD2196" w:rsidP="00CD2196">
            <w:pPr>
              <w:widowControl w:val="0"/>
              <w:jc w:val="center"/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117F77" w:rsidRDefault="00CD2196" w:rsidP="00CD2196">
            <w:pPr>
              <w:widowControl w:val="0"/>
            </w:pPr>
            <w:r w:rsidRPr="00117F77"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117F77" w:rsidRDefault="00CD2196" w:rsidP="00CD2196">
            <w:pPr>
              <w:widowControl w:val="0"/>
            </w:pPr>
            <w:r w:rsidRPr="00117F77">
              <w:t xml:space="preserve">плотность при 20 </w:t>
            </w:r>
            <w:r w:rsidRPr="00117F77">
              <w:rPr>
                <w:vertAlign w:val="superscript"/>
              </w:rPr>
              <w:t>0</w:t>
            </w:r>
            <w:r w:rsidRPr="00117F77">
              <w:t>С,</w:t>
            </w:r>
          </w:p>
          <w:p w14:paraId="17D1A3A9" w14:textId="5D800029" w:rsidR="00CD2196" w:rsidRPr="00117F77" w:rsidRDefault="00CD2196" w:rsidP="00CD2196">
            <w:pPr>
              <w:widowControl w:val="0"/>
            </w:pPr>
            <w:r w:rsidRPr="00117F77">
              <w:t>кг/м</w:t>
            </w:r>
            <w:r w:rsidRPr="00117F77">
              <w:rPr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753281F9" w:rsidR="00CD2196" w:rsidRPr="00117F77" w:rsidRDefault="00A74492" w:rsidP="00CD2196">
            <w:pPr>
              <w:widowControl w:val="0"/>
              <w:jc w:val="center"/>
            </w:pPr>
            <w:r w:rsidRPr="00117F77">
              <w:t>1,1217 – 1,3682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117F77" w:rsidRDefault="00CD2196" w:rsidP="00CD2196">
            <w:pPr>
              <w:widowControl w:val="0"/>
            </w:pPr>
            <w:r w:rsidRPr="00117F77"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117F77" w:rsidRDefault="00CD2196" w:rsidP="00CD2196">
            <w:pPr>
              <w:widowControl w:val="0"/>
            </w:pPr>
            <w:r w:rsidRPr="00117F77"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117F77" w:rsidRDefault="00CD2196" w:rsidP="00CD2196">
            <w:pPr>
              <w:widowControl w:val="0"/>
              <w:jc w:val="center"/>
              <w:rPr>
                <w:lang w:val="en-US"/>
              </w:rPr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117F77" w:rsidRDefault="002C66C2" w:rsidP="008E6622">
            <w:pPr>
              <w:widowControl w:val="0"/>
            </w:pPr>
            <w:r w:rsidRPr="00117F77"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117F77" w:rsidRDefault="002C66C2" w:rsidP="008E6622">
            <w:pPr>
              <w:widowControl w:val="0"/>
            </w:pPr>
            <w:r w:rsidRPr="00117F77">
              <w:t xml:space="preserve">Данные о </w:t>
            </w:r>
            <w:proofErr w:type="gramStart"/>
            <w:r w:rsidRPr="00117F77"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117F77" w:rsidRDefault="002C66C2" w:rsidP="008E6622">
            <w:pPr>
              <w:widowControl w:val="0"/>
            </w:pPr>
            <w:r w:rsidRPr="00117F77"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117F77" w:rsidRDefault="002C66C2" w:rsidP="008E6622">
            <w:pPr>
              <w:widowControl w:val="0"/>
            </w:pPr>
            <w:r w:rsidRPr="00117F77"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006E13EF" w:rsidR="002C66C2" w:rsidRPr="00117F77" w:rsidRDefault="002C66C2" w:rsidP="00825694">
            <w:pPr>
              <w:widowControl w:val="0"/>
              <w:jc w:val="center"/>
            </w:pPr>
            <w:r w:rsidRPr="00117F77">
              <w:t>2,</w:t>
            </w:r>
            <w:r w:rsidR="00A74492" w:rsidRPr="00117F77">
              <w:t>5</w:t>
            </w:r>
            <w:r w:rsidRPr="00117F77">
              <w:t xml:space="preserve"> </w:t>
            </w:r>
            <w:r w:rsidRPr="00117F77">
              <w:sym w:font="Symbol" w:char="F0B8"/>
            </w:r>
            <w:r w:rsidRPr="00117F77"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117F77" w:rsidRDefault="002C66C2" w:rsidP="002C66C2">
            <w:pPr>
              <w:widowControl w:val="0"/>
            </w:pPr>
            <w:r w:rsidRPr="00117F77"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117F77" w:rsidRDefault="002C66C2" w:rsidP="008E6622">
            <w:pPr>
              <w:widowControl w:val="0"/>
            </w:pPr>
            <w:r w:rsidRPr="00117F77"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117F77" w:rsidRDefault="0069605B" w:rsidP="0069605B">
            <w:pPr>
              <w:widowControl w:val="0"/>
              <w:jc w:val="center"/>
            </w:pPr>
            <w:r w:rsidRPr="00117F77">
              <w:rPr>
                <w:lang w:val="en-US"/>
              </w:rPr>
              <w:t>II</w:t>
            </w:r>
            <w:r w:rsidRPr="00117F77">
              <w:t xml:space="preserve"> класс опасности</w:t>
            </w:r>
          </w:p>
          <w:p w14:paraId="092A2A60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117F77" w:rsidRDefault="00975984" w:rsidP="008E6622">
            <w:pPr>
              <w:widowControl w:val="0"/>
            </w:pPr>
            <w:r w:rsidRPr="00117F77"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117F77">
              <w:t>.</w:t>
            </w:r>
          </w:p>
        </w:tc>
      </w:tr>
      <w:tr w:rsidR="00117F77" w:rsidRPr="00117F77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117F77" w:rsidRDefault="00CF5898" w:rsidP="00CF5898">
            <w:pPr>
              <w:widowControl w:val="0"/>
            </w:pPr>
            <w:r w:rsidRPr="00117F77"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117F77" w:rsidRDefault="00CF5898" w:rsidP="00CF5898">
            <w:pPr>
              <w:widowControl w:val="0"/>
            </w:pPr>
            <w:r w:rsidRPr="00117F77">
              <w:t>ПДК в воздухе рабочей зоны, мг/м</w:t>
            </w:r>
            <w:r w:rsidRPr="00117F77">
              <w:rPr>
                <w:vertAlign w:val="superscript"/>
              </w:rPr>
              <w:t>3</w:t>
            </w:r>
            <w:r w:rsidRPr="00117F77"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117F77" w:rsidRDefault="0009663C" w:rsidP="0009663C">
            <w:pPr>
              <w:widowControl w:val="0"/>
              <w:jc w:val="center"/>
              <w:rPr>
                <w:lang w:val="en-US"/>
              </w:rPr>
            </w:pPr>
            <w:r w:rsidRPr="00117F77">
              <w:t>3</w:t>
            </w:r>
            <w:r w:rsidR="00CF5898" w:rsidRPr="00117F77"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117F77" w:rsidRDefault="00CF5898" w:rsidP="00CF5898">
            <w:pPr>
              <w:widowControl w:val="0"/>
            </w:pPr>
          </w:p>
        </w:tc>
      </w:tr>
      <w:tr w:rsidR="00117F77" w:rsidRPr="00117F77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117F77" w:rsidRDefault="002C66C2" w:rsidP="008E6622">
            <w:pPr>
              <w:widowControl w:val="0"/>
            </w:pPr>
            <w:r w:rsidRPr="00117F77"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117F77" w:rsidRDefault="002C66C2" w:rsidP="008E6622">
            <w:pPr>
              <w:widowControl w:val="0"/>
            </w:pPr>
            <w:r w:rsidRPr="00117F77"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117F77" w:rsidRDefault="002C66C2" w:rsidP="003A10CE">
            <w:pPr>
              <w:widowControl w:val="0"/>
            </w:pPr>
            <w:r w:rsidRPr="00117F77">
              <w:t xml:space="preserve">Взаимодействует с сильными </w:t>
            </w:r>
            <w:proofErr w:type="spellStart"/>
            <w:r w:rsidRPr="00117F77">
              <w:t>окислителми</w:t>
            </w:r>
            <w:proofErr w:type="spellEnd"/>
            <w:r w:rsidRPr="00117F77"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117F77" w:rsidRDefault="002C66C2" w:rsidP="008E6622">
            <w:pPr>
              <w:widowControl w:val="0"/>
            </w:pPr>
            <w:r w:rsidRPr="00117F77"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117F77" w:rsidRDefault="002C66C2" w:rsidP="008E6622">
            <w:pPr>
              <w:widowControl w:val="0"/>
            </w:pPr>
            <w:r w:rsidRPr="00117F77"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117F77" w:rsidRDefault="00EE60CE" w:rsidP="009D0262">
            <w:pPr>
              <w:widowControl w:val="0"/>
              <w:jc w:val="center"/>
            </w:pPr>
            <w:r w:rsidRPr="00117F77">
              <w:t xml:space="preserve">Имеет специфический запах, также варьирующий от лёгкого приятного до тяжёлого и очень неприятного. </w:t>
            </w:r>
            <w:r w:rsidRPr="00117F77">
              <w:lastRenderedPageBreak/>
              <w:t>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 xml:space="preserve">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</w:t>
            </w:r>
            <w:r w:rsidRPr="00117F77">
              <w:lastRenderedPageBreak/>
              <w:t>Радченко Е.Д., Рудина М.Г.: Л., Химия, 1986 г.</w:t>
            </w:r>
          </w:p>
        </w:tc>
      </w:tr>
      <w:tr w:rsidR="00117F77" w:rsidRPr="00117F77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117F77" w:rsidRDefault="002C66C2" w:rsidP="008E6622">
            <w:pPr>
              <w:widowControl w:val="0"/>
            </w:pPr>
            <w:r w:rsidRPr="00117F77"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117F77" w:rsidRDefault="0009663C" w:rsidP="0009663C">
            <w:pPr>
              <w:widowControl w:val="0"/>
              <w:jc w:val="both"/>
            </w:pPr>
            <w:r w:rsidRPr="00117F77">
              <w:t xml:space="preserve">Сероводород вызывает коррозию Fe, Pb,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, Ag, CD с образованием сульфидов. Сера вызывает коррозию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117F77" w:rsidRDefault="002C66C2" w:rsidP="008E6622">
            <w:pPr>
              <w:widowControl w:val="0"/>
            </w:pPr>
            <w:r w:rsidRPr="00117F77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117F77" w:rsidRPr="00117F77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117F77" w:rsidRDefault="002C66C2" w:rsidP="008E6622">
            <w:pPr>
              <w:widowControl w:val="0"/>
            </w:pPr>
            <w:r w:rsidRPr="00117F77"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117F77" w:rsidRDefault="002C66C2" w:rsidP="008E6622">
            <w:pPr>
              <w:widowControl w:val="0"/>
            </w:pPr>
            <w:r w:rsidRPr="00117F77"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117F77" w:rsidRDefault="0009663C" w:rsidP="0009663C">
            <w:pPr>
              <w:widowControl w:val="0"/>
            </w:pPr>
            <w:r w:rsidRPr="00117F77"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117F77" w:rsidRDefault="0009663C" w:rsidP="0009663C">
            <w:pPr>
              <w:widowControl w:val="0"/>
            </w:pPr>
            <w:r w:rsidRPr="00117F77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117F77" w:rsidRDefault="0009663C" w:rsidP="0009663C">
            <w:pPr>
              <w:widowControl w:val="0"/>
            </w:pPr>
            <w:r w:rsidRPr="00117F77">
              <w:rPr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117F77" w:rsidRDefault="0009663C" w:rsidP="0009663C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117F77" w:rsidRDefault="0009663C" w:rsidP="0009663C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117F77" w:rsidRDefault="0009663C" w:rsidP="0009663C">
            <w:pPr>
              <w:widowControl w:val="0"/>
            </w:pPr>
            <w:r w:rsidRPr="00117F77"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117F77" w:rsidRDefault="0009663C" w:rsidP="0009663C">
            <w:pPr>
              <w:widowControl w:val="0"/>
            </w:pPr>
            <w:r w:rsidRPr="00117F77"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117F77">
              <w:t>различных  типов</w:t>
            </w:r>
            <w:proofErr w:type="gramEnd"/>
            <w:r w:rsidRPr="00117F77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117F77" w:rsidRDefault="0009663C" w:rsidP="0009663C">
            <w:pPr>
              <w:widowControl w:val="0"/>
            </w:pPr>
            <w:r w:rsidRPr="00117F77">
              <w:t xml:space="preserve">1. 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117F77" w:rsidRDefault="0009663C" w:rsidP="0009663C">
            <w:pPr>
              <w:widowControl w:val="0"/>
            </w:pPr>
          </w:p>
        </w:tc>
      </w:tr>
      <w:tr w:rsidR="00117F77" w:rsidRPr="00117F77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117F77" w:rsidRDefault="007646F2" w:rsidP="0009663C">
            <w:pPr>
              <w:widowControl w:val="0"/>
            </w:pPr>
            <w:r w:rsidRPr="00117F77">
              <w:t>13.</w:t>
            </w:r>
          </w:p>
        </w:tc>
        <w:tc>
          <w:tcPr>
            <w:tcW w:w="2436" w:type="dxa"/>
          </w:tcPr>
          <w:p w14:paraId="466A8B8A" w14:textId="5D087B1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117F77" w:rsidRDefault="007646F2" w:rsidP="0009663C">
            <w:pPr>
              <w:widowControl w:val="0"/>
            </w:pPr>
            <w:r w:rsidRPr="00117F77"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Н.В. Лазарева.</w:t>
            </w:r>
          </w:p>
          <w:p w14:paraId="02F274D8" w14:textId="77777777" w:rsidR="007646F2" w:rsidRPr="00117F77" w:rsidRDefault="007646F2" w:rsidP="007646F2">
            <w:pPr>
              <w:widowControl w:val="0"/>
              <w:jc w:val="both"/>
            </w:pPr>
          </w:p>
          <w:p w14:paraId="73F6ABB3" w14:textId="2A79290F" w:rsidR="007646F2" w:rsidRPr="00117F77" w:rsidRDefault="007646F2" w:rsidP="007646F2">
            <w:pPr>
              <w:widowControl w:val="0"/>
            </w:pPr>
            <w:r w:rsidRPr="00117F77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117F77">
              <w:lastRenderedPageBreak/>
              <w:t>17, № 6 (часть 2), С. 6-</w:t>
            </w:r>
            <w:proofErr w:type="gramStart"/>
            <w:r w:rsidRPr="00117F77">
              <w:t>9)DOI</w:t>
            </w:r>
            <w:proofErr w:type="gramEnd"/>
            <w:r w:rsidRPr="00117F77">
              <w:t>:10.32000/2072-1757-2019-6-6-9</w:t>
            </w:r>
          </w:p>
        </w:tc>
      </w:tr>
      <w:tr w:rsidR="00117F77" w:rsidRPr="00117F77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117F77" w:rsidRDefault="007646F2" w:rsidP="0009663C">
            <w:pPr>
              <w:widowControl w:val="0"/>
            </w:pPr>
            <w:r w:rsidRPr="00117F77"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2. Освободить от стесняющей одежды.</w:t>
            </w:r>
          </w:p>
          <w:p w14:paraId="7ACB5C8F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3. Покой, тепло, чай, успокаивающие средства.</w:t>
            </w:r>
          </w:p>
          <w:p w14:paraId="66AADCEC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4. В тяжелых случаях искусственное дыхание методами «рот в рот», и «рот в нос».</w:t>
            </w:r>
          </w:p>
          <w:p w14:paraId="43EA370E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5. Вызвать скорую мед. помощь.</w:t>
            </w:r>
          </w:p>
          <w:p w14:paraId="0B4EEE74" w14:textId="77777777" w:rsidR="007646F2" w:rsidRPr="00117F77" w:rsidRDefault="007646F2" w:rsidP="0009663C">
            <w:pPr>
              <w:widowControl w:val="0"/>
              <w:jc w:val="both"/>
              <w:rPr>
                <w:highlight w:val="cyan"/>
              </w:rPr>
            </w:pPr>
            <w:r w:rsidRPr="00117F77">
              <w:rPr>
                <w:highlight w:val="cyan"/>
              </w:rPr>
              <w:t>6. При ожогах дополнительно: пре</w:t>
            </w:r>
            <w:r w:rsidRPr="00117F77">
              <w:rPr>
                <w:highlight w:val="cyan"/>
              </w:rPr>
              <w:lastRenderedPageBreak/>
              <w:t>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117F77" w:rsidRDefault="007646F2" w:rsidP="0009663C">
            <w:pPr>
              <w:pStyle w:val="L"/>
              <w:widowControl w:val="0"/>
              <w:suppressAutoHyphens/>
              <w:rPr>
                <w:sz w:val="24"/>
                <w:szCs w:val="24"/>
              </w:rPr>
            </w:pPr>
            <w:r w:rsidRPr="00117F77">
              <w:rPr>
                <w:snapToGrid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117F77" w:rsidRDefault="007646F2" w:rsidP="0009663C">
            <w:pPr>
              <w:widowControl w:val="0"/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r w:rsidR="00CB625B">
        <w:fldChar w:fldCharType="begin"/>
      </w:r>
      <w:r w:rsidR="00CB625B">
        <w:instrText xml:space="preserve"> SEQ Рисунок \* ARABIC </w:instrText>
      </w:r>
      <w:r w:rsidR="00CB625B">
        <w:fldChar w:fldCharType="separate"/>
      </w:r>
      <w:r>
        <w:rPr>
          <w:noProof/>
        </w:rPr>
        <w:t>1</w:t>
      </w:r>
      <w:r w:rsidR="00CB625B">
        <w:rPr>
          <w:noProof/>
        </w:rPr>
        <w:fldChar w:fldCharType="end"/>
      </w:r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r w:rsidR="00CB625B">
        <w:fldChar w:fldCharType="begin"/>
      </w:r>
      <w:r w:rsidR="00CB625B">
        <w:instrText xml:space="preserve"> SEQ Рис</w:instrText>
      </w:r>
      <w:r w:rsidR="00CB625B">
        <w:instrText xml:space="preserve">унок \* ARABIC </w:instrText>
      </w:r>
      <w:r w:rsidR="00CB625B">
        <w:fldChar w:fldCharType="separate"/>
      </w:r>
      <w:r>
        <w:rPr>
          <w:noProof/>
        </w:rPr>
        <w:t>2</w:t>
      </w:r>
      <w:r w:rsidR="00CB625B">
        <w:rPr>
          <w:noProof/>
        </w:rPr>
        <w:fldChar w:fldCharType="end"/>
      </w:r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02406F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892DBF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892DBF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02406F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02406F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02406F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r w:rsidR="00CB625B">
        <w:fldChar w:fldCharType="begin"/>
      </w:r>
      <w:r w:rsidR="00CB625B">
        <w:instrText xml:space="preserve"> SEQ Таблица \* ARABIC </w:instrText>
      </w:r>
      <w:r w:rsidR="00CB625B">
        <w:fldChar w:fldCharType="separate"/>
      </w:r>
      <w:r w:rsidR="002243B0">
        <w:rPr>
          <w:noProof/>
        </w:rPr>
        <w:t>6</w:t>
      </w:r>
      <w:r w:rsidR="00CB625B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9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02406F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9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90" w:name="_Ref521072538"/>
      <w:r w:rsidRPr="006720C9">
        <w:t xml:space="preserve">Рисунок </w:t>
      </w:r>
      <w:fldSimple w:instr=" SEQ Рисунок \* ARABIC ">
        <w:r w:rsidRPr="006720C9">
          <w:rPr>
            <w:noProof/>
          </w:rPr>
          <w:t>8</w:t>
        </w:r>
      </w:fldSimple>
      <w:bookmarkEnd w:id="90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color w:val="FF0000"/>
        </w:rPr>
        <w:lastRenderedPageBreak/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color w:val="FF0000"/>
          <w:lang w:val="ru-RU"/>
        </w:rPr>
      </w:pPr>
      <w:r w:rsidRPr="00892DBF">
        <w:rPr>
          <w:color w:val="FF0000"/>
        </w:rPr>
        <w:t xml:space="preserve">Рисунок </w:t>
      </w:r>
      <w:r w:rsidRPr="00892DBF">
        <w:rPr>
          <w:color w:val="FF0000"/>
        </w:rPr>
        <w:fldChar w:fldCharType="begin"/>
      </w:r>
      <w:r w:rsidRPr="00892DBF">
        <w:rPr>
          <w:color w:val="FF0000"/>
        </w:rPr>
        <w:instrText xml:space="preserve"> SEQ Рисунок \* ARABIC </w:instrText>
      </w:r>
      <w:r w:rsidRPr="00892DBF">
        <w:rPr>
          <w:color w:val="FF0000"/>
        </w:rPr>
        <w:fldChar w:fldCharType="separate"/>
      </w:r>
      <w:r w:rsidRPr="00892DBF">
        <w:rPr>
          <w:noProof/>
          <w:color w:val="FF0000"/>
        </w:rPr>
        <w:t>10</w:t>
      </w:r>
      <w:r w:rsidRPr="00892DBF">
        <w:rPr>
          <w:noProof/>
          <w:color w:val="FF0000"/>
        </w:rPr>
        <w:fldChar w:fldCharType="end"/>
      </w:r>
      <w:r w:rsidRPr="00892DBF">
        <w:rPr>
          <w:color w:val="FF0000"/>
        </w:rPr>
        <w:t xml:space="preserve"> - «Дерево событий» для </w:t>
      </w:r>
      <w:r w:rsidRPr="00892DBF">
        <w:rPr>
          <w:color w:val="FF0000"/>
          <w:lang w:val="ru-RU"/>
        </w:rPr>
        <w:t>нефтепроводов с ЛВЖ (на открытой площадке)</w:t>
      </w:r>
    </w:p>
    <w:p w14:paraId="4651E29A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snapToGrid w:val="0"/>
          <w:color w:val="FF0000"/>
          <w:lang w:val="ru-RU"/>
        </w:rPr>
      </w:pPr>
      <w:r w:rsidRPr="00892DBF">
        <w:rPr>
          <w:color w:val="FF0000"/>
        </w:rPr>
        <w:t xml:space="preserve">* - </w:t>
      </w:r>
      <w:r w:rsidRPr="00892DBF">
        <w:rPr>
          <w:snapToGrid w:val="0"/>
          <w:color w:val="FF0000"/>
          <w:lang w:val="ru-RU"/>
        </w:rPr>
        <w:t xml:space="preserve">частоты </w:t>
      </w:r>
      <w:r w:rsidRPr="00892DBF">
        <w:rPr>
          <w:color w:val="FF0000"/>
        </w:rPr>
        <w:t>аварийной</w:t>
      </w:r>
      <w:r w:rsidRPr="00892DBF">
        <w:rPr>
          <w:snapToGrid w:val="0"/>
          <w:color w:val="FF0000"/>
          <w:lang w:val="ru-RU"/>
        </w:rPr>
        <w:t xml:space="preserve"> разгерметизации трубопроводов приняты согласно сведениям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=1300509015&amp;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=000000000000000000000000000000000000000000000000007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20</w:instrText>
      </w:r>
      <w:r w:rsidRPr="00892DBF">
        <w:rPr>
          <w:snapToGrid w:val="0"/>
          <w:color w:val="FF0000"/>
          <w:lang w:val="en-US"/>
        </w:rPr>
        <w:instrText>K</w:instrText>
      </w:r>
      <w:r w:rsidRPr="00892DBF">
        <w:rPr>
          <w:snapToGrid w:val="0"/>
          <w:color w:val="FF0000"/>
          <w:lang w:val="ru-RU"/>
        </w:rPr>
        <w:instrText>3"\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(утв. приказом Ростехнадзора от 28.11.2022 N 410)</w:instrText>
      </w:r>
    </w:p>
    <w:p w14:paraId="14A73A67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Руководство по безопасности от ...</w:instrText>
      </w:r>
    </w:p>
    <w:p w14:paraId="6E78319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, </w:t>
      </w:r>
      <w:proofErr w:type="spellStart"/>
      <w:r w:rsidRPr="00892DBF">
        <w:rPr>
          <w:snapToGrid w:val="0"/>
          <w:color w:val="FF0000"/>
          <w:lang w:val="ru-RU"/>
        </w:rPr>
        <w:t>утвержденному</w:t>
      </w:r>
      <w:proofErr w:type="spellEnd"/>
      <w:r w:rsidRPr="00892DBF">
        <w:rPr>
          <w:snapToGrid w:val="0"/>
          <w:color w:val="FF0000"/>
          <w:lang w:val="ru-RU"/>
        </w:rPr>
        <w:t xml:space="preserve">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=1300506232&amp;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=0000000000000000000000000000000000000000000000000064</w:instrText>
      </w:r>
      <w:r w:rsidRPr="00892DBF">
        <w:rPr>
          <w:snapToGrid w:val="0"/>
          <w:color w:val="FF0000"/>
          <w:lang w:val="en-US"/>
        </w:rPr>
        <w:instrText>S</w:instrText>
      </w:r>
      <w:r w:rsidRPr="00892DBF">
        <w:rPr>
          <w:snapToGrid w:val="0"/>
          <w:color w:val="FF0000"/>
          <w:lang w:val="ru-RU"/>
        </w:rPr>
        <w:instrText>0</w:instrText>
      </w:r>
      <w:r w:rsidRPr="00892DBF">
        <w:rPr>
          <w:snapToGrid w:val="0"/>
          <w:color w:val="FF0000"/>
          <w:lang w:val="en-US"/>
        </w:rPr>
        <w:instrText>IJ</w:instrText>
      </w:r>
      <w:r w:rsidRPr="00892DBF">
        <w:rPr>
          <w:snapToGrid w:val="0"/>
          <w:color w:val="FF0000"/>
          <w:lang w:val="ru-RU"/>
        </w:rPr>
        <w:instrText>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Приказ Ростехнадзора от 28.11.2022 N 410</w:instrText>
      </w:r>
    </w:p>
    <w:p w14:paraId="4D03F2A3" w14:textId="77777777" w:rsidR="00892DBF" w:rsidRPr="00892DBF" w:rsidRDefault="00892DBF" w:rsidP="00892DBF">
      <w:pPr>
        <w:pStyle w:val="152"/>
        <w:spacing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 xml:space="preserve">приказом Ростехнадзора от 28 ноября 2022 г. </w:t>
      </w:r>
      <w:r w:rsidRPr="00892DBF">
        <w:rPr>
          <w:snapToGrid w:val="0"/>
          <w:color w:val="FF0000"/>
          <w:lang w:val="en-US"/>
        </w:rPr>
        <w:t>N</w:t>
      </w:r>
      <w:r w:rsidRPr="00892DBF">
        <w:rPr>
          <w:snapToGrid w:val="0"/>
          <w:color w:val="FF0000"/>
          <w:lang w:val="ru-RU"/>
        </w:rPr>
        <w:t xml:space="preserve"> 411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3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lastRenderedPageBreak/>
        <w:t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892DBF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7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93380863"/>
            <w:bookmarkStart w:id="101" w:name="_Hlk115573878"/>
            <w:bookmarkStart w:id="102" w:name="_Toc287019721"/>
            <w:bookmarkStart w:id="103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892DBF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0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1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4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5" w:name="_Toc61961269"/>
      <w:bookmarkStart w:id="106" w:name="_Toc163736170"/>
      <w:bookmarkEnd w:id="102"/>
      <w:bookmarkEnd w:id="103"/>
      <w:bookmarkEnd w:id="104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5"/>
      <w:bookmarkEnd w:id="106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</w:t>
            </w:r>
            <w:proofErr w:type="spellStart"/>
            <w:r w:rsidRPr="00A05F9C">
              <w:rPr>
                <w:bCs/>
              </w:rPr>
              <w:t>проемов</w:t>
            </w:r>
            <w:proofErr w:type="spellEnd"/>
            <w:r w:rsidRPr="00A05F9C">
              <w:rPr>
                <w:bCs/>
              </w:rPr>
              <w:t xml:space="preserve">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7" w:name="_Toc352336509"/>
      <w:bookmarkStart w:id="108" w:name="_Toc358898963"/>
      <w:bookmarkStart w:id="109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7"/>
      <w:bookmarkEnd w:id="108"/>
      <w:bookmarkEnd w:id="109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4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9"/>
          <w:footerReference w:type="default" r:id="rId8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10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892DBF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0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11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11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1"/>
          <w:footerReference w:type="default" r:id="rId82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12" w:name="_Toc61961272"/>
      <w:bookmarkStart w:id="113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12"/>
      <w:bookmarkEnd w:id="113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4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4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5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5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6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892DBF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6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7" w:name="_Toc287019727"/>
      <w:bookmarkStart w:id="118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9" w:name="_Toc163736172"/>
      <w:bookmarkEnd w:id="117"/>
      <w:bookmarkEnd w:id="118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9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20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20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21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892DBF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1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2" w:name="_Ref329266176"/>
      <w:bookmarkStart w:id="123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4" w:name="_Toc163736173"/>
      <w:bookmarkEnd w:id="122"/>
      <w:bookmarkEnd w:id="123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24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5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6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7" w:name="_Ref291335664"/>
      <w:bookmarkStart w:id="128" w:name="_Hlk193381111"/>
      <w:bookmarkStart w:id="129" w:name="_Hlk163747777"/>
      <w:r w:rsidRPr="008C3200">
        <w:lastRenderedPageBreak/>
        <w:t xml:space="preserve">Таблица </w:t>
      </w:r>
      <w:r w:rsidR="00CB625B">
        <w:fldChar w:fldCharType="begin"/>
      </w:r>
      <w:r w:rsidR="00CB625B">
        <w:instrText xml:space="preserve"> SEQ Таблица \* ARABIC </w:instrText>
      </w:r>
      <w:r w:rsidR="00CB625B">
        <w:fldChar w:fldCharType="separate"/>
      </w:r>
      <w:r w:rsidR="002243B0">
        <w:rPr>
          <w:noProof/>
        </w:rPr>
        <w:t>17</w:t>
      </w:r>
      <w:r w:rsidR="00CB625B">
        <w:rPr>
          <w:noProof/>
        </w:rPr>
        <w:fldChar w:fldCharType="end"/>
      </w:r>
      <w:bookmarkEnd w:id="127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892DBF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30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892DBF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892DBF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31" w:name="_Hlk193381131"/>
      <w:bookmarkEnd w:id="128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5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31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2" w:name="_Toc163736174"/>
      <w:bookmarkEnd w:id="129"/>
      <w:bookmarkEnd w:id="130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6"/>
      <w:bookmarkEnd w:id="132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3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33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34" w:name="_Hlk502763555"/>
      <w:bookmarkStart w:id="135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6" w:name="_Hlk192936950"/>
      <w:bookmarkStart w:id="137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8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892DBF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9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8"/>
      <w:bookmarkEnd w:id="139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40" w:name="_Hlk192936968"/>
      <w:bookmarkEnd w:id="137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41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41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34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892DBF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5"/>
    <w:bookmarkEnd w:id="140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42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42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43" w:name="_Ref291338860"/>
      <w:bookmarkStart w:id="144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43"/>
      <w:r w:rsidRPr="007B6DF2">
        <w:t xml:space="preserve"> – </w:t>
      </w:r>
      <w:bookmarkEnd w:id="144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5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B625B">
        <w:fldChar w:fldCharType="begin"/>
      </w:r>
      <w:r w:rsidR="00CB625B">
        <w:instrText xml:space="preserve"> SEQ Таблица \* ARABIC </w:instrText>
      </w:r>
      <w:r w:rsidR="00CB625B">
        <w:fldChar w:fldCharType="separate"/>
      </w:r>
      <w:r w:rsidR="002243B0">
        <w:rPr>
          <w:noProof/>
        </w:rPr>
        <w:t>22</w:t>
      </w:r>
      <w:r w:rsidR="00CB625B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B625B">
        <w:fldChar w:fldCharType="begin"/>
      </w:r>
      <w:r w:rsidR="00CB625B">
        <w:instrText xml:space="preserve"> SEQ Таблица \* ARABIC </w:instrText>
      </w:r>
      <w:r w:rsidR="00CB625B">
        <w:fldChar w:fldCharType="separate"/>
      </w:r>
      <w:r w:rsidR="002243B0">
        <w:rPr>
          <w:noProof/>
        </w:rPr>
        <w:t>23</w:t>
      </w:r>
      <w:r w:rsidR="00CB625B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5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5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6"/>
      <w:bookmarkEnd w:id="14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8" w:name="_Toc200163809"/>
      <w:bookmarkStart w:id="149" w:name="_Toc213675831"/>
      <w:bookmarkStart w:id="150" w:name="_Toc287019733"/>
      <w:bookmarkStart w:id="151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8"/>
      <w:bookmarkEnd w:id="149"/>
      <w:bookmarkEnd w:id="150"/>
      <w:bookmarkEnd w:id="151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2" w:name="_Toc287019734"/>
      <w:bookmarkStart w:id="153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52"/>
      <w:bookmarkEnd w:id="153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4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5" w:name="_Ref386275709"/>
          </w:p>
        </w:tc>
        <w:bookmarkEnd w:id="155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6" w:name="_Ref329262199"/>
          </w:p>
        </w:tc>
        <w:bookmarkEnd w:id="156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7" w:name="_Ref353035056"/>
          </w:p>
        </w:tc>
        <w:bookmarkEnd w:id="157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8" w:name="_Ref329262216"/>
          </w:p>
        </w:tc>
        <w:bookmarkEnd w:id="158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9" w:name="_Ref299707873"/>
            <w:bookmarkStart w:id="160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59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60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1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61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62" w:name="_Ref293388688"/>
            <w:bookmarkStart w:id="163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62"/>
            <w:bookmarkEnd w:id="163"/>
          </w:p>
        </w:tc>
      </w:tr>
      <w:bookmarkEnd w:id="154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4" w:name="_Toc287019735"/>
      <w:bookmarkStart w:id="165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4"/>
      <w:bookmarkEnd w:id="165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6" w:name="_Ref329177000"/>
          </w:p>
        </w:tc>
        <w:bookmarkEnd w:id="166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7" w:name="_Toc287019736"/>
      <w:bookmarkStart w:id="168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7"/>
      <w:bookmarkEnd w:id="168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B17AE" w:rsidRPr="004B17AE" w14:paraId="684A9D26" w14:textId="77777777" w:rsidTr="00397291">
        <w:tc>
          <w:tcPr>
            <w:tcW w:w="443" w:type="pct"/>
          </w:tcPr>
          <w:p w14:paraId="4F775D34" w14:textId="77777777" w:rsidR="0072539D" w:rsidRPr="004B17AE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09C813A7" w:rsidR="0072539D" w:rsidRPr="004B17AE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4B17AE" w14:paraId="14E0676C" w14:textId="77777777" w:rsidTr="00397291">
        <w:tc>
          <w:tcPr>
            <w:tcW w:w="443" w:type="pct"/>
          </w:tcPr>
          <w:p w14:paraId="5BE8E070" w14:textId="77777777" w:rsidR="005B63DC" w:rsidRPr="004B17AE" w:rsidRDefault="005B63DC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0FF714AA" w14:textId="25DFF940" w:rsidR="005B63DC" w:rsidRPr="004B17AE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4B17AE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8"/>
      <w:footerReference w:type="default" r:id="rId14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6780" w14:textId="77777777" w:rsidR="00CB625B" w:rsidRDefault="00CB625B" w:rsidP="000C15E1">
      <w:r>
        <w:separator/>
      </w:r>
    </w:p>
  </w:endnote>
  <w:endnote w:type="continuationSeparator" w:id="0">
    <w:p w14:paraId="2F78E384" w14:textId="77777777" w:rsidR="00CB625B" w:rsidRDefault="00CB625B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24D3" w14:textId="77777777" w:rsidR="00CB625B" w:rsidRDefault="00CB625B" w:rsidP="000C15E1">
      <w:r>
        <w:separator/>
      </w:r>
    </w:p>
  </w:footnote>
  <w:footnote w:type="continuationSeparator" w:id="0">
    <w:p w14:paraId="357E7884" w14:textId="77777777" w:rsidR="00CB625B" w:rsidRDefault="00CB625B" w:rsidP="000C15E1">
      <w:r>
        <w:continuationSeparator/>
      </w:r>
    </w:p>
  </w:footnote>
  <w:footnote w:id="1">
    <w:p w14:paraId="1B787DED" w14:textId="377B2E4B" w:rsidR="005B63DC" w:rsidRPr="005B63DC" w:rsidRDefault="005B63D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>Представленны усредненные параметры. Тип и марка хим.реагента 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2">
    <w:p w14:paraId="52208D58" w14:textId="74929C18" w:rsidR="00E14332" w:rsidRPr="005B63DC" w:rsidRDefault="00E14332" w:rsidP="00E14332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 xml:space="preserve">Представленны усредненные параметры. Тип и марка </w:t>
      </w:r>
      <w:r w:rsidR="00407820" w:rsidRPr="00407820">
        <w:rPr>
          <w:lang w:val="ru-RU"/>
        </w:rPr>
        <w:t>технологическо</w:t>
      </w:r>
      <w:r w:rsidR="00407820">
        <w:rPr>
          <w:lang w:val="ru-RU"/>
        </w:rPr>
        <w:t>го</w:t>
      </w:r>
      <w:r w:rsidR="00407820" w:rsidRPr="00407820">
        <w:rPr>
          <w:lang w:val="ru-RU"/>
        </w:rPr>
        <w:t xml:space="preserve"> масл</w:t>
      </w:r>
      <w:r w:rsidR="00407820">
        <w:rPr>
          <w:lang w:val="ru-RU"/>
        </w:rPr>
        <w:t xml:space="preserve">а </w:t>
      </w:r>
      <w:r>
        <w:rPr>
          <w:lang w:val="ru-RU"/>
        </w:rPr>
        <w:t>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3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4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 xml:space="preserve">Руководство по безопасности "Методические рекомендации по проведению количественного анализа риска аварий на </w:t>
      </w:r>
      <w:r w:rsidRPr="00CF6B1C">
        <w:t>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oter" Target="footer7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footer" Target="footer5.xml"/><Relationship Id="rId85" Type="http://schemas.openxmlformats.org/officeDocument/2006/relationships/image" Target="media/image66.gif"/><Relationship Id="rId150" Type="http://schemas.openxmlformats.org/officeDocument/2006/relationships/fontTable" Target="fontTable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header" Target="header5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51" Type="http://schemas.openxmlformats.org/officeDocument/2006/relationships/theme" Target="theme/theme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gif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footer" Target="footer6.xm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147" Type="http://schemas.openxmlformats.org/officeDocument/2006/relationships/image" Target="media/image128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gif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image" Target="media/image63.em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gif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header" Target="header4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73</Pages>
  <Words>18017</Words>
  <Characters>102698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120475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555</cp:revision>
  <cp:lastPrinted>2016-05-24T06:33:00Z</cp:lastPrinted>
  <dcterms:created xsi:type="dcterms:W3CDTF">2021-10-04T07:20:00Z</dcterms:created>
  <dcterms:modified xsi:type="dcterms:W3CDTF">2025-04-08T07:12:00Z</dcterms:modified>
</cp:coreProperties>
</file>