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BBE6BDD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ниже.</w:t>
      </w:r>
    </w:p>
    <w:p w14:paraId="4C590937" w14:textId="191F0851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BB0F4D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3C670729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="00BB0F4D">
        <w:rPr>
          <w:noProof/>
          <w:color w:val="FF0000"/>
        </w:rPr>
        <w:t>2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84088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84088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84088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84088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84088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30B952AB" w14:textId="77777777" w:rsidR="00084088" w:rsidRPr="003D38E1" w:rsidRDefault="00084088" w:rsidP="00084088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50A5246A" w14:textId="77777777" w:rsidR="00084088" w:rsidRPr="003D38E1" w:rsidRDefault="00084088" w:rsidP="00084088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6A72DC7C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</w:t>
      </w:r>
      <w:proofErr w:type="spellStart"/>
      <w:r w:rsidRPr="003D38E1">
        <w:rPr>
          <w:highlight w:val="yellow"/>
        </w:rPr>
        <w:t>расчетом</w:t>
      </w:r>
      <w:proofErr w:type="spellEnd"/>
      <w:r w:rsidRPr="003D38E1">
        <w:rPr>
          <w:highlight w:val="yellow"/>
        </w:rPr>
        <w:t xml:space="preserve"> в зависимости от категории участка трубопровода, параметров транспортируемой среды и конструктивного решения.</w:t>
      </w:r>
    </w:p>
    <w:p w14:paraId="5381630D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 трубопроводах установлены соединительные детали и запорная арматура согласно </w:t>
      </w:r>
      <w:proofErr w:type="spellStart"/>
      <w:r w:rsidRPr="003D38E1">
        <w:rPr>
          <w:highlight w:val="yellow"/>
        </w:rPr>
        <w:t>расчетному</w:t>
      </w:r>
      <w:proofErr w:type="spellEnd"/>
      <w:r w:rsidRPr="003D38E1">
        <w:rPr>
          <w:highlight w:val="yellow"/>
        </w:rPr>
        <w:t xml:space="preserve"> давлению в трубопроводе.</w:t>
      </w:r>
    </w:p>
    <w:p w14:paraId="25C1DA0B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18D69630" w14:textId="77777777" w:rsidR="00084088" w:rsidRPr="00084088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 нормативных расстояний</w:t>
      </w:r>
      <w:r w:rsidRPr="00084088">
        <w:rPr>
          <w:highlight w:val="yellow"/>
        </w:rPr>
        <w:t>.</w:t>
      </w:r>
    </w:p>
    <w:p w14:paraId="7B4C8022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Устойчивое положение трубопроводов против всплытия и выпирания при прохождении через водные преграды, на </w:t>
      </w:r>
      <w:proofErr w:type="spellStart"/>
      <w:r w:rsidRPr="003D38E1">
        <w:rPr>
          <w:highlight w:val="yellow"/>
        </w:rPr>
        <w:t>обводненных</w:t>
      </w:r>
      <w:proofErr w:type="spellEnd"/>
      <w:r w:rsidRPr="003D38E1">
        <w:rPr>
          <w:highlight w:val="yellow"/>
        </w:rPr>
        <w:t xml:space="preserve">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0DC8A3E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</w:t>
      </w:r>
      <w:proofErr w:type="spellStart"/>
      <w:r w:rsidRPr="003D38E1">
        <w:rPr>
          <w:highlight w:val="yellow"/>
        </w:rPr>
        <w:t>надежно</w:t>
      </w:r>
      <w:proofErr w:type="spellEnd"/>
      <w:r w:rsidRPr="003D38E1">
        <w:rPr>
          <w:highlight w:val="yellow"/>
        </w:rPr>
        <w:t xml:space="preserve">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4" w:name="PO0000633"/>
      <w:bookmarkEnd w:id="34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67B049F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</w:t>
      </w:r>
      <w:proofErr w:type="spellStart"/>
      <w:r w:rsidRPr="003D38E1">
        <w:rPr>
          <w:highlight w:val="yellow"/>
        </w:rPr>
        <w:t>путем</w:t>
      </w:r>
      <w:proofErr w:type="spellEnd"/>
      <w:r w:rsidRPr="003D38E1">
        <w:rPr>
          <w:highlight w:val="yellow"/>
        </w:rPr>
        <w:t xml:space="preserve"> обхода, объезда или </w:t>
      </w:r>
      <w:proofErr w:type="spellStart"/>
      <w:r w:rsidRPr="003D38E1">
        <w:rPr>
          <w:highlight w:val="yellow"/>
        </w:rPr>
        <w:t>облета</w:t>
      </w:r>
      <w:proofErr w:type="spellEnd"/>
      <w:r w:rsidRPr="003D38E1">
        <w:rPr>
          <w:highlight w:val="yellow"/>
        </w:rPr>
        <w:t xml:space="preserve"> устанавливается руководством нефтегазодобывающего управления </w:t>
      </w:r>
      <w:r w:rsidRPr="003D38E1">
        <w:rPr>
          <w:highlight w:val="yellow"/>
        </w:rPr>
        <w:lastRenderedPageBreak/>
        <w:t xml:space="preserve">в зависимости от местных условий, сложности рельефа трассы, времени года и срока эксплуатации в соответствии с графиком, </w:t>
      </w:r>
      <w:proofErr w:type="spellStart"/>
      <w:r w:rsidRPr="003D38E1">
        <w:rPr>
          <w:highlight w:val="yellow"/>
        </w:rPr>
        <w:t>утвержденным</w:t>
      </w:r>
      <w:proofErr w:type="spellEnd"/>
      <w:r w:rsidRPr="003D38E1">
        <w:rPr>
          <w:highlight w:val="yellow"/>
        </w:rPr>
        <w:t xml:space="preserve"> главным инженером.</w:t>
      </w:r>
    </w:p>
    <w:p w14:paraId="7112293F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Проведение ревизии трубопроводов для оценки их состояния и возможности дальнейшей эксплуатации.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</w:t>
      </w:r>
      <w:proofErr w:type="spellStart"/>
      <w:r w:rsidRPr="003D38E1">
        <w:rPr>
          <w:highlight w:val="yellow"/>
        </w:rPr>
        <w:t>учетом</w:t>
      </w:r>
      <w:proofErr w:type="spellEnd"/>
      <w:r w:rsidRPr="003D38E1">
        <w:rPr>
          <w:highlight w:val="yellow"/>
        </w:rPr>
        <w:t xml:space="preserve">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60C54FA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Проведение диагностики трубопроводов одним или несколькими методами технической диагностики.</w:t>
      </w:r>
    </w:p>
    <w:p w14:paraId="0C8D4D3A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Надежность работы трубопроводов проверяется </w:t>
      </w:r>
      <w:proofErr w:type="spellStart"/>
      <w:r w:rsidRPr="003D38E1">
        <w:rPr>
          <w:highlight w:val="yellow"/>
        </w:rPr>
        <w:t>путем</w:t>
      </w:r>
      <w:proofErr w:type="spellEnd"/>
      <w:r w:rsidRPr="003D38E1">
        <w:rPr>
          <w:highlight w:val="yellow"/>
        </w:rPr>
        <w:t xml:space="preserve"> периодических гидравлических испытаний на прочность и плотность. </w:t>
      </w:r>
    </w:p>
    <w:p w14:paraId="23D86D3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40E25A81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46B6CEF2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6E2DE9B6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</w:t>
      </w:r>
      <w:proofErr w:type="spellStart"/>
      <w:r w:rsidRPr="003D38E1">
        <w:rPr>
          <w:highlight w:val="yellow"/>
        </w:rPr>
        <w:t>определенных</w:t>
      </w:r>
      <w:proofErr w:type="spellEnd"/>
      <w:r w:rsidRPr="003D38E1">
        <w:rPr>
          <w:highlight w:val="yellow"/>
        </w:rPr>
        <w:t xml:space="preserve"> действий с целью обеспечения безопасности, а также для необходимой информации.</w:t>
      </w:r>
    </w:p>
    <w:p w14:paraId="726BD61D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5" w:name="_Toc61961257"/>
      <w:bookmarkStart w:id="36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5"/>
      <w:bookmarkEnd w:id="36"/>
    </w:p>
    <w:p w14:paraId="1A94A316" w14:textId="77777777" w:rsidR="00C8774E" w:rsidRPr="003D38E1" w:rsidRDefault="00C8774E" w:rsidP="00C8774E">
      <w:pPr>
        <w:spacing w:line="360" w:lineRule="auto"/>
        <w:ind w:firstLine="709"/>
        <w:jc w:val="both"/>
        <w:rPr>
          <w:i/>
          <w:highlight w:val="yellow"/>
        </w:rPr>
      </w:pPr>
      <w:bookmarkStart w:id="37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53413D49" w14:textId="77777777" w:rsidR="00C8774E" w:rsidRPr="003D38E1" w:rsidRDefault="00C8774E" w:rsidP="00C8774E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08D8FF80" w14:textId="77777777" w:rsidR="00C8774E" w:rsidRPr="003D38E1" w:rsidRDefault="00C8774E" w:rsidP="00C8774E">
      <w:pPr>
        <w:pStyle w:val="affff6"/>
        <w:numPr>
          <w:ilvl w:val="0"/>
          <w:numId w:val="37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07CE8D26" w14:textId="77777777" w:rsidR="00C8774E" w:rsidRPr="003D38E1" w:rsidRDefault="00C8774E" w:rsidP="00C8774E">
      <w:pPr>
        <w:pStyle w:val="affff6"/>
        <w:numPr>
          <w:ilvl w:val="0"/>
          <w:numId w:val="37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1A098E66" w14:textId="77777777" w:rsidR="00C8774E" w:rsidRPr="003D38E1" w:rsidRDefault="00C8774E" w:rsidP="00C8774E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7BA89D3E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0EA54A96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8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8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62B2818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70AE051F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5F075F62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38E32CCF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7E3AE4DA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46A6F5D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723F1979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163736158"/>
      <w:bookmarkEnd w:id="3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9"/>
    </w:p>
    <w:p w14:paraId="0E2F2748" w14:textId="77777777" w:rsidR="00C8774E" w:rsidRPr="00F81E2A" w:rsidRDefault="00C8774E" w:rsidP="00C8774E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40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4202ACAE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 xml:space="preserve"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</w:t>
      </w:r>
      <w:proofErr w:type="spellStart"/>
      <w:r w:rsidRPr="00F81E2A">
        <w:rPr>
          <w:highlight w:val="yellow"/>
        </w:rPr>
        <w:t>расчетов</w:t>
      </w:r>
      <w:proofErr w:type="spellEnd"/>
      <w:r w:rsidRPr="00F81E2A">
        <w:rPr>
          <w:highlight w:val="yellow"/>
        </w:rPr>
        <w:t xml:space="preserve"> возлагается на руководителя объекта.</w:t>
      </w:r>
    </w:p>
    <w:p w14:paraId="7BA75989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1" w:name="PO0000788"/>
      <w:bookmarkStart w:id="42" w:name="PO0000789"/>
      <w:bookmarkStart w:id="43" w:name="PO0000790"/>
      <w:bookmarkStart w:id="44" w:name="PO0000791"/>
      <w:bookmarkStart w:id="45" w:name="PO0000792"/>
      <w:bookmarkEnd w:id="41"/>
      <w:bookmarkEnd w:id="42"/>
      <w:bookmarkEnd w:id="43"/>
      <w:bookmarkEnd w:id="44"/>
      <w:bookmarkEnd w:id="45"/>
      <w:r w:rsidRPr="00F81E2A">
        <w:rPr>
          <w:highlight w:val="yellow"/>
        </w:rPr>
        <w:t xml:space="preserve">Для служб эксплуатации и ремонта объектов, на основе действующих правил пожарной безопасности, разработаны с </w:t>
      </w:r>
      <w:proofErr w:type="spellStart"/>
      <w:r w:rsidRPr="00F81E2A">
        <w:rPr>
          <w:highlight w:val="yellow"/>
        </w:rPr>
        <w:t>учетом</w:t>
      </w:r>
      <w:proofErr w:type="spellEnd"/>
      <w:r w:rsidRPr="00F81E2A">
        <w:rPr>
          <w:highlight w:val="yellow"/>
        </w:rPr>
        <w:t xml:space="preserve"> специфики производства инструкции о мерах пожарной безопасности, согласованные с пожарной охраной предприятия.</w:t>
      </w:r>
    </w:p>
    <w:p w14:paraId="5E22E42A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6" w:name="PO0000793"/>
      <w:bookmarkStart w:id="47" w:name="PO0000794"/>
      <w:bookmarkEnd w:id="46"/>
      <w:bookmarkEnd w:id="47"/>
      <w:r w:rsidRPr="00F81E2A">
        <w:rPr>
          <w:highlight w:val="yellow"/>
        </w:rPr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8" w:name="PO0000795"/>
      <w:bookmarkEnd w:id="48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7B9801C9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9" w:name="PO0000796"/>
      <w:bookmarkEnd w:id="49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безопасности, вытекающими из особенностей технологического процесса производства, а 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118976C1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lastRenderedPageBreak/>
        <w:t>На объектах систем сбора, подготовки и транспорта нефти созданы пожарно-технические комиссии.</w:t>
      </w:r>
    </w:p>
    <w:p w14:paraId="619D91F8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74F5B859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11AE25B2" w14:textId="77777777" w:rsidR="00C8774E" w:rsidRPr="00F81E2A" w:rsidRDefault="00C8774E" w:rsidP="00C8774E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60E8DEC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50" w:name="PO0000818"/>
      <w:bookmarkEnd w:id="50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60B74C3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72F39E3D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Не допускается загрязнение и скопление на территории нефти. Места разлива нефти зачищаются </w:t>
      </w:r>
      <w:proofErr w:type="spellStart"/>
      <w:r w:rsidRPr="00F81E2A">
        <w:rPr>
          <w:highlight w:val="yellow"/>
        </w:rPr>
        <w:t>путем</w:t>
      </w:r>
      <w:proofErr w:type="spellEnd"/>
      <w:r w:rsidRPr="00F81E2A">
        <w:rPr>
          <w:highlight w:val="yellow"/>
        </w:rPr>
        <w:t xml:space="preserve"> снятия слоя земли на глубину, превышающую на 1-2 см пропитанный нефтью грунт. Образовавшаяся выемка засыпается песком.</w:t>
      </w:r>
    </w:p>
    <w:p w14:paraId="070A763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3765A665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</w:t>
      </w:r>
      <w:r w:rsidRPr="00F81E2A">
        <w:rPr>
          <w:highlight w:val="yellow"/>
        </w:rPr>
        <w:lastRenderedPageBreak/>
        <w:t>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51AD540C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017E24A8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5F5101C5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1" w:name="PO0000833"/>
      <w:bookmarkStart w:id="52" w:name="PO0000834"/>
      <w:bookmarkEnd w:id="51"/>
      <w:bookmarkEnd w:id="52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0F474A04" w14:textId="77777777" w:rsidR="00C8774E" w:rsidRPr="00C8774E" w:rsidRDefault="00C8774E" w:rsidP="002F6487">
      <w:pPr>
        <w:pStyle w:val="affff6"/>
        <w:widowControl w:val="0"/>
        <w:numPr>
          <w:ilvl w:val="0"/>
          <w:numId w:val="40"/>
        </w:numPr>
        <w:tabs>
          <w:tab w:val="left" w:pos="720"/>
          <w:tab w:val="num" w:pos="1080"/>
        </w:tabs>
        <w:spacing w:line="360" w:lineRule="auto"/>
        <w:ind w:left="0" w:firstLine="709"/>
        <w:jc w:val="both"/>
      </w:pPr>
      <w:bookmarkStart w:id="53" w:name="PO0000835"/>
      <w:bookmarkEnd w:id="53"/>
      <w:r w:rsidRPr="00C8774E">
        <w:rPr>
          <w:highlight w:val="yellow"/>
        </w:rPr>
        <w:t xml:space="preserve">Сварочные работы на </w:t>
      </w:r>
      <w:proofErr w:type="spellStart"/>
      <w:r w:rsidRPr="00C8774E">
        <w:rPr>
          <w:highlight w:val="yellow"/>
        </w:rPr>
        <w:t>отключенных</w:t>
      </w:r>
      <w:proofErr w:type="spellEnd"/>
      <w:r w:rsidRPr="00C8774E">
        <w:rPr>
          <w:highlight w:val="yellow"/>
        </w:rPr>
        <w:t xml:space="preserve">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  <w:bookmarkStart w:id="54" w:name="PO0000836"/>
      <w:bookmarkEnd w:id="54"/>
    </w:p>
    <w:p w14:paraId="3D8B6A79" w14:textId="1303AE6D" w:rsidR="00DB6753" w:rsidRPr="00C8774E" w:rsidRDefault="00C8774E" w:rsidP="002F6487">
      <w:pPr>
        <w:pStyle w:val="affff6"/>
        <w:widowControl w:val="0"/>
        <w:numPr>
          <w:ilvl w:val="0"/>
          <w:numId w:val="40"/>
        </w:numPr>
        <w:tabs>
          <w:tab w:val="left" w:pos="720"/>
          <w:tab w:val="num" w:pos="1080"/>
        </w:tabs>
        <w:spacing w:line="360" w:lineRule="auto"/>
        <w:ind w:left="0" w:firstLine="709"/>
        <w:jc w:val="both"/>
        <w:rPr>
          <w:lang w:val="en-US"/>
        </w:rPr>
      </w:pPr>
      <w:r w:rsidRPr="00C8774E">
        <w:rPr>
          <w:highlight w:val="yellow"/>
        </w:rPr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C4A792" w14:textId="77777777" w:rsidR="00C8774E" w:rsidRPr="00C8774E" w:rsidRDefault="00C8774E" w:rsidP="00C8774E">
      <w:pPr>
        <w:widowControl w:val="0"/>
        <w:tabs>
          <w:tab w:val="left" w:pos="720"/>
        </w:tabs>
        <w:spacing w:line="360" w:lineRule="auto"/>
        <w:contextualSpacing/>
        <w:jc w:val="both"/>
        <w:rPr>
          <w:lang w:val="en-US"/>
        </w:rPr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5" w:name="_Toc61961258"/>
      <w:bookmarkStart w:id="56" w:name="_Toc163736159"/>
      <w:bookmarkEnd w:id="40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5"/>
      <w:bookmarkEnd w:id="56"/>
    </w:p>
    <w:p w14:paraId="588E5398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6729C9EE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lastRenderedPageBreak/>
        <w:t xml:space="preserve">Системы контроля и управления технологическими процессами имеют в </w:t>
      </w:r>
      <w:proofErr w:type="spellStart"/>
      <w:r w:rsidRPr="00F81E2A">
        <w:t>своем</w:t>
      </w:r>
      <w:proofErr w:type="spellEnd"/>
      <w:r w:rsidRPr="00F81E2A">
        <w:t xml:space="preserve">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493495E3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01670AE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691AB0F6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Контроль (местный и дистанционный) за ходом технологических процессов на объекте;</w:t>
      </w:r>
    </w:p>
    <w:p w14:paraId="4003B42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Контроль состояния и режимов работы технологического оборудования;</w:t>
      </w:r>
    </w:p>
    <w:p w14:paraId="6923C304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Измерение текущих параметров (давления, температуры, расхода, уровня, качества продукции);</w:t>
      </w:r>
    </w:p>
    <w:p w14:paraId="1BFD51CA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603763F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Поддержание заданного технологического режима;</w:t>
      </w:r>
    </w:p>
    <w:p w14:paraId="48039DD4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Местное и дистанционное управление работой технологического оборудования.</w:t>
      </w:r>
    </w:p>
    <w:p w14:paraId="4DCA9B57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Все действующие системы контроля и управления опасных производств имеют в </w:t>
      </w:r>
      <w:proofErr w:type="spellStart"/>
      <w:r w:rsidRPr="00F81E2A">
        <w:t>своем</w:t>
      </w:r>
      <w:proofErr w:type="spellEnd"/>
      <w:r w:rsidRPr="00F81E2A">
        <w:t xml:space="preserve">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70B643D3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1B54F316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Аварийную сигнализацию при выходе технологических параметров за предельные значения;</w:t>
      </w:r>
    </w:p>
    <w:p w14:paraId="24FE492B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Управление технологическим процессом в целях предупреждения, определения, локализации и ликвидации аварий;</w:t>
      </w:r>
    </w:p>
    <w:p w14:paraId="4A49B69C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Автоматическую блокировку оборудования, действующую независимо от других устройств управления.</w:t>
      </w:r>
    </w:p>
    <w:p w14:paraId="08EF5D29" w14:textId="77777777" w:rsidR="00C8774E" w:rsidRPr="00B260A0" w:rsidRDefault="00C8774E" w:rsidP="00C8774E">
      <w:pPr>
        <w:spacing w:line="360" w:lineRule="auto"/>
        <w:ind w:firstLine="709"/>
        <w:jc w:val="both"/>
        <w:rPr>
          <w:highlight w:val="yellow"/>
        </w:rPr>
      </w:pPr>
    </w:p>
    <w:p w14:paraId="209A3FCD" w14:textId="77777777" w:rsidR="00C8774E" w:rsidRPr="00CE216C" w:rsidRDefault="00C8774E" w:rsidP="00C8774E">
      <w:pPr>
        <w:pStyle w:val="24"/>
        <w:tabs>
          <w:tab w:val="left" w:pos="1134"/>
        </w:tabs>
        <w:spacing w:line="360" w:lineRule="auto"/>
        <w:ind w:left="709" w:right="-2"/>
        <w:jc w:val="both"/>
        <w:rPr>
          <w:lang w:val="ru-RU"/>
        </w:rPr>
      </w:pP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7" w:name="_Toc287019711"/>
      <w:bookmarkStart w:id="58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7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8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9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0" w:name="_Toc61961260"/>
      <w:bookmarkStart w:id="61" w:name="_Toc163736161"/>
      <w:bookmarkEnd w:id="59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60"/>
      <w:bookmarkEnd w:id="61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2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3" w:name="_Toc163736162"/>
      <w:bookmarkEnd w:id="62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3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4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5" w:name="_Toc163736163"/>
      <w:bookmarkEnd w:id="64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5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C8774E">
      <w:pPr>
        <w:spacing w:line="360" w:lineRule="auto"/>
        <w:ind w:firstLine="709"/>
        <w:jc w:val="both"/>
      </w:pPr>
      <w:bookmarkStart w:id="66" w:name="_Ref290125883"/>
      <w:bookmarkStart w:id="67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6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7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C8774E" w:rsidRPr="00E531C4" w14:paraId="58089E22" w14:textId="77777777" w:rsidTr="005D4600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29826" w14:textId="77777777" w:rsidR="00C8774E" w:rsidRPr="00E531C4" w:rsidRDefault="00C8774E" w:rsidP="005D4600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AB24" w14:textId="77777777" w:rsidR="00C8774E" w:rsidRPr="00E531C4" w:rsidRDefault="00C8774E" w:rsidP="005D4600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6CE6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B82D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83AB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117D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У</w:t>
            </w: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щерб</w:t>
            </w:r>
          </w:p>
        </w:tc>
      </w:tr>
      <w:tr w:rsidR="00C8774E" w:rsidRPr="00E531C4" w14:paraId="59B4A7DE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614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F1D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28.02.2021 г. (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Спорышевское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нефтяное месторождении в Ямало-Ненецком АО)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C051E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53D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Трубопровод прорвало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Спорышевском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нефтяном месторождении в Ямало-Ненецком АО.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911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500 кв. м. МЧС не привлекалось, последствия устраняют представители организации.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D09F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6E44D82E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C6CB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16BD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6.03.2021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близ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г.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Нижневартовска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24F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A2B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Пожар на трубопроводе под Нижневартовском могли спровоцировать охотники. По предварительной версии, возгорание произошло в результате искры от снегохода "Буран", на котором передвигались охотники.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47D5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350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BD6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1 человек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пострадал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C8774E" w:rsidRPr="00E531C4" w14:paraId="6D707FCC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4CA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8AE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18.01.2022 г. (г. Кахраманмараш на юго-востоке Турции)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401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B41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Произошел пожар, из-за которого движение по находящейся вблизи междугородней трассе было перекрыто.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0D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950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9D7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15E931CD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9D5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D02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19.01.2022 г. (нефтепровод Киркук-Джейхан, Турция)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13F8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Терракт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на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нефтепроводе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01B6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Подрыв произошел на крупном нефтепроводе Киркук-Джейхан, соединяющем Ирак и Турцию. Турецкая компания-оператор трубопровода </w:t>
            </w:r>
            <w:r w:rsidRPr="00E531C4">
              <w:rPr>
                <w:color w:val="000000"/>
                <w:sz w:val="18"/>
                <w:szCs w:val="18"/>
                <w:lang w:val="en-US"/>
              </w:rPr>
              <w:t>Botas</w:t>
            </w:r>
            <w:r w:rsidRPr="00E531C4">
              <w:rPr>
                <w:color w:val="000000"/>
                <w:sz w:val="18"/>
                <w:szCs w:val="18"/>
              </w:rPr>
              <w:t xml:space="preserve"> объявила, что взрыв произошел на востоке Турции. Из-за этого работу нефтепровода приостановили, на месте происшествия работают пожарные.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7D4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428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57D40235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553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433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7.11.2022 г. (Нефтепровод «Газпром нефти»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Еты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-Пуровском месторождении нефти)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9B7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4CC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На месторождении произошла разгерметизация трубопровода с последующим возгоранием.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прорыве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, оператор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остановил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часть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скважин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BC3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A9B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385949E4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57E59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070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4.03.2023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Нигерия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8A8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62E5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Сильный пожар на месте ЧП долго не могли потушить. </w:t>
            </w:r>
            <w:r>
              <w:rPr>
                <w:color w:val="000000"/>
                <w:sz w:val="18"/>
                <w:szCs w:val="18"/>
              </w:rPr>
              <w:t>Пожар</w:t>
            </w:r>
            <w:r w:rsidRPr="00E531C4">
              <w:rPr>
                <w:color w:val="000000"/>
                <w:sz w:val="18"/>
                <w:szCs w:val="18"/>
              </w:rPr>
              <w:t xml:space="preserve"> произошел на месте незаконной врезки в трубу при попытке похитить нефть.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C7F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8B089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</w:t>
            </w:r>
            <w:r w:rsidRPr="00E531C4">
              <w:rPr>
                <w:color w:val="000000"/>
                <w:sz w:val="18"/>
                <w:szCs w:val="18"/>
              </w:rPr>
              <w:t>огибли 15 человек.</w:t>
            </w:r>
          </w:p>
        </w:tc>
      </w:tr>
      <w:tr w:rsidR="00C8774E" w:rsidRPr="00E531C4" w14:paraId="20247020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48CA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319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31.01.2024 г. (межпромысловая труба ППСН «Ярега» — ПСП «Ухта», Республика Коми)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6EC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F0C0E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Обнаружено и место утечки — межпромысловая труба ППСН «Ярега» — ПСП «Ухта». Перекачку нефти по аварийному трубопроводу остановили. Приняты меры по недопущению попадания нефти в акватории рек.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271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Загрязнение нефтью на площади почти 600 кв. метров, вылилось 0,4 кубометра нефти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709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  <w:tr w:rsidR="00C8774E" w:rsidRPr="00E531C4" w14:paraId="34C669A3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E426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68C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20.02.2024 г. (ООО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")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721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4B6C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" сообщило разгерметизации действующего нефтепровода ЦДНГ №3 "Котовский", система промысловых трубопроводов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Антиповско-Балыклейского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месторождения Камышинского района Волгоградской области.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461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В ходе осмотра было зафиксировано загрязнение почвы нефтепродуктами, площадь составила более 800 </w:t>
            </w:r>
            <w:proofErr w:type="gramStart"/>
            <w:r w:rsidRPr="00E531C4">
              <w:rPr>
                <w:color w:val="000000"/>
                <w:sz w:val="18"/>
                <w:szCs w:val="18"/>
              </w:rPr>
              <w:t>кв.м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15F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</w:tbl>
    <w:p w14:paraId="1827D49D" w14:textId="77777777" w:rsidR="0025777E" w:rsidRPr="00C8774E" w:rsidRDefault="0025777E" w:rsidP="00165375">
      <w:pPr>
        <w:widowControl w:val="0"/>
        <w:spacing w:line="360" w:lineRule="auto"/>
        <w:jc w:val="both"/>
        <w:rPr>
          <w:highlight w:val="yellow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8" w:name="_Toc276886158"/>
      <w:bookmarkStart w:id="69" w:name="_Toc61961263"/>
      <w:bookmarkStart w:id="70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8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9"/>
      <w:bookmarkEnd w:id="70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lastRenderedPageBreak/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1" w:name="_Toc176854660"/>
      <w:bookmarkStart w:id="72" w:name="_Toc276886159"/>
      <w:bookmarkStart w:id="73" w:name="_Toc61961264"/>
      <w:bookmarkStart w:id="74" w:name="_Toc59505421"/>
      <w:bookmarkStart w:id="75" w:name="_Toc59505504"/>
      <w:bookmarkStart w:id="76" w:name="_Toc59506098"/>
      <w:bookmarkStart w:id="77" w:name="_Toc78707127"/>
      <w:bookmarkStart w:id="78" w:name="_Toc79915011"/>
      <w:bookmarkStart w:id="79" w:name="_Toc108586431"/>
      <w:bookmarkStart w:id="80" w:name="_Toc108586577"/>
      <w:bookmarkStart w:id="81" w:name="_Toc108587023"/>
      <w:bookmarkStart w:id="82" w:name="_Toc112833958"/>
      <w:bookmarkStart w:id="83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4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1"/>
      <w:bookmarkEnd w:id="72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3"/>
      <w:bookmarkEnd w:id="84"/>
    </w:p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5" w:name="_Toc61961265"/>
      <w:bookmarkStart w:id="86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5"/>
      <w:bookmarkEnd w:id="86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44F224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Основными факторами, способствующими возникновению и развитию аварий на промысловых трубопроводах, являются:</w:t>
      </w:r>
    </w:p>
    <w:p w14:paraId="6AE3968C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сбор и транспорт нефти, являющейся взрывопожароопасным веществом;</w:t>
      </w:r>
    </w:p>
    <w:p w14:paraId="38136A0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осуществление операций по сбору и транспорту нефти под давлением;</w:t>
      </w:r>
    </w:p>
    <w:p w14:paraId="5BD666A1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</w:t>
      </w:r>
      <w:proofErr w:type="spellStart"/>
      <w:r w:rsidRPr="00357E07">
        <w:rPr>
          <w:highlight w:val="green"/>
        </w:rPr>
        <w:t>протяженность</w:t>
      </w:r>
      <w:proofErr w:type="spellEnd"/>
      <w:r w:rsidRPr="00357E07">
        <w:rPr>
          <w:highlight w:val="green"/>
        </w:rPr>
        <w:t xml:space="preserve"> и </w:t>
      </w:r>
      <w:proofErr w:type="spellStart"/>
      <w:r w:rsidRPr="00357E07">
        <w:rPr>
          <w:highlight w:val="green"/>
        </w:rPr>
        <w:t>разветвленность</w:t>
      </w:r>
      <w:proofErr w:type="spellEnd"/>
      <w:r w:rsidRPr="00357E07">
        <w:rPr>
          <w:highlight w:val="green"/>
        </w:rPr>
        <w:t xml:space="preserve"> системы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4B2C0627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прокладка трубопроводов подземным способом, вследствие чего трубопроводы и запорная арматура подвержены коррозии под воздействием почвы и блуждающих токов;</w:t>
      </w:r>
    </w:p>
    <w:p w14:paraId="72F4F3EF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- коррозионная активность транспортируемой среды </w:t>
      </w:r>
      <w:proofErr w:type="spellStart"/>
      <w:r w:rsidRPr="00357E07">
        <w:rPr>
          <w:highlight w:val="green"/>
        </w:rPr>
        <w:t>создает</w:t>
      </w:r>
      <w:proofErr w:type="spellEnd"/>
      <w:r w:rsidRPr="00357E07">
        <w:rPr>
          <w:highlight w:val="green"/>
        </w:rPr>
        <w:t xml:space="preserve"> дополнительную опасность разгерметизации трубопроводов.</w:t>
      </w:r>
    </w:p>
    <w:p w14:paraId="3A3F1C0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К основным причинам и факторам, приводящим к нарушению герметичности (разрушению) и отказу оборудования и трубопроводов, относятся:</w:t>
      </w:r>
    </w:p>
    <w:p w14:paraId="2221EF5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опасности, связанные с типовыми процессами;</w:t>
      </w:r>
    </w:p>
    <w:p w14:paraId="0AE88194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нарушение герметичности оборудования и трубопроводов (дефекты изготовления и строительно-монтажных работ, коррозия, механические повреждения, температурная деформация);</w:t>
      </w:r>
    </w:p>
    <w:p w14:paraId="14BFC67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ошибки обслуживающего персонала;</w:t>
      </w:r>
    </w:p>
    <w:p w14:paraId="1C2E53F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внешние воздействия техногенного и природного характера.</w:t>
      </w:r>
    </w:p>
    <w:p w14:paraId="38583187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87" w:name="_Toc252559743"/>
      <w:bookmarkStart w:id="88" w:name="_Toc252609838"/>
      <w:bookmarkStart w:id="89" w:name="_Toc252619221"/>
      <w:bookmarkStart w:id="90" w:name="_Toc252640122"/>
      <w:r w:rsidRPr="00357E07">
        <w:rPr>
          <w:b/>
          <w:i/>
          <w:highlight w:val="green"/>
        </w:rPr>
        <w:t>Опасности, связанные с типовыми процессами</w:t>
      </w:r>
      <w:bookmarkEnd w:id="87"/>
      <w:bookmarkEnd w:id="88"/>
      <w:bookmarkEnd w:id="89"/>
      <w:bookmarkEnd w:id="90"/>
    </w:p>
    <w:p w14:paraId="2A70D91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осуществления операций по сбору и транспорту нефти под давлением. Процесс транспортирования нефти по трубопроводам относится к гидродинамическим процессам, характерной особенностью которых является их </w:t>
      </w:r>
      <w:proofErr w:type="spellStart"/>
      <w:r w:rsidRPr="00357E07">
        <w:rPr>
          <w:highlight w:val="green"/>
        </w:rPr>
        <w:t>нестационарность</w:t>
      </w:r>
      <w:proofErr w:type="spellEnd"/>
      <w:r w:rsidRPr="00357E07">
        <w:rPr>
          <w:highlight w:val="green"/>
        </w:rPr>
        <w:t>, возможность резких перепадов и пульсаций давления, что может привести к гидравлическим ударам в трубопроводной системе, вибрации. Изменения давления в трубопроводе, вибрации приводят к появлению и росту трещин, ухудшению механических свойств металла, усталостному разрушению.</w:t>
      </w:r>
    </w:p>
    <w:p w14:paraId="46461BE8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r w:rsidRPr="00357E07">
        <w:rPr>
          <w:b/>
          <w:i/>
          <w:highlight w:val="green"/>
        </w:rPr>
        <w:t xml:space="preserve">Дефекты изготовления и строительно-монтажных работ, коррозия, </w:t>
      </w:r>
      <w:r w:rsidRPr="00357E07">
        <w:rPr>
          <w:b/>
          <w:i/>
          <w:highlight w:val="green"/>
        </w:rPr>
        <w:br/>
      </w:r>
      <w:r w:rsidRPr="00357E07">
        <w:rPr>
          <w:b/>
          <w:i/>
          <w:highlight w:val="green"/>
        </w:rPr>
        <w:lastRenderedPageBreak/>
        <w:t>температурная деформация оборудования и трубопроводов</w:t>
      </w:r>
    </w:p>
    <w:p w14:paraId="0AA95C1D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Дефекты изготовления и строительно-монтажных работ</w:t>
      </w:r>
    </w:p>
    <w:p w14:paraId="1E3F8D4B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Надежность трубопровода в процессе эксплуатации в значительной степени определяется качеством материалов и изделий, строительно-монтажных работ.</w:t>
      </w:r>
    </w:p>
    <w:p w14:paraId="071C380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Заводские дефекты труб (дефекты металла, стенки труб) и механические дефекты труб, полученных в ходе транспортировки и погрузочно-разгрузочных работ, могут явиться причиной раскрытия трубопровода при его эксплуатации.</w:t>
      </w:r>
    </w:p>
    <w:p w14:paraId="609E772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357E07">
        <w:rPr>
          <w:highlight w:val="green"/>
        </w:rPr>
        <w:t>непровары</w:t>
      </w:r>
      <w:proofErr w:type="spellEnd"/>
      <w:r w:rsidRPr="00357E07">
        <w:rPr>
          <w:highlight w:val="green"/>
        </w:rPr>
        <w:t>, которые могут явиться причиной разрушения сварного соединения.</w:t>
      </w:r>
    </w:p>
    <w:p w14:paraId="3A4EE53F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Коррозия</w:t>
      </w:r>
    </w:p>
    <w:p w14:paraId="7FBD6AF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20BC7D37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357E07">
        <w:rPr>
          <w:highlight w:val="green"/>
        </w:rPr>
        <w:t>корродирование</w:t>
      </w:r>
      <w:proofErr w:type="spellEnd"/>
      <w:r w:rsidRPr="00357E07">
        <w:rPr>
          <w:highlight w:val="green"/>
        </w:rPr>
        <w:t xml:space="preserve"> металла протекает также слабо; наиболее сильно коррозия развивается в дефекте покрытия.</w:t>
      </w:r>
    </w:p>
    <w:p w14:paraId="7A1C5C8D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Температурная деформация</w:t>
      </w:r>
    </w:p>
    <w:p w14:paraId="2D17888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7ADE88D3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91" w:name="_Toc252559746"/>
      <w:bookmarkStart w:id="92" w:name="_Toc252609841"/>
      <w:bookmarkStart w:id="93" w:name="_Toc252619224"/>
      <w:bookmarkStart w:id="94" w:name="_Toc252640125"/>
      <w:r w:rsidRPr="00357E07">
        <w:rPr>
          <w:b/>
          <w:i/>
          <w:highlight w:val="green"/>
        </w:rPr>
        <w:t>Причины и факторы, связанные с возможными ошибками персонала</w:t>
      </w:r>
      <w:bookmarkEnd w:id="91"/>
      <w:bookmarkEnd w:id="92"/>
      <w:bookmarkEnd w:id="93"/>
      <w:bookmarkEnd w:id="94"/>
    </w:p>
    <w:p w14:paraId="4633ED4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</w:t>
      </w:r>
      <w:r w:rsidRPr="00357E07">
        <w:rPr>
          <w:highlight w:val="green"/>
        </w:rPr>
        <w:lastRenderedPageBreak/>
        <w:t>устройств могут привести к нарушению герметичности (разгерметизации) оборудования и трубопроводов.</w:t>
      </w:r>
    </w:p>
    <w:p w14:paraId="51239D7B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95" w:name="_Toc252559747"/>
      <w:bookmarkStart w:id="96" w:name="_Toc252609842"/>
      <w:bookmarkStart w:id="97" w:name="_Toc252619225"/>
      <w:bookmarkStart w:id="98" w:name="_Toc252640126"/>
      <w:r w:rsidRPr="00357E07">
        <w:rPr>
          <w:b/>
          <w:i/>
          <w:highlight w:val="green"/>
        </w:rPr>
        <w:t>Причины и факторы, связанные с внешними воздействиями техногенного и природного характера</w:t>
      </w:r>
      <w:bookmarkEnd w:id="95"/>
      <w:bookmarkEnd w:id="96"/>
      <w:bookmarkEnd w:id="97"/>
      <w:bookmarkEnd w:id="98"/>
    </w:p>
    <w:p w14:paraId="5E5D50D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 внешним воздействиям на подземные трубопроводы относят возможные нагрузки при производстве различных работ вблизи трубопровода, наезды </w:t>
      </w:r>
      <w:proofErr w:type="spellStart"/>
      <w:r w:rsidRPr="00357E07">
        <w:rPr>
          <w:highlight w:val="green"/>
        </w:rPr>
        <w:t>тяжелого</w:t>
      </w:r>
      <w:proofErr w:type="spellEnd"/>
      <w:r w:rsidRPr="00357E07">
        <w:rPr>
          <w:highlight w:val="green"/>
        </w:rPr>
        <w:t xml:space="preserve">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3CF37484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распространены повреждения трубопроводов от наездов на них </w:t>
      </w:r>
      <w:proofErr w:type="spellStart"/>
      <w:r w:rsidRPr="00357E07">
        <w:rPr>
          <w:highlight w:val="green"/>
        </w:rPr>
        <w:t>тяжелой</w:t>
      </w:r>
      <w:proofErr w:type="spellEnd"/>
      <w:r w:rsidRPr="00357E07">
        <w:rPr>
          <w:highlight w:val="green"/>
        </w:rPr>
        <w:t xml:space="preserve">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60C71DDF" w14:textId="62C9C411" w:rsidR="00697B60" w:rsidRPr="00D02A51" w:rsidRDefault="00DB7793" w:rsidP="00DB7793">
      <w:pPr>
        <w:spacing w:line="360" w:lineRule="auto"/>
        <w:ind w:firstLine="709"/>
        <w:jc w:val="both"/>
      </w:pPr>
      <w:r w:rsidRPr="00357E07">
        <w:rPr>
          <w:highlight w:val="green"/>
        </w:rPr>
        <w:t xml:space="preserve"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</w:t>
      </w:r>
      <w:proofErr w:type="spellStart"/>
      <w:r w:rsidRPr="00357E07">
        <w:rPr>
          <w:highlight w:val="green"/>
        </w:rPr>
        <w:t>определенных</w:t>
      </w:r>
      <w:proofErr w:type="spellEnd"/>
      <w:r w:rsidRPr="00357E07">
        <w:rPr>
          <w:highlight w:val="green"/>
        </w:rPr>
        <w:t xml:space="preserve"> условиях вызывают разрушение труб в виде полного или частичного разрыва.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9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0" w:name="_Toc61961266"/>
      <w:bookmarkStart w:id="101" w:name="_Toc163736167"/>
      <w:bookmarkEnd w:id="99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100"/>
      <w:bookmarkEnd w:id="101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2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3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3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lastRenderedPageBreak/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 xml:space="preserve">, при </w:t>
      </w:r>
      <w:r w:rsidR="00000974">
        <w:lastRenderedPageBreak/>
        <w:t>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65ADD0FB" w14:textId="77777777" w:rsidR="008B3926" w:rsidRPr="00A343B6" w:rsidRDefault="008B3926" w:rsidP="008B3926">
      <w:pPr>
        <w:ind w:firstLine="556"/>
        <w:jc w:val="both"/>
      </w:pPr>
      <w:bookmarkStart w:id="104" w:name="_Ref163381102"/>
      <w:r w:rsidRPr="008C3200"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4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8B3926" w:rsidRPr="008C3200" w14:paraId="0DB0EF3C" w14:textId="77777777" w:rsidTr="005D4600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83714F5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5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542BEACC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33DB6E40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04215470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8B3926" w:rsidRPr="008B3926" w14:paraId="5A19348F" w14:textId="77777777" w:rsidTr="005D4600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57D67A28" w14:textId="77777777" w:rsidR="008B3926" w:rsidRPr="00923583" w:rsidRDefault="008B3926" w:rsidP="005D4600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8B3926" w:rsidRPr="00923583" w14:paraId="23AB7E3B" w14:textId="77777777" w:rsidTr="005D4600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14023E99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35283598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629CE308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37BE8971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8B3926" w:rsidRPr="00923583" w14:paraId="48E7D5BE" w14:textId="77777777" w:rsidTr="005D4600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5167088" w14:textId="77777777" w:rsidR="008B3926" w:rsidRPr="00923583" w:rsidRDefault="008B3926" w:rsidP="005D4600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5"/>
    </w:tbl>
    <w:p w14:paraId="00FFA6AE" w14:textId="77777777" w:rsidR="008B3926" w:rsidRDefault="008B3926" w:rsidP="008B3926">
      <w:pPr>
        <w:pStyle w:val="152"/>
        <w:spacing w:after="0" w:line="360" w:lineRule="auto"/>
        <w:rPr>
          <w:snapToGrid w:val="0"/>
          <w:lang w:val="ru-RU"/>
        </w:rPr>
      </w:pPr>
    </w:p>
    <w:p w14:paraId="6AAA0DB7" w14:textId="77777777" w:rsidR="008B3926" w:rsidRPr="00892DBF" w:rsidRDefault="008B3926" w:rsidP="008B3926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drawing>
          <wp:inline distT="0" distB="0" distL="0" distR="0" wp14:anchorId="3B50836B" wp14:editId="1ACE6987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1A4" w14:textId="77777777" w:rsidR="008B3926" w:rsidRPr="00357E07" w:rsidRDefault="008B3926" w:rsidP="008B3926">
      <w:pPr>
        <w:pStyle w:val="152"/>
        <w:spacing w:after="0" w:line="360" w:lineRule="auto"/>
        <w:ind w:firstLine="709"/>
        <w:rPr>
          <w:lang w:val="ru-RU"/>
        </w:rPr>
      </w:pPr>
      <w:r w:rsidRPr="00357E0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357E07">
        <w:rPr>
          <w:noProof/>
        </w:rPr>
        <w:t>10</w:t>
      </w:r>
      <w:r>
        <w:rPr>
          <w:noProof/>
        </w:rPr>
        <w:fldChar w:fldCharType="end"/>
      </w:r>
      <w:r w:rsidRPr="00357E07">
        <w:t xml:space="preserve"> - «Дерево событий» для </w:t>
      </w:r>
      <w:r w:rsidRPr="00357E07">
        <w:rPr>
          <w:lang w:val="ru-RU"/>
        </w:rPr>
        <w:t>нефтепроводов с ЛВЖ (на открытой площадке)</w:t>
      </w:r>
    </w:p>
    <w:p w14:paraId="76604EB1" w14:textId="77777777" w:rsidR="008B3926" w:rsidRPr="00357E07" w:rsidRDefault="008B3926" w:rsidP="008B3926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357E07">
        <w:t xml:space="preserve">* - </w:t>
      </w:r>
      <w:r w:rsidRPr="00357E07">
        <w:rPr>
          <w:snapToGrid w:val="0"/>
          <w:lang w:val="ru-RU"/>
        </w:rPr>
        <w:t xml:space="preserve">частоты </w:t>
      </w:r>
      <w:r w:rsidRPr="00357E07">
        <w:t>аварийной</w:t>
      </w:r>
      <w:r w:rsidRPr="00357E07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=1300509015&amp;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=000000000000000000000000000000000000000000000000007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20</w:instrText>
      </w:r>
      <w:r w:rsidRPr="00357E07">
        <w:rPr>
          <w:snapToGrid w:val="0"/>
          <w:lang w:val="en-US"/>
        </w:rPr>
        <w:instrText>K</w:instrText>
      </w:r>
      <w:r w:rsidRPr="00357E07">
        <w:rPr>
          <w:snapToGrid w:val="0"/>
          <w:lang w:val="ru-RU"/>
        </w:rPr>
        <w:instrText>3"\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67B7CC64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(утв. приказом Ростехнадзора от 28.11.2022 N 410)</w:instrText>
      </w:r>
    </w:p>
    <w:p w14:paraId="11290E58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Руководство по безопасности от ...</w:instrText>
      </w:r>
    </w:p>
    <w:p w14:paraId="6F17FCAA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, </w:t>
      </w:r>
      <w:proofErr w:type="spellStart"/>
      <w:r w:rsidRPr="00357E07">
        <w:rPr>
          <w:snapToGrid w:val="0"/>
          <w:lang w:val="ru-RU"/>
        </w:rPr>
        <w:t>утвержденному</w:t>
      </w:r>
      <w:proofErr w:type="spellEnd"/>
      <w:r w:rsidRPr="00357E07">
        <w:rPr>
          <w:snapToGrid w:val="0"/>
          <w:lang w:val="ru-RU"/>
        </w:rPr>
        <w:t xml:space="preserve">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=1300506232&amp;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=0000000000000000000000000000000000000000000000000064</w:instrText>
      </w:r>
      <w:r w:rsidRPr="00357E07">
        <w:rPr>
          <w:snapToGrid w:val="0"/>
          <w:lang w:val="en-US"/>
        </w:rPr>
        <w:instrText>S</w:instrText>
      </w:r>
      <w:r w:rsidRPr="00357E07">
        <w:rPr>
          <w:snapToGrid w:val="0"/>
          <w:lang w:val="ru-RU"/>
        </w:rPr>
        <w:instrText>0</w:instrText>
      </w:r>
      <w:r w:rsidRPr="00357E07">
        <w:rPr>
          <w:snapToGrid w:val="0"/>
          <w:lang w:val="en-US"/>
        </w:rPr>
        <w:instrText>IJ</w:instrText>
      </w:r>
      <w:r w:rsidRPr="00357E07">
        <w:rPr>
          <w:snapToGrid w:val="0"/>
          <w:lang w:val="ru-RU"/>
        </w:rPr>
        <w:instrText>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0644F687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Приказ Ростехнадзора от 28.11.2022 N 410</w:instrText>
      </w:r>
    </w:p>
    <w:p w14:paraId="1263F6DC" w14:textId="1BB54BE9" w:rsidR="005751E2" w:rsidRDefault="008B3926" w:rsidP="008B3926">
      <w:pPr>
        <w:pStyle w:val="152"/>
        <w:spacing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 xml:space="preserve">приказом Ростехнадзора от 28 ноября 2022 г. </w:t>
      </w:r>
      <w:r w:rsidRPr="00357E07">
        <w:rPr>
          <w:snapToGrid w:val="0"/>
          <w:lang w:val="en-US"/>
        </w:rPr>
        <w:t>N</w:t>
      </w:r>
      <w:r w:rsidRPr="00357E07">
        <w:rPr>
          <w:snapToGrid w:val="0"/>
          <w:lang w:val="ru-RU"/>
        </w:rPr>
        <w:t xml:space="preserve"> 411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6" w:name="_Toc61961267"/>
      <w:bookmarkStart w:id="107" w:name="_Toc163736168"/>
      <w:bookmarkEnd w:id="102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6"/>
      <w:bookmarkEnd w:id="107"/>
    </w:p>
    <w:p w14:paraId="5DE1E468" w14:textId="77777777" w:rsidR="008B3926" w:rsidRPr="008C3200" w:rsidRDefault="008B3926" w:rsidP="008B3926">
      <w:pPr>
        <w:spacing w:line="360" w:lineRule="auto"/>
        <w:ind w:firstLine="556"/>
        <w:jc w:val="both"/>
      </w:pPr>
      <w:bookmarkStart w:id="108" w:name="_Hlk203207763"/>
      <w:r w:rsidRPr="008C3200">
        <w:t>Оценка опасного воздействия в случае аварии выполнена по методикам:</w:t>
      </w:r>
    </w:p>
    <w:p w14:paraId="3E044F9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1</w:t>
      </w:r>
      <w:r w:rsidRPr="008C3200">
        <w:t>) Оценка теплового воздействия.</w:t>
      </w:r>
    </w:p>
    <w:p w14:paraId="466EE7BE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27BD3639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2</w:t>
      </w:r>
      <w:r w:rsidRPr="008C3200">
        <w:t>) Выброс опасного вещества (образование зоны загазованности).</w:t>
      </w:r>
    </w:p>
    <w:p w14:paraId="20D5E627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8EB178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3</w:t>
      </w:r>
      <w:r w:rsidRPr="008C3200">
        <w:t>) Оценка ущерба</w:t>
      </w:r>
    </w:p>
    <w:p w14:paraId="7DF3243B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3C1EB7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4</w:t>
      </w:r>
      <w:r w:rsidRPr="008C3200">
        <w:t>) Количество погибших и пострадавших</w:t>
      </w:r>
    </w:p>
    <w:p w14:paraId="7173DE38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>
        <w:t>от 26.06.2024 № 533</w:t>
      </w:r>
      <w:r w:rsidRPr="008C3200">
        <w:t>, зарегистрировано в Минюсте от 17.08.2009 г. № 14541 (Приложение 4)</w:t>
      </w:r>
    </w:p>
    <w:p w14:paraId="0520F306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5C17D737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5</w:t>
      </w:r>
      <w:r w:rsidRPr="008C3200">
        <w:t>) Определение основных показателей риска</w:t>
      </w:r>
    </w:p>
    <w:p w14:paraId="19A82F00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641FDA8E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6</w:t>
      </w:r>
      <w:r w:rsidRPr="008C3200">
        <w:t xml:space="preserve">) Оценка количества опасных веществ, участвующих в аварии </w:t>
      </w:r>
    </w:p>
    <w:p w14:paraId="35106555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10C4F5C" w14:textId="77777777" w:rsidR="008B3926" w:rsidRPr="008C3200" w:rsidRDefault="008B3926" w:rsidP="008B3926">
      <w:pPr>
        <w:spacing w:line="360" w:lineRule="auto"/>
        <w:ind w:firstLine="556"/>
        <w:jc w:val="both"/>
      </w:pPr>
    </w:p>
    <w:p w14:paraId="604D6253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При </w:t>
      </w:r>
      <w:proofErr w:type="spellStart"/>
      <w:r w:rsidRPr="008C3200">
        <w:t>расчетах</w:t>
      </w:r>
      <w:proofErr w:type="spellEnd"/>
      <w:r w:rsidRPr="008C3200">
        <w:t xml:space="preserve">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13C1E53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lastRenderedPageBreak/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108256E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734BB38D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3A3422CE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D2818F7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0652BDA9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2F42AEAC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2C33D1C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5B02A7B6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0FE8DFB7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 xml:space="preserve"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</w:t>
      </w:r>
      <w:proofErr w:type="spellStart"/>
      <w:r w:rsidRPr="00F55CD6">
        <w:rPr>
          <w:lang w:val="ru-RU"/>
        </w:rPr>
        <w:t>расчетных</w:t>
      </w:r>
      <w:proofErr w:type="spellEnd"/>
      <w:r w:rsidRPr="00F55CD6">
        <w:rPr>
          <w:lang w:val="ru-RU"/>
        </w:rPr>
        <w:t xml:space="preserve">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Pr="008C3200">
        <w:rPr>
          <w:lang w:val="ru-RU"/>
        </w:rPr>
        <w:t>;</w:t>
      </w:r>
    </w:p>
    <w:p w14:paraId="73DB26DA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>
        <w:rPr>
          <w:lang w:val="ru-RU"/>
        </w:rPr>
        <w:t>испарения</w:t>
      </w:r>
      <w:r w:rsidRPr="008C3200">
        <w:t>.</w:t>
      </w:r>
    </w:p>
    <w:p w14:paraId="396E5BF4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59CA62B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тепловое излучение</w:t>
      </w:r>
      <w:r w:rsidRPr="008C3200">
        <w:rPr>
          <w:lang w:val="ru-RU"/>
        </w:rPr>
        <w:t xml:space="preserve"> пожаре пролива, пожара-вспышки;</w:t>
      </w:r>
    </w:p>
    <w:p w14:paraId="44395CAC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7A4FEAF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</w:t>
      </w:r>
      <w:proofErr w:type="spellStart"/>
      <w:r w:rsidRPr="008C3200">
        <w:t>смещенным</w:t>
      </w:r>
      <w:proofErr w:type="spellEnd"/>
      <w:r w:rsidRPr="008C3200">
        <w:t xml:space="preserve">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3FCB755D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7B6238F0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022F4C52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6B8FA67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F1809F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</w:t>
      </w:r>
      <w:proofErr w:type="spellStart"/>
      <w:r w:rsidRPr="008C3200">
        <w:t>объема</w:t>
      </w:r>
      <w:proofErr w:type="spellEnd"/>
      <w:r w:rsidRPr="008C3200">
        <w:t xml:space="preserve"> и покрывало наибольшую площадь);</w:t>
      </w:r>
    </w:p>
    <w:p w14:paraId="4BDFFB19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6AB0D5C8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D064DF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5E91329" w14:textId="77777777" w:rsidR="008B3926" w:rsidRPr="008C3200" w:rsidRDefault="008B3926" w:rsidP="008B3926">
      <w:pPr>
        <w:ind w:firstLine="556"/>
        <w:jc w:val="both"/>
      </w:pPr>
    </w:p>
    <w:p w14:paraId="2990C1FF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316F0CA9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0C456BA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E3F278D" w14:textId="77777777" w:rsidR="008B3926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9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37DD362C" w14:textId="77777777" w:rsidR="008B3926" w:rsidRPr="003D04C8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</w:t>
      </w:r>
      <w:proofErr w:type="spellStart"/>
      <w:r w:rsidRPr="007973B0">
        <w:t>расчеты</w:t>
      </w:r>
      <w:proofErr w:type="spellEnd"/>
      <w:r w:rsidRPr="007973B0">
        <w:t xml:space="preserve">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</w:t>
      </w:r>
      <w:r w:rsidRPr="007973B0">
        <w:lastRenderedPageBreak/>
        <w:t>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9"/>
    <w:p w14:paraId="3C7409AE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4AA42DEE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1782D583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145B219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>
        <w:t>по</w:t>
      </w:r>
      <w:proofErr w:type="gramEnd"/>
      <w:r>
        <w:t xml:space="preserve"> производственной площадке</w:t>
      </w:r>
      <w:r w:rsidRPr="008C3200">
        <w:t>;</w:t>
      </w:r>
    </w:p>
    <w:p w14:paraId="39CE22B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4162104" w14:textId="77777777" w:rsidR="008B3926" w:rsidRDefault="008B3926" w:rsidP="008B3926">
      <w:pPr>
        <w:tabs>
          <w:tab w:val="left" w:pos="142"/>
        </w:tabs>
        <w:spacing w:line="360" w:lineRule="auto"/>
        <w:ind w:firstLine="709"/>
        <w:jc w:val="both"/>
      </w:pPr>
      <w:r>
        <w:t>- масса испарившегося вещества, а так же доля вещества способная к воспламенению вещества участвующая во пожаре вспышке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FFD772F" w14:textId="77777777" w:rsidR="008B3926" w:rsidRDefault="008B3926" w:rsidP="008B3926">
      <w:pPr>
        <w:spacing w:line="360" w:lineRule="auto"/>
        <w:ind w:firstLine="709"/>
        <w:jc w:val="both"/>
      </w:pPr>
      <w:r>
        <w:t xml:space="preserve">- с увеличением скорости ветра более 1 м/с масса топливно-воздушной смеси значительно падает, таким образом, в дальнейшем проведены </w:t>
      </w:r>
      <w:proofErr w:type="spellStart"/>
      <w:r>
        <w:t>расчеты</w:t>
      </w:r>
      <w:proofErr w:type="spellEnd"/>
      <w:r>
        <w:t xml:space="preserve"> для различных температур, согласно статистических данных при скорости ветра в 1 м/с;</w:t>
      </w:r>
    </w:p>
    <w:p w14:paraId="49D23305" w14:textId="77777777" w:rsidR="008B3926" w:rsidRDefault="008B3926" w:rsidP="008B3926">
      <w:pPr>
        <w:spacing w:line="360" w:lineRule="auto"/>
        <w:ind w:firstLine="709"/>
        <w:jc w:val="both"/>
      </w:pPr>
      <w:r>
        <w:t>- п</w:t>
      </w:r>
      <w:r w:rsidRPr="001717B9">
        <w:t xml:space="preserve">аровоздушная смесь в не </w:t>
      </w:r>
      <w:proofErr w:type="spellStart"/>
      <w:r w:rsidRPr="001717B9">
        <w:t>загроможденном</w:t>
      </w:r>
      <w:proofErr w:type="spellEnd"/>
      <w:r w:rsidRPr="001717B9">
        <w:t xml:space="preserve">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</w:t>
      </w:r>
      <w:r w:rsidRPr="001717B9">
        <w:lastRenderedPageBreak/>
        <w:t>продуктов сгорания (поражаются в основном объекты, попадающие в это облако) (п.Б.2 ГОСТ Р 12.3.047-2012).</w:t>
      </w:r>
    </w:p>
    <w:p w14:paraId="1FFC24B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718D7B9" w14:textId="77777777" w:rsidR="008B3926" w:rsidRPr="008C3200" w:rsidRDefault="008B3926" w:rsidP="008B3926">
      <w:pPr>
        <w:ind w:firstLine="556"/>
        <w:jc w:val="both"/>
      </w:pPr>
    </w:p>
    <w:p w14:paraId="7F188EDF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6C2E09D4" w14:textId="77777777" w:rsidR="008B3926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3D3BFDEE" w14:textId="77777777" w:rsidR="008B3926" w:rsidRDefault="008B3926" w:rsidP="008B3926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1896D4D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bookmarkEnd w:id="108"/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0" w:name="_Toc287019720"/>
      <w:bookmarkStart w:id="111" w:name="_Ref290381817"/>
      <w:bookmarkStart w:id="112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3" w:name="_Toc163736169"/>
      <w:bookmarkEnd w:id="110"/>
      <w:bookmarkEnd w:id="111"/>
      <w:bookmarkEnd w:id="112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3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r>
        <w:t xml:space="preserve">Доля </w:t>
      </w:r>
      <w:proofErr w:type="gramStart"/>
      <w:r>
        <w:t>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24DCE368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08408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4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4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5" w:name="_Hlk193380863"/>
            <w:bookmarkStart w:id="116" w:name="_Hlk115573878"/>
            <w:bookmarkStart w:id="117" w:name="_Toc287019721"/>
            <w:bookmarkStart w:id="118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084088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5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6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9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0" w:name="_Toc61961269"/>
      <w:bookmarkStart w:id="121" w:name="_Toc163736170"/>
      <w:bookmarkEnd w:id="117"/>
      <w:bookmarkEnd w:id="118"/>
      <w:bookmarkEnd w:id="119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20"/>
      <w:bookmarkEnd w:id="121"/>
    </w:p>
    <w:p w14:paraId="4C84835A" w14:textId="77777777" w:rsidR="00E06337" w:rsidRPr="00F1402A" w:rsidRDefault="00E06337" w:rsidP="00E06337">
      <w:pPr>
        <w:spacing w:line="360" w:lineRule="auto"/>
        <w:ind w:firstLine="556"/>
        <w:jc w:val="both"/>
        <w:rPr>
          <w:bCs/>
        </w:rPr>
      </w:pPr>
      <w:r w:rsidRPr="00F1402A">
        <w:rPr>
          <w:bCs/>
        </w:rPr>
        <w:t xml:space="preserve">В случае образования паровоздушной смеси в </w:t>
      </w:r>
      <w:proofErr w:type="spellStart"/>
      <w:r w:rsidRPr="00F1402A">
        <w:rPr>
          <w:bCs/>
        </w:rPr>
        <w:t>незагроможденном</w:t>
      </w:r>
      <w:proofErr w:type="spellEnd"/>
      <w:r w:rsidRPr="00F1402A">
        <w:rPr>
          <w:bCs/>
        </w:rPr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</w:t>
      </w: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2" w:name="_Toc352336509"/>
      <w:bookmarkStart w:id="123" w:name="_Toc358898963"/>
      <w:bookmarkStart w:id="124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2"/>
      <w:bookmarkEnd w:id="123"/>
      <w:bookmarkEnd w:id="124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1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6271696" w14:textId="77777777" w:rsidR="00C1569F" w:rsidRDefault="00C1569F" w:rsidP="002E2848">
      <w:pPr>
        <w:spacing w:line="360" w:lineRule="auto"/>
        <w:ind w:firstLine="556"/>
        <w:jc w:val="both"/>
        <w:rPr>
          <w:bCs/>
          <w:i/>
          <w:iCs/>
          <w:lang w:val="en-US"/>
        </w:rPr>
      </w:pPr>
    </w:p>
    <w:p w14:paraId="329DDFB4" w14:textId="65576E15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lastRenderedPageBreak/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049A551C" w:rsidR="002B525F" w:rsidRP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1"/>
          <w:footerReference w:type="default" r:id="rId7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5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084088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5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6" w:name="_Hlk193380909"/>
      <w:r w:rsidRPr="008C3200">
        <w:rPr>
          <w:sz w:val="22"/>
          <w:szCs w:val="22"/>
        </w:rPr>
        <w:t>Прим:</w:t>
      </w:r>
    </w:p>
    <w:bookmarkEnd w:id="126"/>
    <w:p w14:paraId="7AC527AE" w14:textId="77777777" w:rsidR="00C1569F" w:rsidRPr="008C3200" w:rsidRDefault="00C1569F" w:rsidP="00C1569F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78903A24" w14:textId="77777777" w:rsidR="00C1569F" w:rsidRPr="008C3200" w:rsidRDefault="00C1569F" w:rsidP="00C1569F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501361B3" w14:textId="77777777" w:rsidR="00C1569F" w:rsidRPr="008C3200" w:rsidRDefault="00C1569F" w:rsidP="00C1569F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3"/>
          <w:footerReference w:type="default" r:id="rId74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7" w:name="_Toc61961272"/>
      <w:bookmarkStart w:id="128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7"/>
      <w:bookmarkEnd w:id="128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9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9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30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30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3219"/>
        <w:gridCol w:w="2217"/>
        <w:gridCol w:w="2619"/>
      </w:tblGrid>
      <w:tr w:rsidR="00D41FD3" w:rsidRPr="008C3200" w14:paraId="5AA411A3" w14:textId="77777777" w:rsidTr="00BB0F4D">
        <w:trPr>
          <w:trHeight w:val="1335"/>
          <w:tblHeader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1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084088" w14:paraId="695BF668" w14:textId="77777777" w:rsidTr="00BB0F4D">
        <w:trPr>
          <w:trHeight w:val="36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BB0F4D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BB0F4D">
        <w:trPr>
          <w:trHeight w:val="33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1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2" w:name="_Toc287019727"/>
      <w:bookmarkStart w:id="13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4" w:name="_Toc163736172"/>
      <w:bookmarkEnd w:id="132"/>
      <w:bookmarkEnd w:id="13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6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084088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Ref329266176"/>
      <w:bookmarkStart w:id="13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9" w:name="_Toc163736173"/>
      <w:bookmarkEnd w:id="137"/>
      <w:bookmarkEnd w:id="13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5DDA9041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4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2" w:name="_Ref291335664"/>
      <w:bookmarkStart w:id="143" w:name="_Hlk193381111"/>
      <w:bookmarkStart w:id="144" w:name="_Hlk163747777"/>
      <w:r w:rsidRPr="008C3200"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17</w:t>
      </w:r>
      <w:r>
        <w:rPr>
          <w:noProof/>
        </w:rPr>
        <w:fldChar w:fldCharType="end"/>
      </w:r>
      <w:bookmarkEnd w:id="14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84088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5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84088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084088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6" w:name="_Hlk193381131"/>
      <w:bookmarkEnd w:id="143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4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6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7" w:name="_Toc163736174"/>
      <w:bookmarkEnd w:id="144"/>
      <w:bookmarkEnd w:id="145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1"/>
      <w:bookmarkEnd w:id="147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8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9" w:name="_Hlk502763555"/>
      <w:bookmarkStart w:id="150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1" w:name="_Hlk192936950"/>
      <w:bookmarkStart w:id="152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084088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1"/>
      <w:bookmarkEnd w:id="153"/>
      <w:bookmarkEnd w:id="154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55" w:name="_Hlk192936968"/>
      <w:bookmarkEnd w:id="152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6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6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9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084088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50"/>
    <w:bookmarkEnd w:id="155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7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7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8" w:name="_Ref291338860"/>
      <w:bookmarkStart w:id="159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8"/>
      <w:r w:rsidRPr="007B6DF2">
        <w:t xml:space="preserve"> – </w:t>
      </w:r>
      <w:bookmarkEnd w:id="159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22</w:t>
      </w:r>
      <w:r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23</w:t>
      </w:r>
      <w:r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60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60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1"/>
      <w:bookmarkEnd w:id="16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</w:r>
      <w:bookmarkStart w:id="163" w:name="_Hlk197185513"/>
      <w:r w:rsidR="00F92674" w:rsidRPr="00AF5921">
        <w:rPr>
          <w:sz w:val="22"/>
          <w:szCs w:val="22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3"/>
    </w:p>
    <w:p w14:paraId="41B6A5CC" w14:textId="42576C9C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AF5921">
        <w:rPr>
          <w:sz w:val="22"/>
          <w:szCs w:val="22"/>
        </w:rPr>
        <w:t>профессиональной</w:t>
      </w:r>
      <w:r w:rsidRPr="00AF5921">
        <w:rPr>
          <w:sz w:val="22"/>
          <w:szCs w:val="22"/>
        </w:rPr>
        <w:t xml:space="preserve"> и противоаварийной подготовки работников, осуществляющих</w:t>
      </w:r>
      <w:r w:rsidRPr="00107353">
        <w:rPr>
          <w:sz w:val="22"/>
          <w:szCs w:val="22"/>
        </w:rPr>
        <w:t xml:space="preserve">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4" w:name="_Toc200163809"/>
      <w:bookmarkStart w:id="165" w:name="_Toc213675831"/>
      <w:bookmarkStart w:id="166" w:name="_Toc287019733"/>
      <w:bookmarkStart w:id="167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4"/>
      <w:bookmarkEnd w:id="165"/>
      <w:bookmarkEnd w:id="166"/>
      <w:bookmarkEnd w:id="167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4"/>
      <w:bookmarkStart w:id="169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8"/>
      <w:bookmarkEnd w:id="169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86275709"/>
          </w:p>
        </w:tc>
        <w:bookmarkEnd w:id="171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29262199"/>
          </w:p>
        </w:tc>
        <w:bookmarkEnd w:id="172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53035056"/>
          </w:p>
        </w:tc>
        <w:bookmarkEnd w:id="173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4" w:name="_Ref329262216"/>
          </w:p>
        </w:tc>
        <w:bookmarkEnd w:id="174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5" w:name="_Ref299707873"/>
            <w:bookmarkStart w:id="176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5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6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7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7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8" w:name="_Ref293388688"/>
            <w:bookmarkStart w:id="179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8"/>
            <w:bookmarkEnd w:id="179"/>
          </w:p>
        </w:tc>
      </w:tr>
      <w:bookmarkEnd w:id="170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0" w:name="_Toc287019735"/>
      <w:bookmarkStart w:id="181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80"/>
      <w:bookmarkEnd w:id="181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2" w:name="_Ref329177000"/>
          </w:p>
        </w:tc>
        <w:bookmarkEnd w:id="182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3" w:name="_Toc287019736"/>
      <w:bookmarkStart w:id="184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3"/>
      <w:bookmarkEnd w:id="184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AF5921" w:rsidRPr="00AF5921" w14:paraId="684A9D26" w14:textId="77777777" w:rsidTr="00397291">
        <w:tc>
          <w:tcPr>
            <w:tcW w:w="443" w:type="pct"/>
          </w:tcPr>
          <w:p w14:paraId="4F775D34" w14:textId="77777777" w:rsidR="0072539D" w:rsidRPr="00AF5921" w:rsidRDefault="0072539D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313F6676" w14:textId="09C813A7" w:rsidR="0072539D" w:rsidRPr="00AF5921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AF5921" w14:paraId="14E0676C" w14:textId="77777777" w:rsidTr="00397291">
        <w:tc>
          <w:tcPr>
            <w:tcW w:w="443" w:type="pct"/>
          </w:tcPr>
          <w:p w14:paraId="5BE8E070" w14:textId="77777777" w:rsidR="005B63DC" w:rsidRPr="00AF5921" w:rsidRDefault="005B63DC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0FF714AA" w14:textId="25DFF940" w:rsidR="005B63DC" w:rsidRPr="00AF5921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AF5921" w:rsidRDefault="003755AD" w:rsidP="00160591">
      <w:pPr>
        <w:ind w:firstLine="556"/>
        <w:jc w:val="both"/>
        <w:rPr>
          <w:color w:val="00B0F0"/>
        </w:rPr>
      </w:pPr>
    </w:p>
    <w:sectPr w:rsidR="003755AD" w:rsidRPr="00AF5921" w:rsidSect="001369C1">
      <w:headerReference w:type="default" r:id="rId139"/>
      <w:footerReference w:type="default" r:id="rId14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3CFF" w14:textId="77777777" w:rsidR="00820189" w:rsidRDefault="00820189" w:rsidP="000C15E1">
      <w:r>
        <w:separator/>
      </w:r>
    </w:p>
  </w:endnote>
  <w:endnote w:type="continuationSeparator" w:id="0">
    <w:p w14:paraId="07A56A69" w14:textId="77777777" w:rsidR="00820189" w:rsidRDefault="00820189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54C4" w14:textId="77777777" w:rsidR="00820189" w:rsidRDefault="00820189" w:rsidP="000C15E1">
      <w:r>
        <w:separator/>
      </w:r>
    </w:p>
  </w:footnote>
  <w:footnote w:type="continuationSeparator" w:id="0">
    <w:p w14:paraId="1D9727EB" w14:textId="77777777" w:rsidR="00820189" w:rsidRDefault="00820189" w:rsidP="000C15E1">
      <w:r>
        <w:continuationSeparator/>
      </w:r>
    </w:p>
  </w:footnote>
  <w:footnote w:id="1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 xml:space="preserve">Руководство по безопасности "Методические рекомендации по проведению количественного анализа риска аварий на </w:t>
      </w:r>
      <w:proofErr w:type="spellStart"/>
      <w:r w:rsidRPr="00CF6B1C">
        <w:t>конденсатопроводах</w:t>
      </w:r>
      <w:proofErr w:type="spellEnd"/>
      <w:r w:rsidRPr="00CF6B1C">
        <w:t xml:space="preserve">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55228"/>
    <w:multiLevelType w:val="hybridMultilevel"/>
    <w:tmpl w:val="82E06E48"/>
    <w:lvl w:ilvl="0" w:tplc="900A69AC">
      <w:start w:val="1"/>
      <w:numFmt w:val="decimal"/>
      <w:suff w:val="space"/>
      <w:lvlText w:val="%1)"/>
      <w:lvlJc w:val="left"/>
      <w:pPr>
        <w:ind w:left="1800" w:hanging="360"/>
      </w:pPr>
      <w:rPr>
        <w:rFonts w:hint="default"/>
      </w:r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2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5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5243986">
    <w:abstractNumId w:val="23"/>
  </w:num>
  <w:num w:numId="2" w16cid:durableId="150802790">
    <w:abstractNumId w:val="26"/>
  </w:num>
  <w:num w:numId="3" w16cid:durableId="1011761701">
    <w:abstractNumId w:val="40"/>
  </w:num>
  <w:num w:numId="4" w16cid:durableId="684940946">
    <w:abstractNumId w:val="16"/>
  </w:num>
  <w:num w:numId="5" w16cid:durableId="1300065447">
    <w:abstractNumId w:val="6"/>
  </w:num>
  <w:num w:numId="6" w16cid:durableId="1493833179">
    <w:abstractNumId w:val="20"/>
  </w:num>
  <w:num w:numId="7" w16cid:durableId="2032099959">
    <w:abstractNumId w:val="21"/>
  </w:num>
  <w:num w:numId="8" w16cid:durableId="958030858">
    <w:abstractNumId w:val="29"/>
  </w:num>
  <w:num w:numId="9" w16cid:durableId="1105423893">
    <w:abstractNumId w:val="10"/>
  </w:num>
  <w:num w:numId="10" w16cid:durableId="1446464181">
    <w:abstractNumId w:val="14"/>
  </w:num>
  <w:num w:numId="11" w16cid:durableId="1125269623">
    <w:abstractNumId w:val="3"/>
  </w:num>
  <w:num w:numId="12" w16cid:durableId="442849141">
    <w:abstractNumId w:val="24"/>
  </w:num>
  <w:num w:numId="13" w16cid:durableId="898630984">
    <w:abstractNumId w:val="7"/>
  </w:num>
  <w:num w:numId="14" w16cid:durableId="272976658">
    <w:abstractNumId w:val="4"/>
  </w:num>
  <w:num w:numId="15" w16cid:durableId="370956662">
    <w:abstractNumId w:val="32"/>
  </w:num>
  <w:num w:numId="16" w16cid:durableId="858854891">
    <w:abstractNumId w:val="31"/>
  </w:num>
  <w:num w:numId="17" w16cid:durableId="1689523262">
    <w:abstractNumId w:val="34"/>
  </w:num>
  <w:num w:numId="18" w16cid:durableId="922832408">
    <w:abstractNumId w:val="0"/>
  </w:num>
  <w:num w:numId="19" w16cid:durableId="810945921">
    <w:abstractNumId w:val="39"/>
  </w:num>
  <w:num w:numId="20" w16cid:durableId="1428308186">
    <w:abstractNumId w:val="18"/>
  </w:num>
  <w:num w:numId="21" w16cid:durableId="573711001">
    <w:abstractNumId w:val="19"/>
  </w:num>
  <w:num w:numId="22" w16cid:durableId="1074087497">
    <w:abstractNumId w:val="25"/>
  </w:num>
  <w:num w:numId="23" w16cid:durableId="1237596197">
    <w:abstractNumId w:val="17"/>
  </w:num>
  <w:num w:numId="24" w16cid:durableId="1510175123">
    <w:abstractNumId w:val="2"/>
  </w:num>
  <w:num w:numId="25" w16cid:durableId="2030371850">
    <w:abstractNumId w:val="11"/>
  </w:num>
  <w:num w:numId="26" w16cid:durableId="305670194">
    <w:abstractNumId w:val="15"/>
  </w:num>
  <w:num w:numId="27" w16cid:durableId="218440466">
    <w:abstractNumId w:val="8"/>
  </w:num>
  <w:num w:numId="28" w16cid:durableId="1661620405">
    <w:abstractNumId w:val="30"/>
  </w:num>
  <w:num w:numId="29" w16cid:durableId="1163859673">
    <w:abstractNumId w:val="22"/>
  </w:num>
  <w:num w:numId="30" w16cid:durableId="947812719">
    <w:abstractNumId w:val="27"/>
  </w:num>
  <w:num w:numId="31" w16cid:durableId="1914730825">
    <w:abstractNumId w:val="9"/>
  </w:num>
  <w:num w:numId="32" w16cid:durableId="902836657">
    <w:abstractNumId w:val="38"/>
  </w:num>
  <w:num w:numId="33" w16cid:durableId="498086010">
    <w:abstractNumId w:val="37"/>
  </w:num>
  <w:num w:numId="34" w16cid:durableId="796948342">
    <w:abstractNumId w:val="33"/>
  </w:num>
  <w:num w:numId="35" w16cid:durableId="487064660">
    <w:abstractNumId w:val="13"/>
  </w:num>
  <w:num w:numId="36" w16cid:durableId="262763821">
    <w:abstractNumId w:val="28"/>
  </w:num>
  <w:num w:numId="37" w16cid:durableId="478884295">
    <w:abstractNumId w:val="5"/>
  </w:num>
  <w:num w:numId="38" w16cid:durableId="1661083018">
    <w:abstractNumId w:val="12"/>
  </w:num>
  <w:num w:numId="39" w16cid:durableId="1108623797">
    <w:abstractNumId w:val="35"/>
  </w:num>
  <w:num w:numId="40" w16cid:durableId="411968811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088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1CB4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6E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460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189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3926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17610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92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0F4D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569F"/>
    <w:rsid w:val="00C16333"/>
    <w:rsid w:val="00C1703B"/>
    <w:rsid w:val="00C1723C"/>
    <w:rsid w:val="00C177B2"/>
    <w:rsid w:val="00C17B37"/>
    <w:rsid w:val="00C17EAC"/>
    <w:rsid w:val="00C2032C"/>
    <w:rsid w:val="00C21256"/>
    <w:rsid w:val="00C21AB3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74E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6FDA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79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337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264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afffffffff3">
    <w:name w:val="Основной текст с отступом с переносом"/>
    <w:basedOn w:val="a0"/>
    <w:link w:val="afffffffff4"/>
    <w:rsid w:val="00DB7793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rsid w:val="00DB7793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footer" Target="footer6.xml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gif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emf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header" Target="header6.xml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image" Target="media/image56.gif"/><Relationship Id="rId91" Type="http://schemas.openxmlformats.org/officeDocument/2006/relationships/image" Target="media/image72.gif"/><Relationship Id="rId96" Type="http://schemas.openxmlformats.org/officeDocument/2006/relationships/image" Target="media/image77.png"/><Relationship Id="rId140" Type="http://schemas.openxmlformats.org/officeDocument/2006/relationships/footer" Target="foot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7.gif"/><Relationship Id="rId97" Type="http://schemas.openxmlformats.org/officeDocument/2006/relationships/image" Target="media/image78.gif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png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footer" Target="footer5.xml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5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gif"/><Relationship Id="rId122" Type="http://schemas.openxmlformats.org/officeDocument/2006/relationships/image" Target="media/image10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emf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53</Pages>
  <Words>13326</Words>
  <Characters>75959</Characters>
  <Application>Microsoft Office Word</Application>
  <DocSecurity>0</DocSecurity>
  <Lines>632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89107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 Kuznetsov</cp:lastModifiedBy>
  <cp:revision>567</cp:revision>
  <cp:lastPrinted>2016-05-24T06:33:00Z</cp:lastPrinted>
  <dcterms:created xsi:type="dcterms:W3CDTF">2021-10-04T07:20:00Z</dcterms:created>
  <dcterms:modified xsi:type="dcterms:W3CDTF">2025-09-03T13:30:00Z</dcterms:modified>
</cp:coreProperties>
</file>