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49ED" w:rsidRDefault="00C049ED"/>
    <w:p w:rsidR="00C049ED" w:rsidRDefault="002043F2">
      <w:r>
        <w:rPr>
          <w:noProof/>
        </w:rPr>
        <w:drawing>
          <wp:inline distT="0" distB="0" distL="0" distR="0">
            <wp:extent cx="6654800" cy="7142480"/>
            <wp:effectExtent l="25400" t="0" r="0" b="0"/>
            <wp:docPr id="1" name="Picture 1" descr="root:Users:dave:Desktop:balloon.stuff:fig13.truss.superopt#30C7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3.truss.superopt#30C72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71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D" w:rsidRDefault="00C049ED"/>
    <w:p w:rsidR="00C049ED" w:rsidRDefault="002043F2">
      <w:r>
        <w:t>Fig. 13 The second buckling mode and load factor (</w:t>
      </w:r>
      <w:proofErr w:type="spellStart"/>
      <w:r>
        <w:t>eigenvalue</w:t>
      </w:r>
      <w:proofErr w:type="spellEnd"/>
      <w:proofErr w:type="gramStart"/>
      <w:r>
        <w:t>)  corresponding</w:t>
      </w:r>
      <w:proofErr w:type="gramEnd"/>
      <w:r>
        <w:t xml:space="preserve"> to the optimized balloon cross section (Table 14). The second buckling mode is a combination of local and general buckling. </w:t>
      </w:r>
    </w:p>
    <w:p w:rsidR="00C049ED" w:rsidRDefault="00C049ED"/>
    <w:sectPr w:rsidR="00C049ED" w:rsidSect="00300778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043F2"/>
    <w:rsid w:val="002043F2"/>
    <w:rsid w:val="00300778"/>
    <w:rsid w:val="00C049E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ED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208</CharactersWithSpaces>
  <SharedDoc>false</SharedDoc>
  <HLinks>
    <vt:vector size="6" baseType="variant">
      <vt:variant>
        <vt:i4>7471135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root:Users:dave:Desktop:balloon.stuff:fig13.truss.superopt#30C72D.png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2010-11-02T22:39:00Z</dcterms:created>
  <dcterms:modified xsi:type="dcterms:W3CDTF">2010-11-11T20:02:00Z</dcterms:modified>
</cp:coreProperties>
</file>