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D6787" w:rsidRDefault="002D6787"/>
    <w:p w:rsidR="002D6787" w:rsidRDefault="00994F31">
      <w:r>
        <w:rPr>
          <w:noProof/>
        </w:rPr>
        <w:drawing>
          <wp:inline distT="0" distB="0" distL="0" distR="0">
            <wp:extent cx="6664960" cy="7030720"/>
            <wp:effectExtent l="25400" t="0" r="0" b="0"/>
            <wp:docPr id="1" name="Picture 1" descr="root:Users:dave:Desktop:balloon.stuff:fig21.radial.superop#3165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21.radial.superop#3165B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703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87" w:rsidRDefault="002D6787"/>
    <w:p w:rsidR="002D6787" w:rsidRDefault="00994F31">
      <w:r>
        <w:t xml:space="preserve">Fig. 21 This figure is analogous to Fig. </w:t>
      </w:r>
      <w:proofErr w:type="gramStart"/>
      <w:r>
        <w:t xml:space="preserve">6b.  Optimization of the balloon with </w:t>
      </w:r>
      <w:r w:rsidRPr="00994F31">
        <w:rPr>
          <w:b/>
        </w:rPr>
        <w:t>radial webs</w:t>
      </w:r>
      <w:r>
        <w:t xml:space="preserve"> (Fig.1).</w:t>
      </w:r>
      <w:proofErr w:type="gramEnd"/>
      <w:r>
        <w:t xml:space="preserve">  There are 15 modules over 90 degrees of circumference. In this first execution of SUPEROPT the radii, RINNER and ROUTER, are not decision variables.</w:t>
      </w:r>
    </w:p>
    <w:p w:rsidR="002D6787" w:rsidRDefault="002D6787"/>
    <w:sectPr w:rsidR="002D6787" w:rsidSect="004E41CB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994F31"/>
    <w:rsid w:val="002D6787"/>
    <w:rsid w:val="004E41CB"/>
    <w:rsid w:val="00994F3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87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Word 12.0.0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257</CharactersWithSpaces>
  <SharedDoc>false</SharedDoc>
  <HLinks>
    <vt:vector size="6" baseType="variant">
      <vt:variant>
        <vt:i4>7667800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root:Users:dave:Desktop:balloon.stuff:fig21.radial.superop#3165B7.png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3</cp:revision>
  <dcterms:created xsi:type="dcterms:W3CDTF">2010-11-03T02:54:00Z</dcterms:created>
  <dcterms:modified xsi:type="dcterms:W3CDTF">2010-11-11T19:56:00Z</dcterms:modified>
</cp:coreProperties>
</file>