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E1400" w:rsidRDefault="00AE1400"/>
    <w:p w:rsidR="00AE1400" w:rsidRDefault="007E1549">
      <w:r>
        <w:rPr>
          <w:noProof/>
        </w:rPr>
        <w:drawing>
          <wp:inline distT="0" distB="0" distL="0" distR="0">
            <wp:extent cx="6512560" cy="7030720"/>
            <wp:effectExtent l="25400" t="0" r="0" b="0"/>
            <wp:docPr id="1" name="Picture 1" descr="root:Users:dave:Desktop:balloon.stuff:fig24.radial.locb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24.radial.locbuck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2560" cy="703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400" w:rsidRDefault="00AE1400"/>
    <w:p w:rsidR="00AE1400" w:rsidRDefault="007E1549">
      <w:r>
        <w:t xml:space="preserve">Fig. 24 This figure is analogous to Fig. 12. Local buckling of the optimized balloon with </w:t>
      </w:r>
      <w:r>
        <w:rPr>
          <w:b/>
        </w:rPr>
        <w:t>radial webs</w:t>
      </w:r>
      <w:r>
        <w:t xml:space="preserve">. At the optimum design the local buckling load factor, 2.9386, which corresponds to </w:t>
      </w:r>
      <w:proofErr w:type="spellStart"/>
      <w:r>
        <w:t>eigenvalue</w:t>
      </w:r>
      <w:proofErr w:type="spellEnd"/>
      <w:r>
        <w:t xml:space="preserve"> no. 2, is fairly close to the general buckling load factor, 2.8821, shown on the previous slide.</w:t>
      </w:r>
    </w:p>
    <w:p w:rsidR="00AE1400" w:rsidRDefault="00AE1400"/>
    <w:sectPr w:rsidR="00AE1400" w:rsidSect="002438AD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7E1549"/>
    <w:rsid w:val="002438AD"/>
    <w:rsid w:val="007E1549"/>
    <w:rsid w:val="00AE140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400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Word 12.0.0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302</CharactersWithSpaces>
  <SharedDoc>false</SharedDoc>
  <HLinks>
    <vt:vector size="6" baseType="variant">
      <vt:variant>
        <vt:i4>2490488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root:Users:dave:Desktop:balloon.stuff:fig24.radial.locbuck.png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3</cp:revision>
  <dcterms:created xsi:type="dcterms:W3CDTF">2010-11-03T03:11:00Z</dcterms:created>
  <dcterms:modified xsi:type="dcterms:W3CDTF">2010-11-11T19:54:00Z</dcterms:modified>
</cp:coreProperties>
</file>