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tabs>
          <w:tab w:val="left" w:pos="576" w:leader="none"/>
        </w:tabs>
        <w:suppressAutoHyphens w:val="true"/>
        <w:spacing w:before="120" w:after="60"/>
        <w:ind w:start="576" w:hanging="576"/>
        <w:jc w:val="center"/>
        <w:rPr>
          <w:lang w:eastAsia="zh-CN"/>
        </w:rPr>
      </w:pPr>
      <w:r>
        <w:rPr>
          <w:lang w:val="bg-BG" w:eastAsia="zh-CN"/>
        </w:rPr>
        <w:t xml:space="preserve">Задача – </w:t>
      </w:r>
      <w:r>
        <w:rPr>
          <w:lang w:eastAsia="zh-CN"/>
        </w:rPr>
        <w:t>Resources</w:t>
      </w:r>
    </w:p>
    <w:p>
      <w:pPr>
        <w:pStyle w:val="Normal"/>
        <w:suppressAutoHyphens w:val="true"/>
        <w:rPr>
          <w:rFonts w:eastAsia="Times New Roman" w:cs="Tahoma"/>
          <w:color w:val="000000"/>
          <w:lang w:val="bg-BG" w:eastAsia="zh-CN"/>
        </w:rPr>
      </w:pPr>
      <w:r>
        <w:rPr>
          <w:rFonts w:eastAsia="Times New Roman" w:cs="Tahoma"/>
          <w:color w:val="000000"/>
          <w:lang w:val="bg-BG" w:eastAsia="zh-CN"/>
        </w:rPr>
        <w:t xml:space="preserve">Цар Гиро измислил нов вид Кола, която нарекъл Гола. </w:t>
      </w:r>
      <w:r>
        <w:rPr>
          <w:rFonts w:eastAsia="Times New Roman" w:cs="Tahoma"/>
          <w:color w:val="000000"/>
          <w:lang w:val="bg-BG" w:eastAsia="zh-CN"/>
        </w:rPr>
        <w:t>Т</w:t>
      </w:r>
      <w:r>
        <w:rPr>
          <w:rFonts w:eastAsia="Times New Roman" w:cs="Tahoma"/>
          <w:color w:val="000000"/>
          <w:lang w:val="bg-BG" w:eastAsia="zh-CN"/>
        </w:rPr>
        <w:t>я имала опияняващ ефект.</w:t>
      </w:r>
    </w:p>
    <w:p>
      <w:pPr>
        <w:pStyle w:val="Normal"/>
        <w:suppressAutoHyphens w:val="true"/>
        <w:rPr/>
      </w:pPr>
      <w:r>
        <w:rPr>
          <w:rFonts w:eastAsia="Times New Roman" w:cs="Tahoma"/>
          <w:color w:val="000000"/>
          <w:lang w:val="bg-BG" w:eastAsia="zh-CN"/>
        </w:rPr>
        <w:t>Гошо опитал Голата и се опиянил. По-лошото е, че започнал да си мисли, че е браузър (</w:t>
      </w:r>
      <w:r>
        <w:rPr>
          <w:rFonts w:eastAsia="Times New Roman" w:cs="Tahoma"/>
          <w:color w:val="000000"/>
          <w:lang w:eastAsia="zh-CN"/>
        </w:rPr>
        <w:t xml:space="preserve">you know, Google Chrome, Firefox ,etc.) </w:t>
      </w:r>
      <w:r>
        <w:rPr>
          <w:rFonts w:eastAsia="Times New Roman" w:cs="Tahoma"/>
          <w:color w:val="000000"/>
          <w:lang w:val="bg-BG" w:eastAsia="zh-CN"/>
        </w:rPr>
        <w:t>и решил, че трябва да зарежда ресурси.</w:t>
      </w:r>
    </w:p>
    <w:p>
      <w:pPr>
        <w:pStyle w:val="Normal"/>
        <w:suppressAutoHyphens w:val="true"/>
        <w:rPr>
          <w:rFonts w:eastAsia="Times New Roman" w:cs="Tahoma"/>
          <w:color w:val="000000"/>
          <w:lang w:val="bg-BG" w:eastAsia="zh-CN"/>
        </w:rPr>
      </w:pPr>
      <w:r>
        <w:rPr>
          <w:rFonts w:eastAsia="Times New Roman" w:cs="Tahoma"/>
          <w:color w:val="000000"/>
          <w:lang w:val="bg-BG" w:eastAsia="zh-CN"/>
        </w:rPr>
        <w:t>По написани връзки на зависимост, намерят как браузърът Гошо ще зареди ресурсите. Ресурсите трябва да се принтират подредени по азбучен ред.</w:t>
      </w:r>
    </w:p>
    <w:p>
      <w:pPr>
        <w:pStyle w:val="Heading3"/>
        <w:numPr>
          <w:ilvl w:val="2"/>
          <w:numId w:val="1"/>
        </w:numPr>
        <w:tabs>
          <w:tab w:val="left" w:pos="720" w:leader="none"/>
        </w:tabs>
        <w:suppressAutoHyphens w:val="true"/>
        <w:spacing w:before="60" w:after="60"/>
        <w:ind w:start="720" w:hanging="720"/>
        <w:rPr>
          <w:lang w:val="bg-BG" w:eastAsia="zh-CN"/>
        </w:rPr>
      </w:pPr>
      <w:r>
        <w:rPr>
          <w:lang w:val="bg-BG" w:eastAsia="zh-CN"/>
        </w:rPr>
        <w:t>Вход</w:t>
      </w:r>
    </w:p>
    <w:p>
      <w:pPr>
        <w:pStyle w:val="Normal"/>
        <w:suppressAutoHyphens w:val="true"/>
        <w:spacing w:before="60" w:after="120"/>
        <w:rPr>
          <w:rFonts w:cs="Calibri"/>
          <w:lang w:val="bg-BG" w:eastAsia="zh-CN"/>
        </w:rPr>
      </w:pPr>
      <w:r>
        <w:rPr>
          <w:rFonts w:cs="Calibri"/>
          <w:lang w:val="bg-BG" w:eastAsia="zh-CN"/>
        </w:rPr>
        <w:t>Всички входни данни се прочитат от стандартния вход</w:t>
      </w:r>
    </w:p>
    <w:p>
      <w:pPr>
        <w:pStyle w:val="Normal"/>
        <w:suppressAutoHyphens w:val="true"/>
        <w:spacing w:before="60" w:after="120"/>
        <w:rPr/>
      </w:pPr>
      <w:r>
        <w:rPr>
          <w:rFonts w:cs="Calibri"/>
          <w:lang w:val="bg-BG" w:eastAsia="zh-CN"/>
        </w:rPr>
        <w:t xml:space="preserve">На първия ред ще намерите числото </w:t>
      </w:r>
      <w:r>
        <w:rPr>
          <w:rFonts w:cs="Calibri"/>
          <w:lang w:eastAsia="zh-CN"/>
        </w:rPr>
        <w:t xml:space="preserve">N – </w:t>
      </w:r>
      <w:r>
        <w:rPr>
          <w:rFonts w:cs="Calibri"/>
          <w:lang w:val="bg-BG" w:eastAsia="zh-CN"/>
        </w:rPr>
        <w:t>броят на всички команди.</w:t>
      </w:r>
    </w:p>
    <w:p>
      <w:pPr>
        <w:pStyle w:val="Normal"/>
        <w:suppressAutoHyphens w:val="true"/>
        <w:spacing w:before="60" w:after="120"/>
        <w:rPr/>
      </w:pPr>
      <w:r>
        <w:rPr>
          <w:rFonts w:cs="Calibri"/>
          <w:lang w:val="bg-BG" w:eastAsia="zh-CN"/>
        </w:rPr>
        <w:t xml:space="preserve">На следващите </w:t>
      </w:r>
      <w:r>
        <w:rPr>
          <w:rFonts w:cs="Calibri"/>
          <w:lang w:eastAsia="zh-CN"/>
        </w:rPr>
        <w:t xml:space="preserve">N </w:t>
      </w:r>
      <w:r>
        <w:rPr>
          <w:rFonts w:cs="Calibri"/>
          <w:lang w:val="bg-BG" w:eastAsia="zh-CN"/>
        </w:rPr>
        <w:t>реда ще има команди. Командите са 2 вида:</w:t>
      </w:r>
    </w:p>
    <w:p>
      <w:pPr>
        <w:pStyle w:val="Normal"/>
        <w:numPr>
          <w:ilvl w:val="0"/>
          <w:numId w:val="3"/>
        </w:numPr>
        <w:suppressAutoHyphens w:val="true"/>
        <w:spacing w:before="60" w:after="120"/>
        <w:rPr>
          <w:rFonts w:cs="Calibri"/>
          <w:lang w:val="bg-BG" w:eastAsia="zh-CN"/>
        </w:rPr>
      </w:pPr>
      <w:r>
        <w:rPr>
          <w:rFonts w:cs="Calibri"/>
          <w:lang w:eastAsia="zh-CN"/>
        </w:rPr>
        <w:t>“</w:t>
      </w:r>
      <w:r>
        <w:rPr>
          <w:rFonts w:cs="Calibri"/>
          <w:lang w:eastAsia="zh-CN"/>
        </w:rPr>
        <w:t xml:space="preserve">add F depends S” – </w:t>
      </w:r>
      <w:r>
        <w:rPr>
          <w:rFonts w:cs="Calibri"/>
          <w:lang w:val="bg-BG" w:eastAsia="zh-CN"/>
        </w:rPr>
        <w:t xml:space="preserve">означава, че за да се зареди ресурс </w:t>
      </w:r>
      <w:r>
        <w:rPr>
          <w:rFonts w:cs="Calibri"/>
          <w:lang w:eastAsia="zh-CN"/>
        </w:rPr>
        <w:t xml:space="preserve">F, </w:t>
      </w:r>
      <w:r>
        <w:rPr>
          <w:rFonts w:cs="Calibri"/>
          <w:lang w:val="bg-BG" w:eastAsia="zh-CN"/>
        </w:rPr>
        <w:t xml:space="preserve">трябва първо да се зареди ресурс </w:t>
      </w:r>
      <w:r>
        <w:rPr>
          <w:rFonts w:cs="Calibri"/>
          <w:lang w:eastAsia="zh-CN"/>
        </w:rPr>
        <w:t>S</w:t>
      </w:r>
    </w:p>
    <w:p>
      <w:pPr>
        <w:pStyle w:val="Normal"/>
        <w:numPr>
          <w:ilvl w:val="0"/>
          <w:numId w:val="3"/>
        </w:numPr>
        <w:suppressAutoHyphens w:val="true"/>
        <w:spacing w:before="60" w:after="120"/>
        <w:rPr>
          <w:rFonts w:cs="Calibri"/>
          <w:lang w:val="bg-BG" w:eastAsia="zh-CN"/>
        </w:rPr>
      </w:pPr>
      <w:r>
        <w:rPr>
          <w:rFonts w:cs="Calibri"/>
          <w:lang w:eastAsia="zh-CN"/>
        </w:rPr>
        <w:t>“</w:t>
      </w:r>
      <w:r>
        <w:rPr>
          <w:rFonts w:cs="Calibri"/>
          <w:lang w:eastAsia="zh-CN"/>
        </w:rPr>
        <w:t xml:space="preserve">load R” – </w:t>
      </w:r>
      <w:r>
        <w:rPr>
          <w:rFonts w:cs="Calibri"/>
          <w:lang w:val="bg-BG" w:eastAsia="zh-CN"/>
        </w:rPr>
        <w:t>означава, че трябва да се принтират всички ресурси, от които</w:t>
      </w:r>
      <w:r>
        <w:rPr>
          <w:rFonts w:cs="Calibri"/>
          <w:lang w:eastAsia="zh-CN"/>
        </w:rPr>
        <w:t xml:space="preserve"> зависи R, к</w:t>
      </w:r>
      <w:r>
        <w:rPr>
          <w:rFonts w:cs="Calibri"/>
          <w:lang w:val="bg-BG" w:eastAsia="zh-CN"/>
        </w:rPr>
        <w:t>акто и ресурсите, от които те зависят и т.н.</w:t>
      </w:r>
    </w:p>
    <w:p>
      <w:pPr>
        <w:pStyle w:val="Heading3"/>
        <w:numPr>
          <w:ilvl w:val="2"/>
          <w:numId w:val="1"/>
        </w:numPr>
        <w:tabs>
          <w:tab w:val="left" w:pos="720" w:leader="none"/>
        </w:tabs>
        <w:suppressAutoHyphens w:val="true"/>
        <w:spacing w:before="60" w:after="60"/>
        <w:ind w:start="720" w:hanging="720"/>
        <w:rPr/>
      </w:pPr>
      <w:r>
        <w:rPr>
          <w:lang w:val="bg-BG" w:eastAsia="zh-CN"/>
        </w:rPr>
        <w:t>Изход</w:t>
      </w:r>
    </w:p>
    <w:p>
      <w:pPr>
        <w:pStyle w:val="Normal"/>
        <w:suppressAutoHyphens w:val="true"/>
        <w:spacing w:before="60" w:after="120"/>
        <w:rPr>
          <w:rFonts w:cs="Calibri"/>
          <w:lang w:eastAsia="zh-CN"/>
        </w:rPr>
      </w:pPr>
      <w:r>
        <w:rPr>
          <w:rFonts w:cs="Calibri"/>
          <w:lang w:val="bg-BG" w:eastAsia="zh-CN"/>
        </w:rPr>
        <w:t xml:space="preserve">За всяка </w:t>
      </w:r>
      <w:r>
        <w:rPr>
          <w:rFonts w:cs="Calibri"/>
          <w:lang w:eastAsia="zh-CN"/>
        </w:rPr>
        <w:t xml:space="preserve">load </w:t>
      </w:r>
      <w:r>
        <w:rPr>
          <w:rFonts w:cs="Calibri"/>
          <w:lang w:val="bg-BG" w:eastAsia="zh-CN"/>
        </w:rPr>
        <w:t>команда, принтирайте на стандартния изход всички ресурси, които трябва да се заредят, подредени по азбучен ред. Ако ресурсът, който трябва да се зареди, не е добавен, принтирайте “ERROR: No such resource”.</w:t>
      </w:r>
    </w:p>
    <w:p>
      <w:pPr>
        <w:pStyle w:val="Heading3"/>
        <w:numPr>
          <w:ilvl w:val="0"/>
          <w:numId w:val="2"/>
        </w:numPr>
        <w:suppressAutoHyphens w:val="true"/>
        <w:spacing w:before="60" w:after="60"/>
        <w:jc w:val="start"/>
        <w:rPr>
          <w:rFonts w:cs="Calibri"/>
          <w:lang w:val="bg-BG" w:eastAsia="zh-CN"/>
        </w:rPr>
      </w:pPr>
      <w:r>
        <w:rPr>
          <w:lang w:val="bg-BG"/>
        </w:rPr>
        <w:t>Ограничения</w:t>
      </w:r>
    </w:p>
    <w:p>
      <w:pPr>
        <w:pStyle w:val="NormalWeb"/>
        <w:numPr>
          <w:ilvl w:val="0"/>
          <w:numId w:val="4"/>
        </w:numPr>
        <w:spacing w:before="0" w:after="0"/>
        <w:rPr>
          <w:rFonts w:ascii="Calibri" w:hAnsi="Calibri" w:eastAsia="MS Mincho;ＭＳ 明朝" w:cs="Calibri"/>
          <w:bCs/>
          <w:lang w:val="bg-BG" w:eastAsia="zh-CN"/>
        </w:rPr>
      </w:pPr>
      <w:r>
        <w:rPr>
          <w:rFonts w:eastAsia="MS Mincho;ＭＳ 明朝" w:cs="Calibri" w:ascii="Calibri" w:hAnsi="Calibri"/>
          <w:bCs/>
          <w:lang w:val="bg-BG" w:eastAsia="zh-CN"/>
        </w:rPr>
        <w:t>N &lt;= 2000</w:t>
      </w:r>
    </w:p>
    <w:p>
      <w:pPr>
        <w:pStyle w:val="Normal"/>
        <w:numPr>
          <w:ilvl w:val="0"/>
          <w:numId w:val="4"/>
        </w:numPr>
        <w:suppressAutoHyphens w:val="true"/>
        <w:spacing w:before="0" w:after="0"/>
        <w:jc w:val="start"/>
        <w:rPr/>
      </w:pPr>
      <w:r>
        <w:rPr>
          <w:lang w:val="bg-BG" w:eastAsia="ja-JP"/>
        </w:rPr>
        <w:t xml:space="preserve">Позволено време за работа на програмата: </w:t>
      </w:r>
      <w:r>
        <w:rPr>
          <w:b/>
          <w:lang w:val="bg-BG" w:eastAsia="ja-JP"/>
        </w:rPr>
        <w:t>0.35 секунди</w:t>
      </w:r>
      <w:r>
        <w:rPr>
          <w:lang w:val="bg-BG" w:eastAsia="ja-JP"/>
        </w:rPr>
        <w:t xml:space="preserve">. Позволена памет: </w:t>
      </w:r>
      <w:r>
        <w:rPr>
          <w:b/>
          <w:lang w:val="bg-BG" w:eastAsia="ja-JP"/>
        </w:rPr>
        <w:t>16</w:t>
      </w:r>
      <w:r>
        <w:rPr>
          <w:b/>
          <w:lang w:val="bg-BG"/>
        </w:rPr>
        <w:t xml:space="preserve"> MB</w:t>
      </w:r>
      <w:r>
        <w:rPr>
          <w:lang w:val="bg-BG"/>
        </w:rPr>
        <w:t>.</w:t>
      </w:r>
    </w:p>
    <w:p>
      <w:pPr>
        <w:pStyle w:val="Heading3"/>
        <w:numPr>
          <w:ilvl w:val="2"/>
          <w:numId w:val="1"/>
        </w:numPr>
        <w:tabs>
          <w:tab w:val="left" w:pos="720" w:leader="none"/>
        </w:tabs>
        <w:suppressAutoHyphens w:val="true"/>
        <w:spacing w:before="60" w:after="60"/>
        <w:ind w:start="720" w:hanging="720"/>
        <w:rPr/>
      </w:pPr>
      <w:r>
        <w:rPr/>
        <w:t>Пример</w:t>
      </w:r>
    </w:p>
    <w:tbl>
      <w:tblPr>
        <w:tblW w:w="5285" w:type="dxa"/>
        <w:jc w:val="start"/>
        <w:tblInd w:w="-112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start w:w="97" w:type="dxa"/>
          <w:bottom w:w="105" w:type="dxa"/>
          <w:end w:w="105" w:type="dxa"/>
        </w:tblCellMar>
      </w:tblPr>
      <w:tblGrid>
        <w:gridCol w:w="3470"/>
        <w:gridCol w:w="1815"/>
      </w:tblGrid>
      <w:tr>
        <w:trPr/>
        <w:tc>
          <w:tcPr>
            <w:tcW w:w="34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97" w:type="dxa"/>
            </w:tcMar>
          </w:tcPr>
          <w:p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  <w:t>Вход</w:t>
            </w:r>
          </w:p>
        </w:tc>
        <w:tc>
          <w:tcPr>
            <w:tcW w:w="18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start w:w="7" w:type="dxa"/>
              <w:bottom w:w="15" w:type="dxa"/>
              <w:end w:w="15" w:type="dxa"/>
            </w:tcMar>
          </w:tcPr>
          <w:p>
            <w:pPr>
              <w:pStyle w:val="NormalWeb"/>
              <w:spacing w:before="0" w:after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cs="Arial" w:ascii="Arial" w:hAnsi="Arial"/>
                <w:color w:val="000000"/>
                <w:sz w:val="23"/>
                <w:szCs w:val="23"/>
              </w:rPr>
              <w:t>Изход</w:t>
            </w:r>
          </w:p>
        </w:tc>
      </w:tr>
      <w:tr>
        <w:trPr/>
        <w:tc>
          <w:tcPr>
            <w:tcW w:w="347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97" w:type="dxa"/>
            </w:tcMar>
          </w:tcPr>
          <w:p>
            <w:pPr>
              <w:pStyle w:val="NormalWeb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  <w:p>
            <w:pPr>
              <w:pStyle w:val="NormalWeb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add index.html depends main.css </w:t>
            </w:r>
          </w:p>
          <w:p>
            <w:pPr>
              <w:pStyle w:val="NormalWeb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add main.css depends sub1.css</w:t>
            </w:r>
          </w:p>
          <w:p>
            <w:pPr>
              <w:pStyle w:val="NormalWeb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add index.html depends main.js </w:t>
            </w:r>
          </w:p>
          <w:p>
            <w:pPr>
              <w:pStyle w:val="NormalWeb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add main.css depends sub2.css</w:t>
            </w:r>
          </w:p>
          <w:p>
            <w:pPr>
              <w:pStyle w:val="NormalWeb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add index.html depends logo.png</w:t>
            </w:r>
          </w:p>
          <w:p>
            <w:pPr>
              <w:pStyle w:val="NormalWeb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add main.js depends player.png</w:t>
            </w:r>
          </w:p>
          <w:p>
            <w:pPr>
              <w:pStyle w:val="NormalWeb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add main.js depends partial.html</w:t>
            </w:r>
          </w:p>
          <w:p>
            <w:pPr>
              <w:pStyle w:val="NormalWeb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add partial.html depends partial.js</w:t>
            </w:r>
          </w:p>
          <w:p>
            <w:pPr>
              <w:pStyle w:val="NormalWeb"/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load index.html</w:t>
            </w:r>
          </w:p>
        </w:tc>
        <w:tc>
          <w:tcPr>
            <w:tcW w:w="18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start w:w="7" w:type="dxa"/>
              <w:bottom w:w="15" w:type="dxa"/>
              <w:end w:w="15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autoSpaceDE w:val="false"/>
              <w:spacing w:before="0" w:after="0"/>
              <w:jc w:val="start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cs="Menlo Regular" w:ascii="Menlo Regular" w:hAnsi="Menlo Regular"/>
                <w:color w:val="000000"/>
                <w:sz w:val="22"/>
                <w:szCs w:val="22"/>
              </w:rPr>
              <w:t>index.html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autoSpaceDE w:val="false"/>
              <w:spacing w:before="0" w:after="0"/>
              <w:jc w:val="start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cs="Menlo Regular" w:ascii="Menlo Regular" w:hAnsi="Menlo Regular"/>
                <w:color w:val="000000"/>
                <w:sz w:val="22"/>
                <w:szCs w:val="22"/>
              </w:rPr>
              <w:t>logo.png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autoSpaceDE w:val="false"/>
              <w:spacing w:before="0" w:after="0"/>
              <w:jc w:val="start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cs="Menlo Regular" w:ascii="Menlo Regular" w:hAnsi="Menlo Regular"/>
                <w:color w:val="000000"/>
                <w:sz w:val="22"/>
                <w:szCs w:val="22"/>
              </w:rPr>
              <w:t>main.css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autoSpaceDE w:val="false"/>
              <w:spacing w:before="0" w:after="0"/>
              <w:jc w:val="start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cs="Menlo Regular" w:ascii="Menlo Regular" w:hAnsi="Menlo Regular"/>
                <w:color w:val="000000"/>
                <w:sz w:val="22"/>
                <w:szCs w:val="22"/>
              </w:rPr>
              <w:t>main.js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autoSpaceDE w:val="false"/>
              <w:spacing w:before="0" w:after="0"/>
              <w:jc w:val="start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cs="Menlo Regular" w:ascii="Menlo Regular" w:hAnsi="Menlo Regular"/>
                <w:color w:val="000000"/>
                <w:sz w:val="22"/>
                <w:szCs w:val="22"/>
              </w:rPr>
              <w:t>partial.html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autoSpaceDE w:val="false"/>
              <w:spacing w:before="0" w:after="0"/>
              <w:jc w:val="start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cs="Menlo Regular" w:ascii="Menlo Regular" w:hAnsi="Menlo Regular"/>
                <w:color w:val="000000"/>
                <w:sz w:val="22"/>
                <w:szCs w:val="22"/>
              </w:rPr>
              <w:t>partial.js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autoSpaceDE w:val="false"/>
              <w:spacing w:before="0" w:after="0"/>
              <w:jc w:val="start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cs="Menlo Regular" w:ascii="Menlo Regular" w:hAnsi="Menlo Regular"/>
                <w:color w:val="000000"/>
                <w:sz w:val="22"/>
                <w:szCs w:val="22"/>
              </w:rPr>
              <w:t>player.png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autoSpaceDE w:val="false"/>
              <w:spacing w:before="0" w:after="0"/>
              <w:jc w:val="start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cs="Menlo Regular" w:ascii="Menlo Regular" w:hAnsi="Menlo Regular"/>
                <w:color w:val="000000"/>
                <w:sz w:val="22"/>
                <w:szCs w:val="22"/>
              </w:rPr>
              <w:t>sub1.css</w:t>
            </w:r>
          </w:p>
          <w:p>
            <w:pPr>
              <w:pStyle w:val="NormalWeb"/>
              <w:spacing w:before="0" w:after="0"/>
              <w:rPr>
                <w:lang w:val="bg-BG"/>
              </w:rPr>
            </w:pPr>
            <w:r>
              <w:rPr>
                <w:rFonts w:cs="Menlo Regular" w:ascii="Menlo Regular" w:hAnsi="Menlo Regular"/>
                <w:color w:val="000000"/>
                <w:sz w:val="22"/>
                <w:szCs w:val="22"/>
              </w:rPr>
              <w:t>sub2.css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lang w:val="bg-BG"/>
        </w:rPr>
      </w:r>
    </w:p>
    <w:sectPr>
      <w:headerReference w:type="default" r:id="rId2"/>
      <w:footerReference w:type="default" r:id="rId3"/>
      <w:type w:val="nextPage"/>
      <w:pgSz w:w="11906" w:h="16838"/>
      <w:pgMar w:left="851" w:right="851" w:header="851" w:top="907" w:footer="567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auto"/>
    <w:pitch w:val="variable"/>
  </w:font>
  <w:font w:name="Symbol">
    <w:charset w:val="02"/>
    <w:family w:val="auto"/>
    <w:pitch w:val="variable"/>
  </w:font>
  <w:font w:name="Courier New">
    <w:charset w:val="00" w:characterSet="windows-1252"/>
    <w:family w:val="auto"/>
    <w:pitch w:val="variable"/>
  </w:font>
  <w:font w:name="Wingdings">
    <w:charset w:val="02"/>
    <w:family w:val="auto"/>
    <w:pitch w:val="variable"/>
  </w:font>
  <w:font w:name="Tahoma">
    <w:charset w:val="00" w:characterSet="windows-125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Menlo Regular">
    <w:charset w:val="00" w:characterSet="windows-1252"/>
    <w:family w:val="auto"/>
    <w:pitch w:val="variable"/>
  </w:font>
  <w:font w:name="Lucida Sans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sz w:val="6"/>
        <w:szCs w:val="6"/>
      </w:rPr>
    </w:pPr>
    <w:r>
      <w:rPr>
        <w:sz w:val="6"/>
        <w:szCs w:val="6"/>
      </w:rPr>
    </w:r>
  </w:p>
  <w:tbl>
    <w:tblPr>
      <w:tblW w:w="10206" w:type="dxa"/>
      <w:jc w:val="start"/>
      <w:tblInd w:w="5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3119"/>
      <w:gridCol w:w="3543"/>
      <w:gridCol w:w="3544"/>
    </w:tblGrid>
    <w:tr>
      <w:trPr>
        <w:trHeight w:val="60" w:hRule="atLeast"/>
      </w:trPr>
      <w:tc>
        <w:tcPr>
          <w:tcW w:w="10206" w:type="dxa"/>
          <w:gridSpan w:val="3"/>
          <w:tcBorders/>
          <w:shd w:fill="CCFF00" w:val="clear"/>
          <w:vAlign w:val="center"/>
        </w:tcPr>
        <w:p>
          <w:pPr>
            <w:pStyle w:val="Header"/>
            <w:snapToGrid w:val="false"/>
            <w:rPr>
              <w:rFonts w:ascii="Lucida Sans" w:hAnsi="Lucida Sans" w:cs="Lucida Sans"/>
              <w:sz w:val="8"/>
              <w:szCs w:val="8"/>
            </w:rPr>
          </w:pPr>
          <w:r>
            <w:rPr>
              <w:rFonts w:cs="Lucida Sans" w:ascii="Lucida Sans" w:hAnsi="Lucida Sans"/>
              <w:sz w:val="8"/>
              <w:szCs w:val="8"/>
            </w:rPr>
          </w:r>
        </w:p>
      </w:tc>
    </w:tr>
    <w:tr>
      <w:trPr>
        <w:trHeight w:val="56" w:hRule="atLeast"/>
      </w:trPr>
      <w:tc>
        <w:tcPr>
          <w:tcW w:w="3119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start"/>
            <w:rPr>
              <w:rFonts w:eastAsia="Malgun Gothic"/>
              <w:b/>
              <w:b/>
              <w:i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Algo Academy 2015</w:t>
          </w:r>
        </w:p>
      </w:tc>
      <w:tc>
        <w:tcPr>
          <w:tcW w:w="3543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Calibri"/>
            </w:rPr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instrText> NUMPAGES \* ARABIC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3544" w:type="dxa"/>
          <w:tcBorders/>
          <w:shd w:fill="auto" w:val="clear"/>
          <w:vAlign w:val="center"/>
        </w:tcPr>
        <w:p>
          <w:pPr>
            <w:pStyle w:val="Footer"/>
            <w:spacing w:before="60" w:after="0"/>
            <w:jc w:val="end"/>
            <w:rPr>
              <w:b/>
              <w:b/>
              <w:szCs w:val="22"/>
            </w:rPr>
          </w:pPr>
          <w:hyperlink r:id="rId1">
            <w:r>
              <w:rPr>
                <w:rStyle w:val="Internet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>
    <w:pPr>
      <w:pStyle w:val="Footer"/>
      <w:jc w:val="start"/>
      <w:rPr>
        <w:sz w:val="6"/>
        <w:szCs w:val="6"/>
      </w:rPr>
    </w:pPr>
    <w:r>
      <w:rPr>
        <w:sz w:val="6"/>
        <w:szCs w:val="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start"/>
      <w:tblInd w:w="5" w:type="dxa"/>
      <w:tblBorders/>
      <w:tblCellMar>
        <w:top w:w="0" w:type="dxa"/>
        <w:start w:w="0" w:type="dxa"/>
        <w:bottom w:w="0" w:type="dxa"/>
        <w:end w:w="0" w:type="dxa"/>
      </w:tblCellMar>
    </w:tblPr>
    <w:tblGrid>
      <w:gridCol w:w="2547"/>
      <w:gridCol w:w="7659"/>
    </w:tblGrid>
    <w:tr>
      <w:trPr>
        <w:trHeight w:val="675" w:hRule="atLeast"/>
      </w:trPr>
      <w:tc>
        <w:tcPr>
          <w:tcW w:w="2547" w:type="dxa"/>
          <w:tcBorders/>
          <w:shd w:fill="auto" w:val="clear"/>
        </w:tcPr>
        <w:p>
          <w:pPr>
            <w:pStyle w:val="Header"/>
            <w:jc w:val="start"/>
            <w:rPr>
              <w:lang w:val="en-US" w:eastAsia="en-US"/>
            </w:rPr>
          </w:pPr>
          <w:r>
            <w:rPr>
              <w:lang w:val="en-US" w:eastAsia="en-US"/>
            </w:rPr>
            <w:drawing>
              <wp:inline distT="0" distB="0" distL="0" distR="0">
                <wp:extent cx="1591945" cy="465455"/>
                <wp:effectExtent l="0" t="0" r="0" b="0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" t="-27" r="-8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945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  <w:tcBorders/>
          <w:shd w:fill="auto" w:val="clear"/>
        </w:tcPr>
        <w:p>
          <w:pPr>
            <w:pStyle w:val="Header"/>
            <w:spacing w:lineRule="exact" w:line="240" w:before="60" w:after="0"/>
            <w:rPr/>
          </w:pPr>
          <w:r>
            <w:rPr/>
            <w:t>bul</w:t>
          </w:r>
          <w:r>
            <w:rPr>
              <w:lang w:val="bg-BG"/>
            </w:rPr>
            <w:t>.“</w:t>
          </w:r>
          <w:r>
            <w:rPr/>
            <w:t>Alexander Malinov</w:t>
          </w:r>
          <w:r>
            <w:rPr>
              <w:lang w:val="bg-BG"/>
            </w:rPr>
            <w:t>“</w:t>
          </w:r>
          <w:r>
            <w:rPr/>
            <w:t xml:space="preserve"> </w:t>
          </w:r>
          <w:r>
            <w:rPr>
              <w:lang w:val="bg-BG"/>
            </w:rPr>
            <w:t>№33</w:t>
          </w:r>
          <w:r>
            <w:rPr/>
            <w:t xml:space="preserve">., </w:t>
          </w:r>
          <w:r>
            <w:rPr>
              <w:rFonts w:eastAsia="Malgun Gothic"/>
              <w:lang w:eastAsia="ko-KR"/>
            </w:rPr>
            <w:t>Sofia</w:t>
          </w:r>
          <w:r>
            <w:rPr/>
            <w:t>, 1729, Bulgaria</w:t>
          </w:r>
        </w:p>
        <w:p>
          <w:pPr>
            <w:pStyle w:val="Header"/>
            <w:spacing w:lineRule="exact" w:line="240"/>
            <w:rPr/>
          </w:pPr>
          <w:hyperlink r:id="rId2">
            <w:r>
              <w:rPr>
                <w:rStyle w:val="InternetLink"/>
              </w:rPr>
              <w:t>academy.telerik.com</w:t>
            </w:r>
          </w:hyperlink>
          <w:r>
            <w:rPr/>
            <w:t xml:space="preserve"> </w:t>
          </w:r>
        </w:p>
        <w:p>
          <w:pPr>
            <w:pStyle w:val="Header"/>
            <w:spacing w:lineRule="exact" w:line="240"/>
            <w:rPr/>
          </w:pPr>
          <w:r>
            <w:rPr/>
          </w:r>
        </w:p>
      </w:tc>
    </w:tr>
    <w:tr>
      <w:trPr>
        <w:trHeight w:val="60" w:hRule="atLeast"/>
      </w:trPr>
      <w:tc>
        <w:tcPr>
          <w:tcW w:w="10206" w:type="dxa"/>
          <w:gridSpan w:val="2"/>
          <w:tcBorders/>
          <w:shd w:fill="CCFF00" w:val="clear"/>
        </w:tcPr>
        <w:p>
          <w:pPr>
            <w:pStyle w:val="Header"/>
            <w:snapToGrid w:val="false"/>
            <w:rPr>
              <w:sz w:val="8"/>
              <w:szCs w:val="8"/>
            </w:rPr>
          </w:pPr>
          <w:r>
            <w:rPr>
              <w:sz w:val="8"/>
              <w:szCs w:val="8"/>
            </w:rPr>
          </w:r>
        </w:p>
      </w:tc>
    </w:tr>
  </w:tbl>
  <w:p>
    <w:pPr>
      <w:pStyle w:val="Header"/>
      <w:rPr>
        <w:sz w:val="6"/>
        <w:szCs w:val="6"/>
      </w:rPr>
    </w:pPr>
    <w:r>
      <w:rPr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ind w:start="1584" w:hanging="1584"/>
      </w:pPr>
      <w:rPr/>
    </w:lvl>
  </w:abstractNum>
  <w:abstractNum w:abstractNumId="3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  <w:lang w:val="bg-BG" w:eastAsia="zh-CN"/>
      </w:rPr>
    </w:lvl>
  </w:abstractNum>
  <w:abstractNum w:abstractNumId="4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  <w:lang w:val="bg-BG" w:eastAsia="zh-C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120" w:after="120"/>
      <w:jc w:val="both"/>
    </w:pPr>
    <w:rPr>
      <w:rFonts w:ascii="Calibri" w:hAnsi="Calibri" w:eastAsia="MS Mincho;ＭＳ 明朝" w:cs="Calibri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SimSun;宋体" w:cs="Times New Roman"/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lang w:val="bg-BG"/>
    </w:rPr>
  </w:style>
  <w:style w:type="character" w:styleId="WW8Num4z0">
    <w:name w:val="WW8Num4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WW8Num4z1">
    <w:name w:val="WW8Num4z1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5z0">
    <w:name w:val="WW8Num5z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lang w:val="bg-BG" w:eastAsia="zh-C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b/>
      <w:bCs/>
    </w:rPr>
  </w:style>
  <w:style w:type="character" w:styleId="WW8Num12z1">
    <w:name w:val="WW8Num12z1"/>
    <w:qFormat/>
    <w:rPr>
      <w:rFonts w:ascii="Wingdings" w:hAnsi="Wingdings" w:cs="Wingdings"/>
      <w:b/>
      <w:bCs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Symbol" w:hAnsi="Symbol" w:cs="Symbol"/>
    </w:rPr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eastAsia="MS Mincho;ＭＳ 明朝" w:cs="Symbol"/>
      <w:lang w:val="bg-BG" w:eastAsia="zh-C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de">
    <w:name w:val="Code"/>
    <w:qFormat/>
    <w:rPr>
      <w:rFonts w:ascii="Courier New" w:hAnsi="Courier New" w:cs="Courier New"/>
      <w:b/>
      <w:bCs/>
      <w:sz w:val="24"/>
      <w:lang w:val="en-US"/>
    </w:rPr>
  </w:style>
  <w:style w:type="character" w:styleId="Heading1Char">
    <w:name w:val="Heading 1 Char"/>
    <w:qFormat/>
    <w:rPr>
      <w:rFonts w:ascii="Calibri" w:hAnsi="Calibri" w:cs="Calibri"/>
      <w:b/>
      <w:bCs/>
      <w:kern w:val="2"/>
      <w:sz w:val="32"/>
      <w:szCs w:val="32"/>
      <w:lang w:val="en-US" w:bidi="ar-SA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DocumentMapChar">
    <w:name w:val="Document Map Char"/>
    <w:qFormat/>
    <w:rPr>
      <w:rFonts w:ascii="Tahoma" w:hAnsi="Tahoma" w:cs="Tahoma"/>
      <w:sz w:val="16"/>
      <w:szCs w:val="16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4Char">
    <w:name w:val="Heading 4 Char"/>
    <w:qFormat/>
    <w:rPr>
      <w:rFonts w:ascii="Calibri" w:hAnsi="Calibri" w:eastAsia="SimSun;宋体" w:cs="Times New Roman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Heading2Char">
    <w:name w:val="Heading 2 Char"/>
    <w:qFormat/>
    <w:rPr>
      <w:rFonts w:ascii="Calibri" w:hAnsi="Calibri" w:cs="Arial"/>
      <w:b/>
      <w:bCs/>
      <w:iCs/>
      <w:sz w:val="28"/>
      <w:szCs w:val="28"/>
    </w:rPr>
  </w:style>
  <w:style w:type="character" w:styleId="Heading3Char">
    <w:name w:val="Heading 3 Char"/>
    <w:qFormat/>
    <w:rPr>
      <w:rFonts w:ascii="Calibri" w:hAnsi="Calibri" w:cs="Arial"/>
      <w:b/>
      <w:bCs/>
      <w:sz w:val="24"/>
      <w:szCs w:val="26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pPr>
      <w:widowControl/>
      <w:tabs>
        <w:tab w:val="center" w:pos="4320" w:leader="none"/>
        <w:tab w:val="right" w:pos="8640" w:leader="none"/>
      </w:tabs>
      <w:jc w:val="end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Footer">
    <w:name w:val="Footer"/>
    <w:pPr>
      <w:widowControl/>
      <w:tabs>
        <w:tab w:val="center" w:pos="4320" w:leader="none"/>
        <w:tab w:val="right" w:pos="8640" w:leader="none"/>
      </w:tabs>
      <w:jc w:val="center"/>
    </w:pPr>
    <w:rPr>
      <w:rFonts w:ascii="Calibri" w:hAnsi="Calibri" w:eastAsia="MS Mincho;ＭＳ 明朝" w:cs="Calibri"/>
      <w:color w:val="auto"/>
      <w:sz w:val="22"/>
      <w:szCs w:val="24"/>
      <w:lang w:val="en-US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  <w:jc w:val="start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facebook.com/TelerikAcademy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academy.telerik.co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LibreOffice/5.4.3.2$MacOSX_X86_64 LibreOffice_project/92a7159f7e4af62137622921e809f8546db437e5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2015-04-20T15:46:00Z</dcterms:created>
  <dc:creator/>
  <dc:description/>
  <dc:language>en-US</dc:language>
  <cp:lastModifiedBy/>
  <dcterms:modified xsi:type="dcterms:W3CDTF">2015-04-20T15:46:00Z</dcterms:modified>
  <cp:revision>1</cp:revision>
  <dc:subject/>
  <dc:title/>
</cp:coreProperties>
</file>