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Παράμετροι του προετοιμασμένου dataset</w:t>
      </w:r>
    </w:p>
    <w:p>
      <w:r>
        <w:t>Σύντομη περιγραφή των 27 στηλών του prepared/dataset.csv. Οι A–V είναι είσοδοι του μοντέλου, οι W–Z μετρημένες έξοδοι και η AA χρησιμοποιείται μόνο για τον ομαδοποιημένο διαχωρισμό.</w:t>
      </w:r>
    </w:p>
    <w:tbl>
      <w:tblPr>
        <w:tblW w:type="auto" w:w="0"/>
        <w:tblLayout w:type="fixed"/>
        <w:tblLook w:firstColumn="1" w:firstRow="1" w:lastColumn="0" w:lastRow="0" w:noHBand="0" w:noVBand="1" w:val="04A0"/>
      </w:tblPr>
      <w:tblGrid>
        <w:gridCol w:w="680"/>
        <w:gridCol w:w="3969"/>
        <w:gridCol w:w="5443"/>
      </w:tblGrid>
      <w:tr>
        <w:trPr>
          <w:tblHeader/>
          <w:cantSplit/>
          <w:cantSplit/>
          <w:cantSplit/>
        </w:trPr>
        <w:tc>
          <w:tcPr>
            <w:tcW w:type="dxa" w:w="680"/>
            <w:tcBorders>
              <w:top w:val="single" w:sz="4" w:color="D9D9D9"/>
              <w:left w:val="single" w:sz="4" w:color="D9D9D9"/>
              <w:bottom w:val="single" w:sz="4" w:color="D9D9D9"/>
              <w:right w:val="single" w:sz="4" w:color="D9D9D9"/>
            </w:tcBorders>
            <w:shd w:fill="E8EEF4"/>
          </w:tcPr>
          <w:p>
            <w:pPr>
              <w:spacing w:before="60" w:after="60"/>
            </w:pPr>
            <w:r>
              <w:rPr>
                <w:b/>
                <w:sz w:val="18"/>
              </w:rPr>
              <w:t>Στήλη</w:t>
            </w:r>
          </w:p>
        </w:tc>
        <w:tc>
          <w:tcPr>
            <w:tcW w:type="dxa" w:w="3969"/>
            <w:tcBorders>
              <w:top w:val="single" w:sz="4" w:color="D9D9D9"/>
              <w:left w:val="single" w:sz="4" w:color="D9D9D9"/>
              <w:bottom w:val="single" w:sz="4" w:color="D9D9D9"/>
              <w:right w:val="single" w:sz="4" w:color="D9D9D9"/>
            </w:tcBorders>
            <w:shd w:fill="E8EEF4"/>
          </w:tcPr>
          <w:p>
            <w:pPr>
              <w:spacing w:before="60" w:after="60"/>
            </w:pPr>
            <w:r>
              <w:rPr>
                <w:b/>
                <w:sz w:val="18"/>
              </w:rPr>
              <w:t>Παράμετρος</w:t>
            </w:r>
          </w:p>
        </w:tc>
        <w:tc>
          <w:tcPr>
            <w:tcW w:type="dxa" w:w="5443"/>
            <w:tcBorders>
              <w:top w:val="single" w:sz="4" w:color="D9D9D9"/>
              <w:left w:val="single" w:sz="4" w:color="D9D9D9"/>
              <w:bottom w:val="single" w:sz="4" w:color="D9D9D9"/>
              <w:right w:val="single" w:sz="4" w:color="D9D9D9"/>
            </w:tcBorders>
            <w:shd w:fill="E8EEF4"/>
          </w:tcPr>
          <w:p>
            <w:pPr>
              <w:spacing w:before="60" w:after="60"/>
            </w:pPr>
            <w:r>
              <w:rPr>
                <w:b/>
                <w:sz w:val="18"/>
              </w:rPr>
              <w:t>Τι σημαίνει</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A</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ue_distance_2d_m</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Οριζόντια απόσταση χρήστη–σταθμού βάσης, σε μέτρα.</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B</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ue_tx_power_dbm</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Ρύθμιση ισχύος εκπομπής του χρήστη, σε dBm.</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C</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offered_load_mbps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Ονομαστική προσφερόμενη κίνηση εφαρμογής, σε Mbps.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D</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bandwidth_hz</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Εύρος ζώνης του ασύρματου καναλιού, σε Hz.</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E</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numerology</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Δείκτης μ: ορίζει απόσταση υποφερόντων και διάρκεια slot.</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F</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packet_size_bytes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Μέγεθος ωφέλιμου φορτίου ανά πακέτο, σε bytes.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G</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rlc_buffer_size_bytes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Χωρητικότητα ουράς του RLC, σε bytes.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H</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carrier_frequency_hz</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Συχνότητα λειτουργίας του ασύρματου καναλιού, σε Hz.</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I</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gnb_antenna_max_gain_dbi</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Μέγιστο κέρδος κεραίας σταθμού βάσης, σε dBi.</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J</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gnb_antenna_orientation_deg</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Προσανατολισμός κεραίας σταθμού βάσης, σε μοίρες.</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K</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harq_max_retransmissions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Μέγιστος αριθμός αναμεταδόσεων HARQ.</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L</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harq_processes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Αριθμός διαθέσιμων διαδικασιών HARQ για παράλληλη διαχείριση μεταδόσεων.</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M</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packet_interval_us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Διάστημα μεταξύ πακέτων κατά την ενεργή αποστολή, σε μs.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N</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on_data_rate_bps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Ρυθμός αποστολής όταν η εφαρμογή είναι ενεργή, σε bps.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O</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nominal_duty_cycle</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Ονομαστικό κλάσμα ενεργού χρόνου αποστολής: 1 σημαίνει 100%.</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P</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tdd_pattern</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Επαναλαμβανόμενη σειρά slots: DL προς τον χρήστη, UL προς τον σταθμό.</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Q</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scheduler_type</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Αλγόριθμος κατανομής των διαθέσιμων ραδιοπόρων.</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R</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rlc_mode</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Τρόπος RLC: AM με επιβεβαιώσεις/αναμεταδόσεις, UM χωρίς αυτές.</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S</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harq_enabled</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Αν είναι ενεργοποιημένος ο μηχανισμός HARQ.</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T</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gnb_antenna_model</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Μοντέλο που περιγράφει το κέρδος της κεραίας ανά κατεύθυνση.</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U</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traffic_model</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Συμπεριφορά κίνησης: συνεχής CBR ή εναλλαγές On/Off.</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V</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traffic_input_mode</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Αν η κίνηση ορίστηκε μέσω ρυθμού ή διαστήματος πακέτων.</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W</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throughput_mbps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Ρυθμός παραληφθέντων IP δεδομένων, μαζί με headers, σε Mbps.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X</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delay_ms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Μέση καθυστέρηση των παραληφθέντων πακέτων, σε ms.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Y</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jitter_ms</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Μέση απόλυτη διαφορά καθυστέρησης διαδοχικών παραληφθέντων πακέτων, σε ms.</w:t>
            </w:r>
          </w:p>
        </w:tc>
      </w:tr>
      <w:tr>
        <w:trPr>
          <w:cantSplit/>
          <w:cantSplit/>
          <w:cantSplit/>
        </w:trPr>
        <w:tc>
          <w:tcPr>
            <w:tcW w:type="dxa" w:w="680"/>
            <w:tcBorders>
              <w:top w:val="single" w:sz="4" w:color="D9D9D9"/>
              <w:left w:val="single" w:sz="4" w:color="D9D9D9"/>
              <w:bottom w:val="single" w:sz="4" w:color="D9D9D9"/>
              <w:right w:val="single" w:sz="4" w:color="D9D9D9"/>
            </w:tcBorders>
          </w:tcPr>
          <w:p>
            <w:pPr>
              <w:spacing w:before="60" w:after="60"/>
            </w:pPr>
            <w:r>
              <w:rPr>
                <w:b w:val="0"/>
                <w:sz w:val="18"/>
              </w:rPr>
              <w:t>Z</w:t>
            </w:r>
          </w:p>
        </w:tc>
        <w:tc>
          <w:tcPr>
            <w:tcW w:type="dxa" w:w="3969"/>
            <w:tcBorders>
              <w:top w:val="single" w:sz="4" w:color="D9D9D9"/>
              <w:left w:val="single" w:sz="4" w:color="D9D9D9"/>
              <w:bottom w:val="single" w:sz="4" w:color="D9D9D9"/>
              <w:right w:val="single" w:sz="4" w:color="D9D9D9"/>
            </w:tcBorders>
          </w:tcPr>
          <w:p>
            <w:pPr>
              <w:spacing w:before="60" w:after="60"/>
            </w:pPr>
            <w:r>
              <w:rPr>
                <w:b w:val="0"/>
                <w:sz w:val="18"/>
              </w:rPr>
              <w:t>packet_loss_pct</w:t>
            </w:r>
          </w:p>
        </w:tc>
        <w:tc>
          <w:tcPr>
            <w:tcW w:type="dxa" w:w="5443"/>
            <w:tcBorders>
              <w:top w:val="single" w:sz="4" w:color="D9D9D9"/>
              <w:left w:val="single" w:sz="4" w:color="D9D9D9"/>
              <w:bottom w:val="single" w:sz="4" w:color="D9D9D9"/>
              <w:right w:val="single" w:sz="4" w:color="D9D9D9"/>
            </w:tcBorders>
          </w:tcPr>
          <w:p>
            <w:pPr>
              <w:spacing w:before="60" w:after="60"/>
            </w:pPr>
            <w:r>
              <w:rPr>
                <w:b w:val="0"/>
                <w:sz w:val="18"/>
              </w:rPr>
              <w:t>Ποσοστό πακέτων που δεν παραλήφθηκαν μέχρι το τέλος του drain time.</w:t>
            </w:r>
          </w:p>
        </w:tc>
      </w:tr>
      <w:tr>
        <w:tc>
          <w:tcPr>
            <w:tcW w:type="dxa" w:w="680"/>
            <w:tcBorders>
              <w:top w:val="single" w:sz="4" w:color="D9D9D9"/>
              <w:left w:val="single" w:sz="4" w:color="D9D9D9"/>
              <w:bottom w:val="single" w:sz="4" w:color="D9D9D9"/>
              <w:right w:val="single" w:sz="4" w:color="D9D9D9"/>
            </w:tcBorders>
          </w:tcPr>
          <w:p>
            <w:pPr>
              <w:spacing w:before="60" w:after="60"/>
            </w:pPr>
            <w:r>
              <w:rPr>
                <w:sz w:val="18"/>
              </w:rPr>
              <w:t>AA</w:t>
            </w:r>
          </w:p>
        </w:tc>
        <w:tc>
          <w:tcPr>
            <w:tcW w:type="dxa" w:w="3969"/>
            <w:tcBorders>
              <w:top w:val="single" w:sz="4" w:color="D9D9D9"/>
              <w:left w:val="single" w:sz="4" w:color="D9D9D9"/>
              <w:bottom w:val="single" w:sz="4" w:color="D9D9D9"/>
              <w:right w:val="single" w:sz="4" w:color="D9D9D9"/>
            </w:tcBorders>
          </w:tcPr>
          <w:p>
            <w:pPr>
              <w:spacing w:before="60" w:after="60"/>
            </w:pPr>
            <w:r>
              <w:rPr>
                <w:sz w:val="18"/>
              </w:rPr>
              <w:t>split_group</w:t>
            </w:r>
          </w:p>
        </w:tc>
        <w:tc>
          <w:tcPr>
            <w:tcW w:type="dxa" w:w="5443"/>
            <w:tcBorders>
              <w:top w:val="single" w:sz="4" w:color="D9D9D9"/>
              <w:left w:val="single" w:sz="4" w:color="D9D9D9"/>
              <w:bottom w:val="single" w:sz="4" w:color="D9D9D9"/>
              <w:right w:val="single" w:sz="4" w:color="D9D9D9"/>
            </w:tcBorders>
          </w:tcPr>
          <w:p>
            <w:pPr>
              <w:spacing w:before="60" w:after="60"/>
            </w:pPr>
            <w:r>
              <w:rPr>
                <w:sz w:val="18"/>
              </w:rPr>
              <w:t>Κωδικός ομάδας συγγενικών μετρήσεων. Κρατά την ομάδα μαζί στον διαχωρισμό train/validation και στο cross-validation. Δεν είναι είσοδος πρόβλεψης.</w:t>
            </w:r>
          </w:p>
        </w:tc>
      </w:tr>
    </w:tbl>
    <w:p>
      <w:pPr>
        <w:spacing w:before="160"/>
      </w:pPr>
      <w:r>
        <w:t>Το throughput χρησιμοποιεί ως παρονομαστή τη διάρκεια ενεργοποίησης της εφαρμογής και περιλαμβάνει παραλαβές στο drain time. Το packet loss μπορεί να περιλαμβάνει πακέτα που παρέμεναν σε ουρές. Ορισμένες ιστορικές είσοδοι συμπληρώθηκαν με υποθέσεις defaults, καταγεγραμμένες στα συνοδευτικά αρχεία.</w:t>
      </w:r>
    </w:p>
    <w:p>
      <w:r>
        <w:t>Το dataset.csv περιλαμβάνει και τις 404 μετρήσεις. Η εκπαίδευση χρησιμοποιεί το train.csv και η αξιολόγηση το validation.csv. Τα βάρη και τα αναγνωριστικά φορτώνονται από τα αντίστοιχα αρχεία metadata.</w:t>
      </w:r>
    </w:p>
    <w:sectPr w:rsidR="00FC693F" w:rsidRPr="0006063C" w:rsidSect="00034616">
      <w:pgSz w:w="11906" w:h="16838"/>
      <w:pgMar w:top="964" w:right="907" w:bottom="96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