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2"/>
          <w:szCs w:val="32"/>
        </w:rPr>
        <w:t xml:space="preserve">GEHEIMHALTUNGSVEREINBARUNG</w:t>
      </w:r>
    </w:p>
    <w:p>
      <w:pPr>
        <w:spacing w:after="120" w:before="0"/>
        <w:jc w:val="center"/>
      </w:pPr>
      <w:r>
        <w:rPr>
          <w:rFonts w:ascii="Arial" w:cs="Arial" w:eastAsia="Arial" w:hAnsi="Arial"/>
          <w:sz w:val="26"/>
          <w:szCs w:val="26"/>
        </w:rPr>
        <w:t xml:space="preserve">(Non-Disclosure Agreement / NDA)</w:t>
      </w:r>
    </w:p>
    <w:p>
      <w:pPr>
        <w:spacing w:after="480" w:before="0"/>
        <w:jc w:val="center"/>
      </w:pPr>
      <w:r>
        <w:rPr>
          <w:rFonts w:ascii="Arial" w:cs="Arial" w:eastAsia="Arial" w:hAnsi="Arial"/>
          <w:i/>
          <w:iCs/>
          <w:sz w:val="22"/>
          <w:szCs w:val="22"/>
        </w:rPr>
        <w:t xml:space="preserve">im Zusammenhang mit einer möglichen Unternehmenstransaktion</w:t>
      </w:r>
    </w:p>
    <w:p>
      <w:pPr>
        <w:pStyle w:val="Heading1"/>
        <w:spacing w:after="180" w:before="360"/>
      </w:pPr>
      <w:r>
        <w:rPr>
          <w:rFonts w:ascii="Arial" w:cs="Arial" w:eastAsia="Arial" w:hAnsi="Arial"/>
          <w:b/>
          <w:bCs/>
          <w:sz w:val="28"/>
          <w:szCs w:val="28"/>
        </w:rPr>
        <w:t xml:space="preserve">§ 1 Vertragsparteien</w:t>
      </w:r>
    </w:p>
    <w:p>
      <w:pPr>
        <w:spacing w:after="120" w:before="120"/>
        <w:jc w:val="left"/>
      </w:pPr>
      <w:r>
        <w:rPr>
          <w:rFonts w:ascii="Arial" w:cs="Arial" w:eastAsia="Arial" w:hAnsi="Arial"/>
          <w:sz w:val="22"/>
          <w:szCs w:val="22"/>
        </w:rPr>
        <w:t xml:space="preserve">Diese Geheimhaltungsvereinbarung ("NDA") wird abgeschlossen zwischen:</w:t>
      </w:r>
    </w:p>
    <w:p>
      <w:r>
        <w:t xml:space="preserve"/>
      </w:r>
    </w:p>
    <w:p>
      <w:pPr>
        <w:spacing w:after="80" w:before="80"/>
      </w:pPr>
      <w:r>
        <w:rPr>
          <w:rFonts w:ascii="Arial" w:cs="Arial" w:eastAsia="Arial" w:hAnsi="Arial"/>
          <w:b/>
          <w:bCs/>
          <w:sz w:val="22"/>
          <w:szCs w:val="22"/>
        </w:rPr>
        <w:t xml:space="preserve">Offenlegende Partei: </w:t>
      </w:r>
      <w:r>
        <w:rPr>
          <w:rFonts w:ascii="Arial" w:cs="Arial" w:eastAsia="Arial" w:hAnsi="Arial"/>
          <w:sz w:val="22"/>
          <w:szCs w:val="22"/>
        </w:rPr>
        <w:t xml:space="preserve"/>
      </w:r>
    </w:p>
    <w:p>
      <w:pPr>
        <w:spacing w:after="120" w:before="120"/>
        <w:jc w:val="left"/>
      </w:pPr>
      <w:r>
        <w:rPr>
          <w:rFonts w:ascii="Arial" w:cs="Arial" w:eastAsia="Arial" w:hAnsi="Arial"/>
          <w:sz w:val="22"/>
          <w:szCs w:val="22"/>
        </w:rPr>
        <w:t xml:space="preserve">Alpha Holdings AG, Herrengasse 1-3, 1010 Wien, Österreich, eingetragen im Firmenbuch unter FN 567890e, vertreten durch den Vorstand (nachfolgend "Offenlegender")</w:t>
      </w:r>
    </w:p>
    <w:p>
      <w:r>
        <w:t xml:space="preserve"/>
      </w:r>
    </w:p>
    <w:p>
      <w:pPr>
        <w:spacing w:after="80" w:before="80"/>
      </w:pPr>
      <w:r>
        <w:rPr>
          <w:rFonts w:ascii="Arial" w:cs="Arial" w:eastAsia="Arial" w:hAnsi="Arial"/>
          <w:b/>
          <w:bCs/>
          <w:sz w:val="22"/>
          <w:szCs w:val="22"/>
        </w:rPr>
        <w:t xml:space="preserve">Empfangende Partei: </w:t>
      </w:r>
      <w:r>
        <w:rPr>
          <w:rFonts w:ascii="Arial" w:cs="Arial" w:eastAsia="Arial" w:hAnsi="Arial"/>
          <w:sz w:val="22"/>
          <w:szCs w:val="22"/>
        </w:rPr>
        <w:t xml:space="preserve"/>
      </w:r>
    </w:p>
    <w:p>
      <w:pPr>
        <w:spacing w:after="120" w:before="120"/>
        <w:jc w:val="left"/>
      </w:pPr>
      <w:r>
        <w:rPr>
          <w:rFonts w:ascii="Arial" w:cs="Arial" w:eastAsia="Arial" w:hAnsi="Arial"/>
          <w:sz w:val="22"/>
          <w:szCs w:val="22"/>
        </w:rPr>
        <w:t xml:space="preserve">Beta Private Equity Fund II GmbH &amp; Co KG, Taunusanlage 12, 60325 Frankfurt am Main, Deutschland, HRB 98765, vertreten durch die Komplementärin (nachfolgend "Empfänger")</w:t>
      </w:r>
    </w:p>
    <w:p>
      <w:r>
        <w:t xml:space="preserve"/>
      </w:r>
    </w:p>
    <w:p>
      <w:pPr>
        <w:spacing w:after="120" w:before="120"/>
        <w:jc w:val="left"/>
      </w:pPr>
      <w:r>
        <w:rPr>
          <w:rFonts w:ascii="Arial" w:cs="Arial" w:eastAsia="Arial" w:hAnsi="Arial"/>
          <w:sz w:val="22"/>
          <w:szCs w:val="22"/>
        </w:rPr>
        <w:t xml:space="preserve">(Offenlegender und Empfänger nachfolgend einzeln "Partei" und gemeinsam "Parteien")</w:t>
      </w:r>
    </w:p>
    <w:p>
      <w:pPr>
        <w:pStyle w:val="Heading1"/>
        <w:spacing w:after="180" w:before="360"/>
      </w:pPr>
      <w:r>
        <w:rPr>
          <w:rFonts w:ascii="Arial" w:cs="Arial" w:eastAsia="Arial" w:hAnsi="Arial"/>
          <w:b/>
          <w:bCs/>
          <w:sz w:val="28"/>
          <w:szCs w:val="28"/>
        </w:rPr>
        <w:t xml:space="preserve">§ 2 Hintergrund und Zweck</w:t>
      </w:r>
    </w:p>
    <w:p>
      <w:pPr>
        <w:spacing w:after="120" w:before="120"/>
        <w:jc w:val="left"/>
      </w:pPr>
      <w:r>
        <w:rPr>
          <w:rFonts w:ascii="Arial" w:cs="Arial" w:eastAsia="Arial" w:hAnsi="Arial"/>
          <w:sz w:val="22"/>
          <w:szCs w:val="22"/>
        </w:rPr>
        <w:t xml:space="preserve">2.1 Die Parteien beabsichtigen, mögliche Transaktionen im Zusammenhang mit dem Erwerb einer Beteiligung oder aller Anteile an der Alpha Holdings AG und deren Tochtergesellschaften (gemeinsam "Zielgesellschaft") zu prüfen ("Transaktion").</w:t>
      </w:r>
    </w:p>
    <w:p>
      <w:pPr>
        <w:spacing w:after="120" w:before="120"/>
        <w:jc w:val="left"/>
      </w:pPr>
      <w:r>
        <w:rPr>
          <w:rFonts w:ascii="Arial" w:cs="Arial" w:eastAsia="Arial" w:hAnsi="Arial"/>
          <w:sz w:val="22"/>
          <w:szCs w:val="22"/>
        </w:rPr>
        <w:t xml:space="preserve">2.2 Im Rahmen dieser Prüfung ("Due Diligence") wird der Offenlegende dem Empfänger vertrauliche Informationen über die Zielgesellschaft zugänglich machen. Ziel dieser Vereinbarung ist der Schutz dieser Informationen.</w:t>
      </w:r>
    </w:p>
    <w:p>
      <w:pPr>
        <w:pStyle w:val="Heading1"/>
        <w:spacing w:after="180" w:before="360"/>
      </w:pPr>
      <w:r>
        <w:rPr>
          <w:rFonts w:ascii="Arial" w:cs="Arial" w:eastAsia="Arial" w:hAnsi="Arial"/>
          <w:b/>
          <w:bCs/>
          <w:sz w:val="28"/>
          <w:szCs w:val="28"/>
        </w:rPr>
        <w:t xml:space="preserve">§ 3 Definition von "Vertraulichen Informationen"</w:t>
      </w:r>
    </w:p>
    <w:p>
      <w:pPr>
        <w:spacing w:after="120" w:before="120"/>
        <w:jc w:val="left"/>
      </w:pPr>
      <w:r>
        <w:rPr>
          <w:rFonts w:ascii="Arial" w:cs="Arial" w:eastAsia="Arial" w:hAnsi="Arial"/>
          <w:sz w:val="22"/>
          <w:szCs w:val="22"/>
        </w:rPr>
        <w:t xml:space="preserve">3.1 "Vertrauliche Informationen" bezeichnet alle Informationen, die der Offenlegende dem Empfänger in Zusammenhang mit der möglichen Transaktion mitteilt, unabhängig von der Form der Übermittlung (schriftlich, mündlich, elektronisch, visuell oder sonstwie), einschließlich:</w:t>
      </w:r>
    </w:p>
    <w:p>
      <w:pPr>
        <w:pStyle w:val="ListParagraph"/>
        <w:numPr>
          <w:ilvl w:val="0"/>
          <w:numId w:val="2"/>
        </w:numPr>
        <w:spacing w:after="60" w:before="60"/>
      </w:pPr>
      <w:r>
        <w:rPr>
          <w:rFonts w:ascii="Arial" w:cs="Arial" w:eastAsia="Arial" w:hAnsi="Arial"/>
          <w:sz w:val="22"/>
          <w:szCs w:val="22"/>
        </w:rPr>
        <w:t xml:space="preserve">Finanzielle Informationen (Jahresabschlüsse, Budgets, Planungen, Bewertungen)</w:t>
      </w:r>
    </w:p>
    <w:p>
      <w:pPr>
        <w:pStyle w:val="ListParagraph"/>
        <w:numPr>
          <w:ilvl w:val="0"/>
          <w:numId w:val="2"/>
        </w:numPr>
        <w:spacing w:after="60" w:before="60"/>
      </w:pPr>
      <w:r>
        <w:rPr>
          <w:rFonts w:ascii="Arial" w:cs="Arial" w:eastAsia="Arial" w:hAnsi="Arial"/>
          <w:sz w:val="22"/>
          <w:szCs w:val="22"/>
        </w:rPr>
        <w:t xml:space="preserve">Technische Informationen (Patente, Know-How, Quellcodes, Entwicklungspläne)</w:t>
      </w:r>
    </w:p>
    <w:p>
      <w:pPr>
        <w:pStyle w:val="ListParagraph"/>
        <w:numPr>
          <w:ilvl w:val="0"/>
          <w:numId w:val="2"/>
        </w:numPr>
        <w:spacing w:after="60" w:before="60"/>
      </w:pPr>
      <w:r>
        <w:rPr>
          <w:rFonts w:ascii="Arial" w:cs="Arial" w:eastAsia="Arial" w:hAnsi="Arial"/>
          <w:sz w:val="22"/>
          <w:szCs w:val="22"/>
        </w:rPr>
        <w:t xml:space="preserve">Kommerzielle Informationen (Kundenverträge, Lieferantenvereinbarungen, Preislisten)</w:t>
      </w:r>
    </w:p>
    <w:p>
      <w:pPr>
        <w:pStyle w:val="ListParagraph"/>
        <w:numPr>
          <w:ilvl w:val="0"/>
          <w:numId w:val="2"/>
        </w:numPr>
        <w:spacing w:after="60" w:before="60"/>
      </w:pPr>
      <w:r>
        <w:rPr>
          <w:rFonts w:ascii="Arial" w:cs="Arial" w:eastAsia="Arial" w:hAnsi="Arial"/>
          <w:sz w:val="22"/>
          <w:szCs w:val="22"/>
        </w:rPr>
        <w:t xml:space="preserve">Strategische Informationen (Geschäftspläne, M&amp;A-Strategie, Expansionspläne)</w:t>
      </w:r>
    </w:p>
    <w:p>
      <w:pPr>
        <w:pStyle w:val="ListParagraph"/>
        <w:numPr>
          <w:ilvl w:val="0"/>
          <w:numId w:val="2"/>
        </w:numPr>
        <w:spacing w:after="60" w:before="60"/>
      </w:pPr>
      <w:r>
        <w:rPr>
          <w:rFonts w:ascii="Arial" w:cs="Arial" w:eastAsia="Arial" w:hAnsi="Arial"/>
          <w:sz w:val="22"/>
          <w:szCs w:val="22"/>
        </w:rPr>
        <w:t xml:space="preserve">Personalbezogene Informationen (Organigramme, Gehaltsstrukturen, Schlüsselpersonen)</w:t>
      </w:r>
    </w:p>
    <w:p>
      <w:pPr>
        <w:pStyle w:val="ListParagraph"/>
        <w:numPr>
          <w:ilvl w:val="0"/>
          <w:numId w:val="2"/>
        </w:numPr>
        <w:spacing w:after="60" w:before="60"/>
      </w:pPr>
      <w:r>
        <w:rPr>
          <w:rFonts w:ascii="Arial" w:cs="Arial" w:eastAsia="Arial" w:hAnsi="Arial"/>
          <w:sz w:val="22"/>
          <w:szCs w:val="22"/>
        </w:rPr>
        <w:t xml:space="preserve">Die bloße Tatsache der Verhandlungen und die Konditionen dieser NDA selbst</w:t>
      </w:r>
    </w:p>
    <w:p>
      <w:pPr>
        <w:spacing w:after="120" w:before="120"/>
        <w:jc w:val="left"/>
      </w:pPr>
      <w:r>
        <w:rPr>
          <w:rFonts w:ascii="Arial" w:cs="Arial" w:eastAsia="Arial" w:hAnsi="Arial"/>
          <w:sz w:val="22"/>
          <w:szCs w:val="22"/>
        </w:rPr>
        <w:t xml:space="preserve">3.2 Vertrauliche Informationen umfassen nicht:</w:t>
      </w:r>
    </w:p>
    <w:p>
      <w:pPr>
        <w:pStyle w:val="ListParagraph"/>
        <w:numPr>
          <w:ilvl w:val="0"/>
          <w:numId w:val="2"/>
        </w:numPr>
        <w:spacing w:after="60" w:before="60"/>
      </w:pPr>
      <w:r>
        <w:rPr>
          <w:rFonts w:ascii="Arial" w:cs="Arial" w:eastAsia="Arial" w:hAnsi="Arial"/>
          <w:sz w:val="22"/>
          <w:szCs w:val="22"/>
        </w:rPr>
        <w:t xml:space="preserve">Informationen, die zum Zeitpunkt der Offenlegung öffentlich bekannt sind oder danach ohne Verletzung dieser NDA öffentlich werden</w:t>
      </w:r>
    </w:p>
    <w:p>
      <w:pPr>
        <w:pStyle w:val="ListParagraph"/>
        <w:numPr>
          <w:ilvl w:val="0"/>
          <w:numId w:val="2"/>
        </w:numPr>
        <w:spacing w:after="60" w:before="60"/>
      </w:pPr>
      <w:r>
        <w:rPr>
          <w:rFonts w:ascii="Arial" w:cs="Arial" w:eastAsia="Arial" w:hAnsi="Arial"/>
          <w:sz w:val="22"/>
          <w:szCs w:val="22"/>
        </w:rPr>
        <w:t xml:space="preserve">Informationen, die dem Empfänger bereits vor der Offenlegung rechtmäßig bekannt waren, nachweislich dokumentiert durch Unterlagen vor dem Datum dieser NDA</w:t>
      </w:r>
    </w:p>
    <w:p>
      <w:pPr>
        <w:pStyle w:val="ListParagraph"/>
        <w:numPr>
          <w:ilvl w:val="0"/>
          <w:numId w:val="2"/>
        </w:numPr>
        <w:spacing w:after="60" w:before="60"/>
      </w:pPr>
      <w:r>
        <w:rPr>
          <w:rFonts w:ascii="Arial" w:cs="Arial" w:eastAsia="Arial" w:hAnsi="Arial"/>
          <w:sz w:val="22"/>
          <w:szCs w:val="22"/>
        </w:rPr>
        <w:t xml:space="preserve">Informationen, die der Empfänger von einem Dritten erhalten hat, der seinerseits nicht zur Geheimhaltung verpflichtet ist</w:t>
      </w:r>
    </w:p>
    <w:p>
      <w:pPr>
        <w:pStyle w:val="ListParagraph"/>
        <w:numPr>
          <w:ilvl w:val="0"/>
          <w:numId w:val="2"/>
        </w:numPr>
        <w:spacing w:after="60" w:before="60"/>
      </w:pPr>
      <w:r>
        <w:rPr>
          <w:rFonts w:ascii="Arial" w:cs="Arial" w:eastAsia="Arial" w:hAnsi="Arial"/>
          <w:sz w:val="22"/>
          <w:szCs w:val="22"/>
        </w:rPr>
        <w:t xml:space="preserve">Informationen, die der Empfänger unabhängig und ohne Rückgriff auf Vertrauliche Informationen selbst entwickelt hat</w:t>
      </w:r>
    </w:p>
    <w:p>
      <w:pPr>
        <w:pStyle w:val="Heading1"/>
        <w:spacing w:after="180" w:before="360"/>
      </w:pPr>
      <w:r>
        <w:rPr>
          <w:rFonts w:ascii="Arial" w:cs="Arial" w:eastAsia="Arial" w:hAnsi="Arial"/>
          <w:b/>
          <w:bCs/>
          <w:sz w:val="28"/>
          <w:szCs w:val="28"/>
        </w:rPr>
        <w:t xml:space="preserve">§ 4 Geheimhaltungspflichten</w:t>
      </w:r>
    </w:p>
    <w:p>
      <w:pPr>
        <w:spacing w:after="120" w:before="120"/>
        <w:jc w:val="left"/>
      </w:pPr>
      <w:r>
        <w:rPr>
          <w:rFonts w:ascii="Arial" w:cs="Arial" w:eastAsia="Arial" w:hAnsi="Arial"/>
          <w:sz w:val="22"/>
          <w:szCs w:val="22"/>
        </w:rPr>
        <w:t xml:space="preserve">4.1 Der Empfänger verpflichtet sich:</w:t>
      </w:r>
    </w:p>
    <w:p>
      <w:pPr>
        <w:pStyle w:val="ListParagraph"/>
        <w:numPr>
          <w:ilvl w:val="0"/>
          <w:numId w:val="2"/>
        </w:numPr>
        <w:spacing w:after="60" w:before="60"/>
      </w:pPr>
      <w:r>
        <w:rPr>
          <w:rFonts w:ascii="Arial" w:cs="Arial" w:eastAsia="Arial" w:hAnsi="Arial"/>
          <w:sz w:val="22"/>
          <w:szCs w:val="22"/>
        </w:rPr>
        <w:t xml:space="preserve">alle Vertraulichen Informationen streng vertraulich zu behandeln und mindestens den gleichen Schutz anzuwenden wie für eigene vertrauliche Informationen vergleichbarer Bedeutung, mindestens aber angemessene Sorgfalt</w:t>
      </w:r>
    </w:p>
    <w:p>
      <w:pPr>
        <w:pStyle w:val="ListParagraph"/>
        <w:numPr>
          <w:ilvl w:val="0"/>
          <w:numId w:val="2"/>
        </w:numPr>
        <w:spacing w:after="60" w:before="60"/>
      </w:pPr>
      <w:r>
        <w:rPr>
          <w:rFonts w:ascii="Arial" w:cs="Arial" w:eastAsia="Arial" w:hAnsi="Arial"/>
          <w:sz w:val="22"/>
          <w:szCs w:val="22"/>
        </w:rPr>
        <w:t xml:space="preserve">Vertrauliche Informationen ausschließlich für den Zweck der Prüfung der Transaktion zu verwenden</w:t>
      </w:r>
    </w:p>
    <w:p>
      <w:pPr>
        <w:pStyle w:val="ListParagraph"/>
        <w:numPr>
          <w:ilvl w:val="0"/>
          <w:numId w:val="2"/>
        </w:numPr>
        <w:spacing w:after="60" w:before="60"/>
      </w:pPr>
      <w:r>
        <w:rPr>
          <w:rFonts w:ascii="Arial" w:cs="Arial" w:eastAsia="Arial" w:hAnsi="Arial"/>
          <w:sz w:val="22"/>
          <w:szCs w:val="22"/>
        </w:rPr>
        <w:t xml:space="preserve">Vertrauliche Informationen nur solchen Mitarbeitern, Beratern und Finanzierungspartnern zugänglich zu machen, die diese auf einer "Need-to-know"-Basis benötigen und die zuvor auf schriftliche Vertraulichkeit verpflichtet wurden</w:t>
      </w:r>
    </w:p>
    <w:p>
      <w:pPr>
        <w:pStyle w:val="ListParagraph"/>
        <w:numPr>
          <w:ilvl w:val="0"/>
          <w:numId w:val="2"/>
        </w:numPr>
        <w:spacing w:after="60" w:before="60"/>
      </w:pPr>
      <w:r>
        <w:rPr>
          <w:rFonts w:ascii="Arial" w:cs="Arial" w:eastAsia="Arial" w:hAnsi="Arial"/>
          <w:sz w:val="22"/>
          <w:szCs w:val="22"/>
        </w:rPr>
        <w:t xml:space="preserve">keine Kopien von Vertraulichen Informationen anzufertigen, soweit dies für die Transaktionsprüfung nicht erforderlich ist</w:t>
      </w:r>
    </w:p>
    <w:p>
      <w:pPr>
        <w:spacing w:after="120" w:before="120"/>
        <w:jc w:val="left"/>
      </w:pPr>
      <w:r>
        <w:rPr>
          <w:rFonts w:ascii="Arial" w:cs="Arial" w:eastAsia="Arial" w:hAnsi="Arial"/>
          <w:sz w:val="22"/>
          <w:szCs w:val="22"/>
        </w:rPr>
        <w:t xml:space="preserve">4.2 Der Empfänger hält eine Liste aller Personen, denen er Vertrauliche Informationen zugänglich gemacht hat, und legt diese auf Anfrage innerhalb von 3 Werktagen vor.</w:t>
      </w:r>
    </w:p>
    <w:p>
      <w:pPr>
        <w:spacing w:after="120" w:before="120"/>
        <w:jc w:val="left"/>
      </w:pPr>
      <w:r>
        <w:rPr>
          <w:rFonts w:ascii="Arial" w:cs="Arial" w:eastAsia="Arial" w:hAnsi="Arial"/>
          <w:sz w:val="22"/>
          <w:szCs w:val="22"/>
        </w:rPr>
        <w:t xml:space="preserve">4.3 Ist der Empfänger gesetzlich oder behördlich zur Offenlegung verpflichtet, hat er den Offenlegenden unverzüglich und soweit rechtlich möglich vorab zu informieren, damit dieser geeignete Schutzmaßnahmen ergreifen kann.</w:t>
      </w:r>
    </w:p>
    <w:p>
      <w:pPr>
        <w:pStyle w:val="Heading1"/>
        <w:spacing w:after="180" w:before="360"/>
      </w:pPr>
      <w:r>
        <w:rPr>
          <w:rFonts w:ascii="Arial" w:cs="Arial" w:eastAsia="Arial" w:hAnsi="Arial"/>
          <w:b/>
          <w:bCs/>
          <w:sz w:val="28"/>
          <w:szCs w:val="28"/>
        </w:rPr>
        <w:t xml:space="preserve">§ 5 Datenraum und Informationsmanagement</w:t>
      </w:r>
    </w:p>
    <w:p>
      <w:pPr>
        <w:spacing w:after="120" w:before="120"/>
        <w:jc w:val="left"/>
      </w:pPr>
      <w:r>
        <w:rPr>
          <w:rFonts w:ascii="Arial" w:cs="Arial" w:eastAsia="Arial" w:hAnsi="Arial"/>
          <w:sz w:val="22"/>
          <w:szCs w:val="22"/>
        </w:rPr>
        <w:t xml:space="preserve">5.1 Vertrauliche Informationen werden in einem passwortgeschützten virtuellen Datenraum ("VDR") zugänglich gemacht. Zugang erhält nur der Empfänger sowie seine mit Anlage A benannten Berater.</w:t>
      </w:r>
    </w:p>
    <w:p>
      <w:pPr>
        <w:spacing w:after="120" w:before="120"/>
        <w:jc w:val="left"/>
      </w:pPr>
      <w:r>
        <w:rPr>
          <w:rFonts w:ascii="Arial" w:cs="Arial" w:eastAsia="Arial" w:hAnsi="Arial"/>
          <w:sz w:val="22"/>
          <w:szCs w:val="22"/>
        </w:rPr>
        <w:t xml:space="preserve">5.2 Es ist dem Empfänger untersagt, Vertrauliche Informationen aus dem VDR herunterzuladen, zu drucken oder zu kopieren, sofern dies nicht für die Due Diligence ausdrücklich notwendig und vom Offenlegenden genehmigt ist.</w:t>
      </w:r>
    </w:p>
    <w:p>
      <w:pPr>
        <w:spacing w:after="120" w:before="120"/>
        <w:jc w:val="left"/>
      </w:pPr>
      <w:r>
        <w:rPr>
          <w:rFonts w:ascii="Arial" w:cs="Arial" w:eastAsia="Arial" w:hAnsi="Arial"/>
          <w:sz w:val="22"/>
          <w:szCs w:val="22"/>
        </w:rPr>
        <w:t xml:space="preserve">5.3 Durch Zurverfügungstellung im VDR werden keine Rechte, insbesondere keine Lizenzen, Patente oder sonstige Schutzrechte, übertragen.</w:t>
      </w:r>
    </w:p>
    <w:p>
      <w:pPr>
        <w:pStyle w:val="Heading1"/>
        <w:spacing w:after="180" w:before="360"/>
      </w:pPr>
      <w:r>
        <w:rPr>
          <w:rFonts w:ascii="Arial" w:cs="Arial" w:eastAsia="Arial" w:hAnsi="Arial"/>
          <w:b/>
          <w:bCs/>
          <w:sz w:val="28"/>
          <w:szCs w:val="28"/>
        </w:rPr>
        <w:t xml:space="preserve">§ 6 Rückgabe und Vernichtung</w:t>
      </w:r>
    </w:p>
    <w:p>
      <w:pPr>
        <w:spacing w:after="120" w:before="120"/>
        <w:jc w:val="left"/>
      </w:pPr>
      <w:r>
        <w:rPr>
          <w:rFonts w:ascii="Arial" w:cs="Arial" w:eastAsia="Arial" w:hAnsi="Arial"/>
          <w:sz w:val="22"/>
          <w:szCs w:val="22"/>
        </w:rPr>
        <w:t xml:space="preserve">6.1 Auf schriftliche Anforderung des Offenlegenden oder nach Abschluss bzw. Abbruch der Transaktionsgespräche ist der Empfänger verpflichtet, innerhalb von 10 Werktagen alle Vertraulichen Informationen einschließlich aller Kopien und Auszüge unwiederbringlich zu vernichten oder zurückzugeben.</w:t>
      </w:r>
    </w:p>
    <w:p>
      <w:pPr>
        <w:spacing w:after="120" w:before="120"/>
        <w:jc w:val="left"/>
      </w:pPr>
      <w:r>
        <w:rPr>
          <w:rFonts w:ascii="Arial" w:cs="Arial" w:eastAsia="Arial" w:hAnsi="Arial"/>
          <w:sz w:val="22"/>
          <w:szCs w:val="22"/>
        </w:rPr>
        <w:t xml:space="preserve">6.2 Der Empfänger bestätigt die vollständige Vernichtung durch eine schriftliche Erklärung eines bevollmächtigten Vertreters. Elektronische Vernichtung ist durch Zertifikat einer spezialisierten Löschdienstleistung zu belegen.</w:t>
      </w:r>
    </w:p>
    <w:p>
      <w:pPr>
        <w:spacing w:after="120" w:before="120"/>
        <w:jc w:val="left"/>
      </w:pPr>
      <w:r>
        <w:rPr>
          <w:rFonts w:ascii="Arial" w:cs="Arial" w:eastAsia="Arial" w:hAnsi="Arial"/>
          <w:sz w:val="22"/>
          <w:szCs w:val="22"/>
        </w:rPr>
        <w:t xml:space="preserve">6.3 Unterlagen, die der Empfänger aufgrund gesetzlicher Aufbewahrungspflichten nicht vernichten kann, bleiben weiterhin den Geheimhaltungspflichten dieser NDA unterworfen.</w:t>
      </w:r>
    </w:p>
    <w:p>
      <w:pPr>
        <w:pStyle w:val="Heading1"/>
        <w:spacing w:after="180" w:before="360"/>
      </w:pPr>
      <w:r>
        <w:rPr>
          <w:rFonts w:ascii="Arial" w:cs="Arial" w:eastAsia="Arial" w:hAnsi="Arial"/>
          <w:b/>
          <w:bCs/>
          <w:sz w:val="28"/>
          <w:szCs w:val="28"/>
        </w:rPr>
        <w:t xml:space="preserve">§ 7 Laufzeit</w:t>
      </w:r>
    </w:p>
    <w:p>
      <w:pPr>
        <w:spacing w:after="120" w:before="120"/>
        <w:jc w:val="left"/>
      </w:pPr>
      <w:r>
        <w:rPr>
          <w:rFonts w:ascii="Arial" w:cs="Arial" w:eastAsia="Arial" w:hAnsi="Arial"/>
          <w:sz w:val="22"/>
          <w:szCs w:val="22"/>
        </w:rPr>
        <w:t xml:space="preserve">7.1 Diese NDA tritt mit Unterzeichnung in Kraft und gilt für die Dauer der Transaktionsgespräche, mindestens jedoch für 24 Monate ab Unterzeichnung. Bei Abschluss einer Transaktion gelten die Geheimhaltungspflichten für weitere 36 Monate nach deren Vollzug.</w:t>
      </w:r>
    </w:p>
    <w:p>
      <w:pPr>
        <w:pStyle w:val="Heading1"/>
        <w:spacing w:after="180" w:before="360"/>
      </w:pPr>
      <w:r>
        <w:rPr>
          <w:rFonts w:ascii="Arial" w:cs="Arial" w:eastAsia="Arial" w:hAnsi="Arial"/>
          <w:b/>
          <w:bCs/>
          <w:sz w:val="28"/>
          <w:szCs w:val="28"/>
        </w:rPr>
        <w:t xml:space="preserve">§ 8 Vertragsstrafe und Schadensersatz</w:t>
      </w:r>
    </w:p>
    <w:p>
      <w:pPr>
        <w:spacing w:after="120" w:before="120"/>
        <w:jc w:val="left"/>
      </w:pPr>
      <w:r>
        <w:rPr>
          <w:rFonts w:ascii="Arial" w:cs="Arial" w:eastAsia="Arial" w:hAnsi="Arial"/>
          <w:sz w:val="22"/>
          <w:szCs w:val="22"/>
        </w:rPr>
        <w:t xml:space="preserve">8.1 Für jeden Fall einer schuldhaften Verletzung der Geheimhaltungspflichten hat der Empfänger eine Vertragsstrafe von EUR 500.000,-- (in Worten: fünfhunderttausend Euro) an den Offenlegenden zu zahlen. Die Geltendmachung weitergehenden Schadenersatzes bleibt vorbehalten.</w:t>
      </w:r>
    </w:p>
    <w:p>
      <w:pPr>
        <w:spacing w:after="120" w:before="120"/>
        <w:jc w:val="left"/>
      </w:pPr>
      <w:r>
        <w:rPr>
          <w:rFonts w:ascii="Arial" w:cs="Arial" w:eastAsia="Arial" w:hAnsi="Arial"/>
          <w:sz w:val="22"/>
          <w:szCs w:val="22"/>
        </w:rPr>
        <w:t xml:space="preserve">8.2 Der Empfänger erkennt an, dass Vertragsverletzungen zu nicht wiedergutzumachenden Schäden führen können, die durch Geldzahlung nicht hinreichend kompensierbar sind, und stimmt der Berechtigung des Offenlegenden zu, einstweiligen Rechtsschutz und Unterlassungsverfügungen zu beantragen.</w:t>
      </w:r>
    </w:p>
    <w:p>
      <w:pPr>
        <w:pStyle w:val="Heading1"/>
        <w:spacing w:after="180" w:before="360"/>
      </w:pPr>
      <w:r>
        <w:rPr>
          <w:rFonts w:ascii="Arial" w:cs="Arial" w:eastAsia="Arial" w:hAnsi="Arial"/>
          <w:b/>
          <w:bCs/>
          <w:sz w:val="28"/>
          <w:szCs w:val="28"/>
        </w:rPr>
        <w:t xml:space="preserve">§ 9 Keine Verpflichtung zum Vertragsschluss</w:t>
      </w:r>
    </w:p>
    <w:p>
      <w:pPr>
        <w:spacing w:after="120" w:before="120"/>
        <w:jc w:val="left"/>
      </w:pPr>
      <w:r>
        <w:rPr>
          <w:rFonts w:ascii="Arial" w:cs="Arial" w:eastAsia="Arial" w:hAnsi="Arial"/>
          <w:sz w:val="22"/>
          <w:szCs w:val="22"/>
        </w:rPr>
        <w:t xml:space="preserve">9.1 Diese NDA begründet keine Verpflichtung einer Partei, Verhandlungen fortzuführen oder eine Transaktion abzuschließen. Jede Partei kann die Gespräche jederzeit ohne Angabe von Gründen beenden.</w:t>
      </w:r>
    </w:p>
    <w:p>
      <w:pPr>
        <w:spacing w:after="120" w:before="120"/>
        <w:jc w:val="left"/>
      </w:pPr>
      <w:r>
        <w:rPr>
          <w:rFonts w:ascii="Arial" w:cs="Arial" w:eastAsia="Arial" w:hAnsi="Arial"/>
          <w:sz w:val="22"/>
          <w:szCs w:val="22"/>
        </w:rPr>
        <w:t xml:space="preserve">9.2 Diese NDA begründet auch kein Exklusivitätsrecht des Empfängers. Der Offenlegende ist berechtigt, gleichzeitig Gespräche mit anderen Interessenten zu führen.</w:t>
      </w:r>
    </w:p>
    <w:p>
      <w:pPr>
        <w:pStyle w:val="Heading1"/>
        <w:spacing w:after="180" w:before="360"/>
      </w:pPr>
      <w:r>
        <w:rPr>
          <w:rFonts w:ascii="Arial" w:cs="Arial" w:eastAsia="Arial" w:hAnsi="Arial"/>
          <w:b/>
          <w:bCs/>
          <w:sz w:val="28"/>
          <w:szCs w:val="28"/>
        </w:rPr>
        <w:t xml:space="preserve">§ 10 Schlussbestimmungen</w:t>
      </w:r>
    </w:p>
    <w:p>
      <w:pPr>
        <w:spacing w:after="120" w:before="120"/>
        <w:jc w:val="left"/>
      </w:pPr>
      <w:r>
        <w:rPr>
          <w:rFonts w:ascii="Arial" w:cs="Arial" w:eastAsia="Arial" w:hAnsi="Arial"/>
          <w:sz w:val="22"/>
          <w:szCs w:val="22"/>
        </w:rPr>
        <w:t xml:space="preserve">10.1 Diese NDA unterliegt österreichischem Recht. Ausschließlicher Gerichtsstand ist Wien.</w:t>
      </w:r>
    </w:p>
    <w:p>
      <w:pPr>
        <w:spacing w:after="120" w:before="120"/>
        <w:jc w:val="left"/>
      </w:pPr>
      <w:r>
        <w:rPr>
          <w:rFonts w:ascii="Arial" w:cs="Arial" w:eastAsia="Arial" w:hAnsi="Arial"/>
          <w:sz w:val="22"/>
          <w:szCs w:val="22"/>
        </w:rPr>
        <w:t xml:space="preserve">10.2 Änderungen bedürfen der Schriftform und müssen von beiden Parteien unterzeichnet werden.</w:t>
      </w:r>
    </w:p>
    <w:p>
      <w:r>
        <w:t xml:space="preserve"/>
      </w:r>
    </w:p>
    <w:p>
      <w:r>
        <w:t xml:space="preserve"/>
      </w:r>
    </w:p>
    <w:p>
      <w:pPr>
        <w:spacing w:after="120" w:before="120"/>
        <w:jc w:val="left"/>
      </w:pPr>
      <w:r>
        <w:rPr>
          <w:rFonts w:ascii="Arial" w:cs="Arial" w:eastAsia="Arial" w:hAnsi="Arial"/>
          <w:sz w:val="22"/>
          <w:szCs w:val="22"/>
        </w:rPr>
        <w:t xml:space="preserve">Wien / Frankfurt, den ________________________</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Alpha Holdings AG</w:t>
            </w:r>
          </w:p>
          <w:p>
            <w:r>
              <w:rPr>
                <w:rFonts w:ascii="Arial" w:cs="Arial" w:eastAsia="Arial" w:hAnsi="Arial"/>
                <w:i/>
                <w:iCs/>
                <w:sz w:val="20"/>
                <w:szCs w:val="20"/>
              </w:rPr>
              <w:t xml:space="preserve">(Offenlegender)</w:t>
            </w:r>
          </w:p>
        </w:tc>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Beta Private Equity Fund II GmbH &amp; Co KG</w:t>
            </w:r>
          </w:p>
          <w:p>
            <w:r>
              <w:rPr>
                <w:rFonts w:ascii="Arial" w:cs="Arial" w:eastAsia="Arial" w:hAnsi="Arial"/>
                <w:i/>
                <w:iCs/>
                <w:sz w:val="20"/>
                <w:szCs w:val="20"/>
              </w:rPr>
              <w:t xml:space="preserve">(Empfänger)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2026-04-17T09:33:57.432Z</dcterms:created>
  <dcterms:modified xsi:type="dcterms:W3CDTF">2026-04-17T09:33:57.432Z</dcterms:modified>
</cp:coreProperties>
</file>

<file path=docProps/custom.xml><?xml version="1.0" encoding="utf-8"?>
<Properties xmlns="http://schemas.openxmlformats.org/officeDocument/2006/custom-properties" xmlns:vt="http://schemas.openxmlformats.org/officeDocument/2006/docPropsVTypes"/>
</file>