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32"/>
          <w:szCs w:val="32"/>
        </w:rPr>
        <w:t xml:space="preserve">DIENSTLEISTUNGSRAHMENVERTRAG</w:t>
      </w:r>
    </w:p>
    <w:p>
      <w:pPr>
        <w:spacing w:after="480" w:before="0"/>
        <w:jc w:val="center"/>
      </w:pPr>
      <w:r>
        <w:rPr>
          <w:rFonts w:ascii="Arial" w:cs="Arial" w:eastAsia="Arial" w:hAnsi="Arial"/>
          <w:sz w:val="24"/>
          <w:szCs w:val="24"/>
        </w:rPr>
        <w:t xml:space="preserve">für IT-Beratungs- und Implementierungsleistungen</w:t>
      </w:r>
    </w:p>
    <w:p>
      <w:pPr>
        <w:pStyle w:val="Heading1"/>
        <w:spacing w:after="180" w:before="360"/>
      </w:pPr>
      <w:r>
        <w:rPr>
          <w:rFonts w:ascii="Arial" w:cs="Arial" w:eastAsia="Arial" w:hAnsi="Arial"/>
          <w:b/>
          <w:bCs/>
          <w:sz w:val="28"/>
          <w:szCs w:val="28"/>
        </w:rPr>
        <w:t xml:space="preserve">§ 1 Vertragsparteien</w:t>
      </w:r>
    </w:p>
    <w:p>
      <w:pPr>
        <w:spacing w:after="80" w:before="80"/>
      </w:pPr>
      <w:r>
        <w:rPr>
          <w:rFonts w:ascii="Arial" w:cs="Arial" w:eastAsia="Arial" w:hAnsi="Arial"/>
          <w:b/>
          <w:bCs/>
          <w:sz w:val="22"/>
          <w:szCs w:val="22"/>
        </w:rPr>
        <w:t xml:space="preserve">Auftraggeber: </w:t>
      </w:r>
      <w:r>
        <w:rPr>
          <w:rFonts w:ascii="Arial" w:cs="Arial" w:eastAsia="Arial" w:hAnsi="Arial"/>
          <w:sz w:val="22"/>
          <w:szCs w:val="22"/>
        </w:rPr>
        <w:t xml:space="preserve">Global Retail Gruppe GmbH, Mariahilfer Straße 50, 1070 Wien, FN 678901f ("AG")</w:t>
      </w:r>
    </w:p>
    <w:p>
      <w:pPr>
        <w:spacing w:after="80" w:before="80"/>
      </w:pPr>
      <w:r>
        <w:rPr>
          <w:rFonts w:ascii="Arial" w:cs="Arial" w:eastAsia="Arial" w:hAnsi="Arial"/>
          <w:b/>
          <w:bCs/>
          <w:sz w:val="22"/>
          <w:szCs w:val="22"/>
        </w:rPr>
        <w:t xml:space="preserve">Auftragnehmer: </w:t>
      </w:r>
      <w:r>
        <w:rPr>
          <w:rFonts w:ascii="Arial" w:cs="Arial" w:eastAsia="Arial" w:hAnsi="Arial"/>
          <w:sz w:val="22"/>
          <w:szCs w:val="22"/>
        </w:rPr>
        <w:t xml:space="preserve">Digital Transform Partners GmbH, Landstraßer Hauptstraße 1, 1030 Wien, FN 789012g ("AN")</w:t>
      </w:r>
    </w:p>
    <w:p>
      <w:pPr>
        <w:pStyle w:val="Heading1"/>
        <w:spacing w:after="180" w:before="360"/>
      </w:pPr>
      <w:r>
        <w:rPr>
          <w:rFonts w:ascii="Arial" w:cs="Arial" w:eastAsia="Arial" w:hAnsi="Arial"/>
          <w:b/>
          <w:bCs/>
          <w:sz w:val="28"/>
          <w:szCs w:val="28"/>
        </w:rPr>
        <w:t xml:space="preserve">§ 2 Gegenstand des Rahmenvertrages</w:t>
      </w:r>
    </w:p>
    <w:p>
      <w:pPr>
        <w:spacing w:after="120" w:before="120"/>
        <w:jc w:val="left"/>
      </w:pPr>
      <w:r>
        <w:rPr>
          <w:rFonts w:ascii="Arial" w:cs="Arial" w:eastAsia="Arial" w:hAnsi="Arial"/>
          <w:sz w:val="22"/>
          <w:szCs w:val="22"/>
        </w:rPr>
        <w:t xml:space="preserve">2.1 Dieser Rahmenvertrag ("Rahmenvertrag") regelt die allgemeinen Bedingungen für die Erbringung von IT-Beratungs-, Planungs- und Implementierungsleistungen durch den AN für den AG.</w:t>
      </w:r>
    </w:p>
    <w:p>
      <w:pPr>
        <w:spacing w:after="120" w:before="120"/>
        <w:jc w:val="left"/>
      </w:pPr>
      <w:r>
        <w:rPr>
          <w:rFonts w:ascii="Arial" w:cs="Arial" w:eastAsia="Arial" w:hAnsi="Arial"/>
          <w:sz w:val="22"/>
          <w:szCs w:val="22"/>
        </w:rPr>
        <w:t xml:space="preserve">2.2 Konkrete Projekte und Leistungen werden in einzelnen Projektverträgen ("Projektverträge") oder Leistungsscheinen ("Leistungsscheine") vereinbart, die auf diesen Rahmenvertrag Bezug nehmen und dessen Bestandteil werden. Im Zweifelsfall haben die Regelungen des Projektvertrages Vorrang vor diesem Rahmenvertrag.</w:t>
      </w:r>
    </w:p>
    <w:p>
      <w:pPr>
        <w:spacing w:after="120" w:before="120"/>
        <w:jc w:val="left"/>
      </w:pPr>
      <w:r>
        <w:rPr>
          <w:rFonts w:ascii="Arial" w:cs="Arial" w:eastAsia="Arial" w:hAnsi="Arial"/>
          <w:sz w:val="22"/>
          <w:szCs w:val="22"/>
        </w:rPr>
        <w:t xml:space="preserve">2.3 Leistungsschwerpunkte umfassen insbesondere:</w:t>
      </w:r>
    </w:p>
    <w:p>
      <w:pPr>
        <w:pStyle w:val="ListParagraph"/>
        <w:numPr>
          <w:ilvl w:val="0"/>
          <w:numId w:val="2"/>
        </w:numPr>
        <w:spacing w:after="60" w:before="60"/>
      </w:pPr>
      <w:r>
        <w:rPr>
          <w:rFonts w:ascii="Arial" w:cs="Arial" w:eastAsia="Arial" w:hAnsi="Arial"/>
          <w:sz w:val="22"/>
          <w:szCs w:val="22"/>
        </w:rPr>
        <w:t xml:space="preserve">ERP-Implementierung und -Migration (SAP S/4HANA, Microsoft Dynamics 365)</w:t>
      </w:r>
    </w:p>
    <w:p>
      <w:pPr>
        <w:pStyle w:val="ListParagraph"/>
        <w:numPr>
          <w:ilvl w:val="0"/>
          <w:numId w:val="2"/>
        </w:numPr>
        <w:spacing w:after="60" w:before="60"/>
      </w:pPr>
      <w:r>
        <w:rPr>
          <w:rFonts w:ascii="Arial" w:cs="Arial" w:eastAsia="Arial" w:hAnsi="Arial"/>
          <w:sz w:val="22"/>
          <w:szCs w:val="22"/>
        </w:rPr>
        <w:t xml:space="preserve">E-Commerce-Plattformimplementierung (Salesforce Commerce Cloud, Shopify Plus)</w:t>
      </w:r>
    </w:p>
    <w:p>
      <w:pPr>
        <w:pStyle w:val="ListParagraph"/>
        <w:numPr>
          <w:ilvl w:val="0"/>
          <w:numId w:val="2"/>
        </w:numPr>
        <w:spacing w:after="60" w:before="60"/>
      </w:pPr>
      <w:r>
        <w:rPr>
          <w:rFonts w:ascii="Arial" w:cs="Arial" w:eastAsia="Arial" w:hAnsi="Arial"/>
          <w:sz w:val="22"/>
          <w:szCs w:val="22"/>
        </w:rPr>
        <w:t xml:space="preserve">Datenanalyse und Business Intelligence (Azure Synapse, Power BI)</w:t>
      </w:r>
    </w:p>
    <w:p>
      <w:pPr>
        <w:pStyle w:val="ListParagraph"/>
        <w:numPr>
          <w:ilvl w:val="0"/>
          <w:numId w:val="2"/>
        </w:numPr>
        <w:spacing w:after="60" w:before="60"/>
      </w:pPr>
      <w:r>
        <w:rPr>
          <w:rFonts w:ascii="Arial" w:cs="Arial" w:eastAsia="Arial" w:hAnsi="Arial"/>
          <w:sz w:val="22"/>
          <w:szCs w:val="22"/>
        </w:rPr>
        <w:t xml:space="preserve">IT-Architekturberatung und -dokumentation</w:t>
      </w:r>
    </w:p>
    <w:p>
      <w:pPr>
        <w:pStyle w:val="ListParagraph"/>
        <w:numPr>
          <w:ilvl w:val="0"/>
          <w:numId w:val="2"/>
        </w:numPr>
        <w:spacing w:after="60" w:before="60"/>
      </w:pPr>
      <w:r>
        <w:rPr>
          <w:rFonts w:ascii="Arial" w:cs="Arial" w:eastAsia="Arial" w:hAnsi="Arial"/>
          <w:sz w:val="22"/>
          <w:szCs w:val="22"/>
        </w:rPr>
        <w:t xml:space="preserve">Change Management und Anwenderschulungen</w:t>
      </w:r>
    </w:p>
    <w:p>
      <w:pPr>
        <w:pStyle w:val="Heading1"/>
        <w:spacing w:after="180" w:before="360"/>
      </w:pPr>
      <w:r>
        <w:rPr>
          <w:rFonts w:ascii="Arial" w:cs="Arial" w:eastAsia="Arial" w:hAnsi="Arial"/>
          <w:b/>
          <w:bCs/>
          <w:sz w:val="28"/>
          <w:szCs w:val="28"/>
        </w:rPr>
        <w:t xml:space="preserve">§ 3 Leistungserbringung</w:t>
      </w:r>
    </w:p>
    <w:p>
      <w:pPr>
        <w:spacing w:after="120" w:before="120"/>
        <w:jc w:val="left"/>
      </w:pPr>
      <w:r>
        <w:rPr>
          <w:rFonts w:ascii="Arial" w:cs="Arial" w:eastAsia="Arial" w:hAnsi="Arial"/>
          <w:sz w:val="22"/>
          <w:szCs w:val="22"/>
        </w:rPr>
        <w:t xml:space="preserve">3.1 Der AN erbringt seine Leistungen nach dem jeweils aktuellen Stand der Technik und nach den Grundsätzen ordnungsgemäßer Berufsausübung.</w:t>
      </w:r>
    </w:p>
    <w:p>
      <w:pPr>
        <w:spacing w:after="120" w:before="120"/>
        <w:jc w:val="left"/>
      </w:pPr>
      <w:r>
        <w:rPr>
          <w:rFonts w:ascii="Arial" w:cs="Arial" w:eastAsia="Arial" w:hAnsi="Arial"/>
          <w:sz w:val="22"/>
          <w:szCs w:val="22"/>
        </w:rPr>
        <w:t xml:space="preserve">3.2 Für jedes Projekt werden in den jeweiligen Projektverträgen folgende Punkte geregelt:</w:t>
      </w:r>
    </w:p>
    <w:p>
      <w:pPr>
        <w:pStyle w:val="ListParagraph"/>
        <w:numPr>
          <w:ilvl w:val="0"/>
          <w:numId w:val="2"/>
        </w:numPr>
        <w:spacing w:after="60" w:before="60"/>
      </w:pPr>
      <w:r>
        <w:rPr>
          <w:rFonts w:ascii="Arial" w:cs="Arial" w:eastAsia="Arial" w:hAnsi="Arial"/>
          <w:sz w:val="22"/>
          <w:szCs w:val="22"/>
        </w:rPr>
        <w:t xml:space="preserve">Leistungsumfang ("Scope of Work") und Abgrenzung</w:t>
      </w:r>
    </w:p>
    <w:p>
      <w:pPr>
        <w:pStyle w:val="ListParagraph"/>
        <w:numPr>
          <w:ilvl w:val="0"/>
          <w:numId w:val="2"/>
        </w:numPr>
        <w:spacing w:after="60" w:before="60"/>
      </w:pPr>
      <w:r>
        <w:rPr>
          <w:rFonts w:ascii="Arial" w:cs="Arial" w:eastAsia="Arial" w:hAnsi="Arial"/>
          <w:sz w:val="22"/>
          <w:szCs w:val="22"/>
        </w:rPr>
        <w:t xml:space="preserve">Lieferergebnisse ("Deliverables") und deren Qualitätsstandards</w:t>
      </w:r>
    </w:p>
    <w:p>
      <w:pPr>
        <w:pStyle w:val="ListParagraph"/>
        <w:numPr>
          <w:ilvl w:val="0"/>
          <w:numId w:val="2"/>
        </w:numPr>
        <w:spacing w:after="60" w:before="60"/>
      </w:pPr>
      <w:r>
        <w:rPr>
          <w:rFonts w:ascii="Arial" w:cs="Arial" w:eastAsia="Arial" w:hAnsi="Arial"/>
          <w:sz w:val="22"/>
          <w:szCs w:val="22"/>
        </w:rPr>
        <w:t xml:space="preserve">Projektplan mit Meilensteinen und Deadlines</w:t>
      </w:r>
    </w:p>
    <w:p>
      <w:pPr>
        <w:pStyle w:val="ListParagraph"/>
        <w:numPr>
          <w:ilvl w:val="0"/>
          <w:numId w:val="2"/>
        </w:numPr>
        <w:spacing w:after="60" w:before="60"/>
      </w:pPr>
      <w:r>
        <w:rPr>
          <w:rFonts w:ascii="Arial" w:cs="Arial" w:eastAsia="Arial" w:hAnsi="Arial"/>
          <w:sz w:val="22"/>
          <w:szCs w:val="22"/>
        </w:rPr>
        <w:t xml:space="preserve">Ressourceneinsatz und namentliche Benennung von Schlüsselpersonen</w:t>
      </w:r>
    </w:p>
    <w:p>
      <w:pPr>
        <w:pStyle w:val="ListParagraph"/>
        <w:numPr>
          <w:ilvl w:val="0"/>
          <w:numId w:val="2"/>
        </w:numPr>
        <w:spacing w:after="60" w:before="60"/>
      </w:pPr>
      <w:r>
        <w:rPr>
          <w:rFonts w:ascii="Arial" w:cs="Arial" w:eastAsia="Arial" w:hAnsi="Arial"/>
          <w:sz w:val="22"/>
          <w:szCs w:val="22"/>
        </w:rPr>
        <w:t xml:space="preserve">Vergütung (Festpreis oder Time &amp; Material) und Zahlungsplan</w:t>
      </w:r>
    </w:p>
    <w:p>
      <w:pPr>
        <w:spacing w:after="120" w:before="120"/>
        <w:jc w:val="left"/>
      </w:pPr>
      <w:r>
        <w:rPr>
          <w:rFonts w:ascii="Arial" w:cs="Arial" w:eastAsia="Arial" w:hAnsi="Arial"/>
          <w:sz w:val="22"/>
          <w:szCs w:val="22"/>
        </w:rPr>
        <w:t xml:space="preserve">3.3 Änderungen des vereinbarten Leistungsumfangs ("Change Requests") bedürfen der schriftlichen Vereinbarung in einem Change-Request-Dokument. Der AN ist berechtigt, Änderungsbegehren des AG zu bewerten und die zusätzlichen Kosten und Zeitwirkungen zu kommunizieren. Ohne schriftliche Zustimmung beider Parteien werden keine Mehrkosten anerkannt.</w:t>
      </w:r>
    </w:p>
    <w:p>
      <w:pPr>
        <w:pStyle w:val="Heading1"/>
        <w:spacing w:after="180" w:before="360"/>
      </w:pPr>
      <w:r>
        <w:rPr>
          <w:rFonts w:ascii="Arial" w:cs="Arial" w:eastAsia="Arial" w:hAnsi="Arial"/>
          <w:b/>
          <w:bCs/>
          <w:sz w:val="28"/>
          <w:szCs w:val="28"/>
        </w:rPr>
        <w:t xml:space="preserve">§ 4 Personal und Unterbeauftragung</w:t>
      </w:r>
    </w:p>
    <w:p>
      <w:pPr>
        <w:spacing w:after="120" w:before="120"/>
        <w:jc w:val="left"/>
      </w:pPr>
      <w:r>
        <w:rPr>
          <w:rFonts w:ascii="Arial" w:cs="Arial" w:eastAsia="Arial" w:hAnsi="Arial"/>
          <w:sz w:val="22"/>
          <w:szCs w:val="22"/>
        </w:rPr>
        <w:t xml:space="preserve">4.1 Der AN setzt für die Erbringung seiner Leistungen qualifiziertes Fachpersonal ein. Schlüsselpersonen, die im jeweiligen Projektvertrag namentlich benannt sind, können nur mit Zustimmung des AG ausgetauscht werden.</w:t>
      </w:r>
    </w:p>
    <w:p>
      <w:pPr>
        <w:spacing w:after="120" w:before="120"/>
        <w:jc w:val="left"/>
      </w:pPr>
      <w:r>
        <w:rPr>
          <w:rFonts w:ascii="Arial" w:cs="Arial" w:eastAsia="Arial" w:hAnsi="Arial"/>
          <w:sz w:val="22"/>
          <w:szCs w:val="22"/>
        </w:rPr>
        <w:t xml:space="preserve">4.2 Im Falle eines unvorhergesehenen Ausfalls einer Schlüsselperson ist der AN berechtigt, eine gleichwertige Ersatzperson einzusetzen, über die der AG innerhalb von 5 Werktagen informiert werden muss. Der AG kann den Vorschlag aus sachlich begründeten Gründen ablehnen.</w:t>
      </w:r>
    </w:p>
    <w:p>
      <w:pPr>
        <w:spacing w:after="120" w:before="120"/>
        <w:jc w:val="left"/>
      </w:pPr>
      <w:r>
        <w:rPr>
          <w:rFonts w:ascii="Arial" w:cs="Arial" w:eastAsia="Arial" w:hAnsi="Arial"/>
          <w:sz w:val="22"/>
          <w:szCs w:val="22"/>
        </w:rPr>
        <w:t xml:space="preserve">4.3 Die Hinzuziehung von Subunternehmern bedarf der vorherigen schriftlichen Zustimmung des AG. Der AN haftet für die Leistungen seiner Subunternehmer wie für eigene Leistungen. Die Subunternehmer sind auf dieselben Datenschutz- und Geheimhaltungspflichten zu verpflichten wie der AN selbst.</w:t>
      </w:r>
    </w:p>
    <w:p>
      <w:pPr>
        <w:pStyle w:val="Heading1"/>
        <w:spacing w:after="180" w:before="360"/>
      </w:pPr>
      <w:r>
        <w:rPr>
          <w:rFonts w:ascii="Arial" w:cs="Arial" w:eastAsia="Arial" w:hAnsi="Arial"/>
          <w:b/>
          <w:bCs/>
          <w:sz w:val="28"/>
          <w:szCs w:val="28"/>
        </w:rPr>
        <w:t xml:space="preserve">§ 5 Vergütung</w:t>
      </w:r>
    </w:p>
    <w:p>
      <w:pPr>
        <w:spacing w:after="120" w:before="120"/>
        <w:jc w:val="left"/>
      </w:pPr>
      <w:r>
        <w:rPr>
          <w:rFonts w:ascii="Arial" w:cs="Arial" w:eastAsia="Arial" w:hAnsi="Arial"/>
          <w:sz w:val="22"/>
          <w:szCs w:val="22"/>
        </w:rPr>
        <w:t xml:space="preserve">5.1 Time &amp; Material: Soweit nicht im Projektvertrag ein Festpreis vereinbart ist, werden Leistungen nach tatsächlich aufgewendeter Zeit auf Basis folgender Tagessätze abgerechnet: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AAAAAA" w:sz="1"/>
              <w:left w:val="single" w:color="AAAAAA" w:sz="1"/>
              <w:bottom w:val="single" w:color="AAAAAA" w:sz="1"/>
              <w:right w:val="single" w:color="AAAAAA" w:sz="1"/>
            </w:tcBorders>
            <w:shd w:fill="1A535C" w:val="clear"/>
            <w:tcMar>
              <w:top w:type="dxa" w:w="100"/>
              <w:left w:type="dxa" w:w="150"/>
              <w:bottom w:type="dxa" w:w="100"/>
              <w:right w:type="dxa" w:w="150"/>
            </w:tcMar>
          </w:tcPr>
          <w:p>
            <w:r>
              <w:rPr>
                <w:rFonts w:ascii="Arial" w:cs="Arial" w:eastAsia="Arial" w:hAnsi="Arial"/>
                <w:b/>
                <w:bCs/>
                <w:color w:val="FFFFFF"/>
                <w:sz w:val="22"/>
                <w:szCs w:val="22"/>
              </w:rPr>
              <w:t xml:space="preserve">Rolle</w:t>
            </w:r>
          </w:p>
        </w:tc>
        <w:tc>
          <w:tcPr>
            <w:tcW w:type="dxa" w:w="2256"/>
            <w:tcBorders>
              <w:top w:val="single" w:color="AAAAAA" w:sz="1"/>
              <w:left w:val="single" w:color="AAAAAA" w:sz="1"/>
              <w:bottom w:val="single" w:color="AAAAAA" w:sz="1"/>
              <w:right w:val="single" w:color="AAAAAA" w:sz="1"/>
            </w:tcBorders>
            <w:shd w:fill="1A535C" w:val="clear"/>
            <w:tcMar>
              <w:top w:type="dxa" w:w="100"/>
              <w:left w:type="dxa" w:w="150"/>
              <w:bottom w:type="dxa" w:w="100"/>
              <w:right w:type="dxa" w:w="150"/>
            </w:tcMar>
          </w:tcPr>
          <w:p>
            <w:r>
              <w:rPr>
                <w:rFonts w:ascii="Arial" w:cs="Arial" w:eastAsia="Arial" w:hAnsi="Arial"/>
                <w:b/>
                <w:bCs/>
                <w:color w:val="FFFFFF"/>
                <w:sz w:val="22"/>
                <w:szCs w:val="22"/>
              </w:rPr>
              <w:t xml:space="preserve">Tagessatz (8h)</w:t>
            </w:r>
          </w:p>
        </w:tc>
        <w:tc>
          <w:tcPr>
            <w:tcW w:type="dxa" w:w="2257"/>
            <w:tcBorders>
              <w:top w:val="single" w:color="AAAAAA" w:sz="1"/>
              <w:left w:val="single" w:color="AAAAAA" w:sz="1"/>
              <w:bottom w:val="single" w:color="AAAAAA" w:sz="1"/>
              <w:right w:val="single" w:color="AAAAAA" w:sz="1"/>
            </w:tcBorders>
            <w:shd w:fill="1A535C" w:val="clear"/>
            <w:tcMar>
              <w:top w:type="dxa" w:w="100"/>
              <w:left w:type="dxa" w:w="150"/>
              <w:bottom w:type="dxa" w:w="100"/>
              <w:right w:type="dxa" w:w="150"/>
            </w:tcMar>
          </w:tcPr>
          <w:p>
            <w:r>
              <w:rPr>
                <w:rFonts w:ascii="Arial" w:cs="Arial" w:eastAsia="Arial" w:hAnsi="Arial"/>
                <w:b/>
                <w:bCs/>
                <w:color w:val="FFFFFF"/>
                <w:sz w:val="22"/>
                <w:szCs w:val="22"/>
              </w:rPr>
              <w:t xml:space="preserve">Stundensatz</w:t>
            </w:r>
          </w:p>
        </w:tc>
      </w:tr>
      <w:tr>
        <w:tc>
          <w:tcPr>
            <w:tcW w:type="dxa" w:w="4513"/>
            <w:tcBorders>
              <w:top w:val="single" w:color="AAAAAA" w:sz="1"/>
              <w:left w:val="single" w:color="AAAAAA" w:sz="1"/>
              <w:bottom w:val="single" w:color="AAAAAA" w:sz="1"/>
              <w:right w:val="single" w:color="AAAAAA" w:sz="1"/>
            </w:tcBorders>
            <w:tcMar>
              <w:top w:type="dxa" w:w="100"/>
              <w:left w:type="dxa" w:w="150"/>
              <w:bottom w:type="dxa" w:w="100"/>
              <w:right w:type="dxa" w:w="150"/>
            </w:tcMar>
          </w:tcPr>
          <w:p>
            <w:r>
              <w:rPr>
                <w:rFonts w:ascii="Arial" w:cs="Arial" w:eastAsia="Arial" w:hAnsi="Arial"/>
                <w:sz w:val="22"/>
                <w:szCs w:val="22"/>
              </w:rPr>
              <w:t xml:space="preserve">Senior Partner / Principal Consultant</w:t>
            </w:r>
          </w:p>
        </w:tc>
        <w:tc>
          <w:tcPr>
            <w:tcW w:type="dxa" w:w="2256"/>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€ 2.400,00</w:t>
            </w:r>
          </w:p>
        </w:tc>
        <w:tc>
          <w:tcPr>
            <w:tcW w:type="dxa" w:w="2257"/>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€ 300,00</w:t>
            </w:r>
          </w:p>
        </w:tc>
      </w:tr>
      <w:tr>
        <w:tc>
          <w:tcPr>
            <w:tcW w:type="dxa" w:w="4513"/>
            <w:tcBorders>
              <w:top w:val="single" w:color="AAAAAA" w:sz="1"/>
              <w:left w:val="single" w:color="AAAAAA" w:sz="1"/>
              <w:bottom w:val="single" w:color="AAAAAA" w:sz="1"/>
              <w:right w:val="single" w:color="AAAAAA" w:sz="1"/>
            </w:tcBorders>
            <w:tcMar>
              <w:top w:type="dxa" w:w="100"/>
              <w:left w:type="dxa" w:w="150"/>
              <w:bottom w:type="dxa" w:w="100"/>
              <w:right w:type="dxa" w:w="150"/>
            </w:tcMar>
          </w:tcPr>
          <w:p>
            <w:r>
              <w:rPr>
                <w:rFonts w:ascii="Arial" w:cs="Arial" w:eastAsia="Arial" w:hAnsi="Arial"/>
                <w:sz w:val="22"/>
                <w:szCs w:val="22"/>
              </w:rPr>
              <w:t xml:space="preserve">Senior Consultant / Solution Architect</w:t>
            </w:r>
          </w:p>
        </w:tc>
        <w:tc>
          <w:tcPr>
            <w:tcW w:type="dxa" w:w="2256"/>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€ 1.920,00</w:t>
            </w:r>
          </w:p>
        </w:tc>
        <w:tc>
          <w:tcPr>
            <w:tcW w:type="dxa" w:w="2257"/>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€ 240,00</w:t>
            </w:r>
          </w:p>
        </w:tc>
      </w:tr>
      <w:tr>
        <w:tc>
          <w:tcPr>
            <w:tcW w:type="dxa" w:w="4513"/>
            <w:tcBorders>
              <w:top w:val="single" w:color="AAAAAA" w:sz="1"/>
              <w:left w:val="single" w:color="AAAAAA" w:sz="1"/>
              <w:bottom w:val="single" w:color="AAAAAA" w:sz="1"/>
              <w:right w:val="single" w:color="AAAAAA" w:sz="1"/>
            </w:tcBorders>
            <w:tcMar>
              <w:top w:type="dxa" w:w="100"/>
              <w:left w:type="dxa" w:w="150"/>
              <w:bottom w:type="dxa" w:w="100"/>
              <w:right w:type="dxa" w:w="150"/>
            </w:tcMar>
          </w:tcPr>
          <w:p>
            <w:r>
              <w:rPr>
                <w:rFonts w:ascii="Arial" w:cs="Arial" w:eastAsia="Arial" w:hAnsi="Arial"/>
                <w:sz w:val="22"/>
                <w:szCs w:val="22"/>
              </w:rPr>
              <w:t xml:space="preserve">Consultant / Entwickler (Senior)</w:t>
            </w:r>
          </w:p>
        </w:tc>
        <w:tc>
          <w:tcPr>
            <w:tcW w:type="dxa" w:w="2256"/>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€ 1.440,00</w:t>
            </w:r>
          </w:p>
        </w:tc>
        <w:tc>
          <w:tcPr>
            <w:tcW w:type="dxa" w:w="2257"/>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€ 180,00</w:t>
            </w:r>
          </w:p>
        </w:tc>
      </w:tr>
      <w:tr>
        <w:tc>
          <w:tcPr>
            <w:tcW w:type="dxa" w:w="4513"/>
            <w:tcBorders>
              <w:top w:val="single" w:color="AAAAAA" w:sz="1"/>
              <w:left w:val="single" w:color="AAAAAA" w:sz="1"/>
              <w:bottom w:val="single" w:color="AAAAAA" w:sz="1"/>
              <w:right w:val="single" w:color="AAAAAA" w:sz="1"/>
            </w:tcBorders>
            <w:tcMar>
              <w:top w:type="dxa" w:w="100"/>
              <w:left w:type="dxa" w:w="150"/>
              <w:bottom w:type="dxa" w:w="100"/>
              <w:right w:type="dxa" w:w="150"/>
            </w:tcMar>
          </w:tcPr>
          <w:p>
            <w:r>
              <w:rPr>
                <w:rFonts w:ascii="Arial" w:cs="Arial" w:eastAsia="Arial" w:hAnsi="Arial"/>
                <w:sz w:val="22"/>
                <w:szCs w:val="22"/>
              </w:rPr>
              <w:t xml:space="preserve">Consultant / Entwickler (Junior)</w:t>
            </w:r>
          </w:p>
        </w:tc>
        <w:tc>
          <w:tcPr>
            <w:tcW w:type="dxa" w:w="2256"/>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€ 960,00</w:t>
            </w:r>
          </w:p>
        </w:tc>
        <w:tc>
          <w:tcPr>
            <w:tcW w:type="dxa" w:w="2257"/>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€ 120,00</w:t>
            </w:r>
          </w:p>
        </w:tc>
      </w:tr>
      <w:tr>
        <w:tc>
          <w:tcPr>
            <w:tcW w:type="dxa" w:w="4513"/>
            <w:tcBorders>
              <w:top w:val="single" w:color="AAAAAA" w:sz="1"/>
              <w:left w:val="single" w:color="AAAAAA" w:sz="1"/>
              <w:bottom w:val="single" w:color="AAAAAA" w:sz="1"/>
              <w:right w:val="single" w:color="AAAAAA" w:sz="1"/>
            </w:tcBorders>
            <w:tcMar>
              <w:top w:type="dxa" w:w="100"/>
              <w:left w:type="dxa" w:w="150"/>
              <w:bottom w:type="dxa" w:w="100"/>
              <w:right w:type="dxa" w:w="150"/>
            </w:tcMar>
          </w:tcPr>
          <w:p>
            <w:r>
              <w:rPr>
                <w:rFonts w:ascii="Arial" w:cs="Arial" w:eastAsia="Arial" w:hAnsi="Arial"/>
                <w:sz w:val="22"/>
                <w:szCs w:val="22"/>
              </w:rPr>
              <w:t xml:space="preserve">Projektmanager (zertifiziert PMP/IPMA)</w:t>
            </w:r>
          </w:p>
        </w:tc>
        <w:tc>
          <w:tcPr>
            <w:tcW w:type="dxa" w:w="2256"/>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€ 1.680,00</w:t>
            </w:r>
          </w:p>
        </w:tc>
        <w:tc>
          <w:tcPr>
            <w:tcW w:type="dxa" w:w="2257"/>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€ 210,00</w:t>
            </w:r>
          </w:p>
        </w:tc>
      </w:tr>
    </w:tbl>
    <w:p>
      <w:r>
        <w:t xml:space="preserve"/>
      </w:r>
    </w:p>
    <w:p>
      <w:pPr>
        <w:spacing w:after="120" w:before="120"/>
        <w:jc w:val="left"/>
      </w:pPr>
      <w:r>
        <w:rPr>
          <w:rFonts w:ascii="Arial" w:cs="Arial" w:eastAsia="Arial" w:hAnsi="Arial"/>
          <w:sz w:val="22"/>
          <w:szCs w:val="22"/>
        </w:rPr>
        <w:t xml:space="preserve">5.2 Die Tagessätze gelten für eine Arbeitsleistung von 8 Stunden. Reisezeiten werden zu 50% des Stundensatzes abgerechnet, sofern im Projektvertrag nichts anderes vereinbart wurde.</w:t>
      </w:r>
    </w:p>
    <w:p>
      <w:pPr>
        <w:spacing w:after="120" w:before="120"/>
        <w:jc w:val="left"/>
      </w:pPr>
      <w:r>
        <w:rPr>
          <w:rFonts w:ascii="Arial" w:cs="Arial" w:eastAsia="Arial" w:hAnsi="Arial"/>
          <w:sz w:val="22"/>
          <w:szCs w:val="22"/>
        </w:rPr>
        <w:t xml:space="preserve">5.3 Auslagen (Reise, Unterkunft, Verpflegung) werden nach tatsächlichem Aufwand erstattet. Flüge sind in der Economy-Class zu buchen; Hotels müssen vorab vom AG genehmigt werden, wenn der Übernachtungssatz EUR 200,-- übersteigt.</w:t>
      </w:r>
    </w:p>
    <w:p>
      <w:pPr>
        <w:spacing w:after="120" w:before="120"/>
        <w:jc w:val="left"/>
      </w:pPr>
      <w:r>
        <w:rPr>
          <w:rFonts w:ascii="Arial" w:cs="Arial" w:eastAsia="Arial" w:hAnsi="Arial"/>
          <w:sz w:val="22"/>
          <w:szCs w:val="22"/>
        </w:rPr>
        <w:t xml:space="preserve">5.4 Rechnungen sind monatlich zu stellen und innerhalb von 30 Tagen nach Eingang beim AG zahlbar. Bei begründetem Widerspruch ist der AN unverzüglich zu informieren; die unstrittige Rechnungssumme ist dennoch fristgerecht zu begleichen.</w:t>
      </w:r>
    </w:p>
    <w:p>
      <w:pPr>
        <w:spacing w:after="120" w:before="120"/>
        <w:jc w:val="left"/>
      </w:pPr>
      <w:r>
        <w:rPr>
          <w:rFonts w:ascii="Arial" w:cs="Arial" w:eastAsia="Arial" w:hAnsi="Arial"/>
          <w:sz w:val="22"/>
          <w:szCs w:val="22"/>
        </w:rPr>
        <w:t xml:space="preserve">5.5 Die Tagessätze gemäß Punkt 5.1 werden jährlich zum 1. Jänner an den VPI 2020-Index angepasst, maximal um 4% p.a.</w:t>
      </w:r>
    </w:p>
    <w:p>
      <w:pPr>
        <w:pStyle w:val="Heading1"/>
        <w:spacing w:after="180" w:before="360"/>
      </w:pPr>
      <w:r>
        <w:rPr>
          <w:rFonts w:ascii="Arial" w:cs="Arial" w:eastAsia="Arial" w:hAnsi="Arial"/>
          <w:b/>
          <w:bCs/>
          <w:sz w:val="28"/>
          <w:szCs w:val="28"/>
        </w:rPr>
        <w:t xml:space="preserve">§ 6 Abnahme und Gewährleistung</w:t>
      </w:r>
    </w:p>
    <w:p>
      <w:pPr>
        <w:spacing w:after="120" w:before="120"/>
        <w:jc w:val="left"/>
      </w:pPr>
      <w:r>
        <w:rPr>
          <w:rFonts w:ascii="Arial" w:cs="Arial" w:eastAsia="Arial" w:hAnsi="Arial"/>
          <w:sz w:val="22"/>
          <w:szCs w:val="22"/>
        </w:rPr>
        <w:t xml:space="preserve">6.1 Lieferergebnisse werden gemäß dem im Projektvertrag definierten Abnahmeprotokoll geprüft. Der AG hat innerhalb von 10 Werktagen nach Lieferung schriftlich die Abnahme zu erklären oder begründete Mängelrüge zu erheben. Erfolgt keine Rückmeldung, gilt das Lieferergebnis als abgenommen.</w:t>
      </w:r>
    </w:p>
    <w:p>
      <w:pPr>
        <w:spacing w:after="120" w:before="120"/>
        <w:jc w:val="left"/>
      </w:pPr>
      <w:r>
        <w:rPr>
          <w:rFonts w:ascii="Arial" w:cs="Arial" w:eastAsia="Arial" w:hAnsi="Arial"/>
          <w:sz w:val="22"/>
          <w:szCs w:val="22"/>
        </w:rPr>
        <w:t xml:space="preserve">6.2 Bei begründeter Mängelrüge hat der AN innerhalb von 5 Werktagen einen Korrekturplan vorzulegen und die Mängel in einem angemessenen Zeitraum, maximal jedoch 30 Werktage, zu beheben.</w:t>
      </w:r>
    </w:p>
    <w:p>
      <w:pPr>
        <w:spacing w:after="120" w:before="120"/>
        <w:jc w:val="left"/>
      </w:pPr>
      <w:r>
        <w:rPr>
          <w:rFonts w:ascii="Arial" w:cs="Arial" w:eastAsia="Arial" w:hAnsi="Arial"/>
          <w:sz w:val="22"/>
          <w:szCs w:val="22"/>
        </w:rPr>
        <w:t xml:space="preserve">6.3 Die Gewährleistungsfrist beträgt 12 Monate ab förmlicher Abnahme des jeweiligen Lieferergebnisses.</w:t>
      </w:r>
    </w:p>
    <w:p>
      <w:pPr>
        <w:pStyle w:val="Heading1"/>
        <w:spacing w:after="180" w:before="360"/>
      </w:pPr>
      <w:r>
        <w:rPr>
          <w:rFonts w:ascii="Arial" w:cs="Arial" w:eastAsia="Arial" w:hAnsi="Arial"/>
          <w:b/>
          <w:bCs/>
          <w:sz w:val="28"/>
          <w:szCs w:val="28"/>
        </w:rPr>
        <w:t xml:space="preserve">§ 7 Geistiges Eigentum</w:t>
      </w:r>
    </w:p>
    <w:p>
      <w:pPr>
        <w:spacing w:after="120" w:before="120"/>
        <w:jc w:val="left"/>
      </w:pPr>
      <w:r>
        <w:rPr>
          <w:rFonts w:ascii="Arial" w:cs="Arial" w:eastAsia="Arial" w:hAnsi="Arial"/>
          <w:sz w:val="22"/>
          <w:szCs w:val="22"/>
        </w:rPr>
        <w:t xml:space="preserve">7.1 Alle im Rahmen dieses Vertrages und der Projektverträge erstellten Arbeitsergebnisse, insbesondere Software, Dokumentationen, Konzepte und Analysen ("Arbeitsergebnisse"), werden mit ihrer Erstellung und vollständiger Bezahlung Eigentum des AG.</w:t>
      </w:r>
    </w:p>
    <w:p>
      <w:pPr>
        <w:spacing w:after="120" w:before="120"/>
        <w:jc w:val="left"/>
      </w:pPr>
      <w:r>
        <w:rPr>
          <w:rFonts w:ascii="Arial" w:cs="Arial" w:eastAsia="Arial" w:hAnsi="Arial"/>
          <w:sz w:val="22"/>
          <w:szCs w:val="22"/>
        </w:rPr>
        <w:t xml:space="preserve">7.2 Ausgenommen sind allgemeine Methoden, Werkzeuge, Frameworks und Know-How des AN ("AN-Hintergrundwissen"), die nicht spezifisch für den AG entwickelt wurden. Der AN räumt dem AG ein nicht-ausschließliches Nutzungsrecht an solchem AN-Hintergrundwissen ein, soweit es in den Arbeitsergebnissen enthalten ist und für deren Nutzung erforderlich ist.</w:t>
      </w:r>
    </w:p>
    <w:p>
      <w:pPr>
        <w:pStyle w:val="Heading1"/>
        <w:spacing w:after="180" w:before="360"/>
      </w:pPr>
      <w:r>
        <w:rPr>
          <w:rFonts w:ascii="Arial" w:cs="Arial" w:eastAsia="Arial" w:hAnsi="Arial"/>
          <w:b/>
          <w:bCs/>
          <w:sz w:val="28"/>
          <w:szCs w:val="28"/>
        </w:rPr>
        <w:t xml:space="preserve">§ 8 Laufzeit des Rahmenvertrages</w:t>
      </w:r>
    </w:p>
    <w:p>
      <w:pPr>
        <w:spacing w:after="120" w:before="120"/>
        <w:jc w:val="left"/>
      </w:pPr>
      <w:r>
        <w:rPr>
          <w:rFonts w:ascii="Arial" w:cs="Arial" w:eastAsia="Arial" w:hAnsi="Arial"/>
          <w:sz w:val="22"/>
          <w:szCs w:val="22"/>
        </w:rPr>
        <w:t xml:space="preserve">8.1 Dieser Rahmenvertrag tritt mit Unterzeichnung in Kraft und läuft auf unbestimmte Zeit. Er kann von beiden Parteien mit einer Frist von 6 Monaten zum Ende eines Kalenderquartals gekündigt werden.</w:t>
      </w:r>
    </w:p>
    <w:p>
      <w:pPr>
        <w:spacing w:after="120" w:before="120"/>
        <w:jc w:val="left"/>
      </w:pPr>
      <w:r>
        <w:rPr>
          <w:rFonts w:ascii="Arial" w:cs="Arial" w:eastAsia="Arial" w:hAnsi="Arial"/>
          <w:sz w:val="22"/>
          <w:szCs w:val="22"/>
        </w:rPr>
        <w:t xml:space="preserve">8.2 Eine Kündigung des Rahmenvertrages berührt nicht die Gültigkeit und Wirksamkeit bereits abgeschlossener Projektverträge, die nach den jeweiligen Regelungen zu Ende geführt werden.</w:t>
      </w:r>
    </w:p>
    <w:p>
      <w:pPr>
        <w:pStyle w:val="Heading1"/>
        <w:spacing w:after="180" w:before="360"/>
      </w:pPr>
      <w:r>
        <w:rPr>
          <w:rFonts w:ascii="Arial" w:cs="Arial" w:eastAsia="Arial" w:hAnsi="Arial"/>
          <w:b/>
          <w:bCs/>
          <w:sz w:val="28"/>
          <w:szCs w:val="28"/>
        </w:rPr>
        <w:t xml:space="preserve">§ 9 Haftungsbegrenzung</w:t>
      </w:r>
    </w:p>
    <w:p>
      <w:pPr>
        <w:spacing w:after="120" w:before="120"/>
        <w:jc w:val="left"/>
      </w:pPr>
      <w:r>
        <w:rPr>
          <w:rFonts w:ascii="Arial" w:cs="Arial" w:eastAsia="Arial" w:hAnsi="Arial"/>
          <w:sz w:val="22"/>
          <w:szCs w:val="22"/>
        </w:rPr>
        <w:t xml:space="preserve">9.1 Die Gesamthaftung des AN aus diesem Rahmenvertrag und allen Projektverträgen ist auf den Wert des betreffenden Projektvertrages, maximal jedoch EUR 2.000.000,--, begrenzt.</w:t>
      </w:r>
    </w:p>
    <w:p>
      <w:pPr>
        <w:spacing w:after="120" w:before="120"/>
        <w:jc w:val="left"/>
      </w:pPr>
      <w:r>
        <w:rPr>
          <w:rFonts w:ascii="Arial" w:cs="Arial" w:eastAsia="Arial" w:hAnsi="Arial"/>
          <w:sz w:val="22"/>
          <w:szCs w:val="22"/>
        </w:rPr>
        <w:t xml:space="preserve">9.2 Für mittelbare Schäden, Folgeschäden und entgangenen Gewinn haftet der AN nur bei Vorsatz.</w:t>
      </w:r>
    </w:p>
    <w:p>
      <w:pPr>
        <w:spacing w:after="120" w:before="120"/>
        <w:jc w:val="left"/>
      </w:pPr>
      <w:r>
        <w:rPr>
          <w:rFonts w:ascii="Arial" w:cs="Arial" w:eastAsia="Arial" w:hAnsi="Arial"/>
          <w:sz w:val="22"/>
          <w:szCs w:val="22"/>
        </w:rPr>
        <w:t xml:space="preserve">9.3 Diese Haftungsbegrenzung gilt nicht für Personenschäden, Schäden durch grobe Fahrlässigkeit oder vorsätzliches Verhalten.</w:t>
      </w:r>
    </w:p>
    <w:p>
      <w:pPr>
        <w:pStyle w:val="Heading1"/>
        <w:spacing w:after="180" w:before="360"/>
      </w:pPr>
      <w:r>
        <w:rPr>
          <w:rFonts w:ascii="Arial" w:cs="Arial" w:eastAsia="Arial" w:hAnsi="Arial"/>
          <w:b/>
          <w:bCs/>
          <w:sz w:val="28"/>
          <w:szCs w:val="28"/>
        </w:rPr>
        <w:t xml:space="preserve">§ 10 Schlussbestimmungen</w:t>
      </w:r>
    </w:p>
    <w:p>
      <w:pPr>
        <w:spacing w:after="120" w:before="120"/>
        <w:jc w:val="left"/>
      </w:pPr>
      <w:r>
        <w:rPr>
          <w:rFonts w:ascii="Arial" w:cs="Arial" w:eastAsia="Arial" w:hAnsi="Arial"/>
          <w:sz w:val="22"/>
          <w:szCs w:val="22"/>
        </w:rPr>
        <w:t xml:space="preserve">10.1 Auf diesen Vertrag findet österreichisches Recht Anwendung. Gerichtsstand ist Wien.</w:t>
      </w:r>
    </w:p>
    <w:p>
      <w:pPr>
        <w:spacing w:after="120" w:before="120"/>
        <w:jc w:val="left"/>
      </w:pPr>
      <w:r>
        <w:rPr>
          <w:rFonts w:ascii="Arial" w:cs="Arial" w:eastAsia="Arial" w:hAnsi="Arial"/>
          <w:sz w:val="22"/>
          <w:szCs w:val="22"/>
        </w:rPr>
        <w:t xml:space="preserve">10.2 Salvatorische Klausel: Sollten einzelne Bestimmungen dieses Vertrages unwirksam sein, berührt dies die Wirksamkeit der übrigen Bestimmungen nicht. Die unwirksame Bestimmung ist durch eine rechtlich wirksame Regelung zu ersetzen, die dem wirtschaftlichen Zweck der unwirksamen Bestimmung möglichst nahekommt.</w:t>
      </w:r>
    </w:p>
    <w:p>
      <w:r>
        <w:t xml:space="preserve"/>
      </w:r>
    </w:p>
    <w:p>
      <w:r>
        <w:t xml:space="preserve"/>
      </w:r>
    </w:p>
    <w:p>
      <w:pPr>
        <w:spacing w:after="120" w:before="120"/>
        <w:jc w:val="left"/>
      </w:pPr>
      <w:r>
        <w:rPr>
          <w:rFonts w:ascii="Arial" w:cs="Arial" w:eastAsia="Arial" w:hAnsi="Arial"/>
          <w:sz w:val="22"/>
          <w:szCs w:val="22"/>
        </w:rPr>
        <w:t xml:space="preserve">Wien, den ________________________</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single" w:color="AAAAAA" w:sz="1"/>
              <w:right w:val="none"/>
            </w:tcBorders>
            <w:tcMar>
              <w:top w:type="dxa" w:w="100"/>
              <w:left w:type="dxa" w:w="150"/>
              <w:bottom w:type="dxa" w:w="100"/>
              <w:right w:type="dxa" w:w="150"/>
            </w:tcMar>
          </w:tcPr>
          <w:p>
            <w:pPr>
              <w:spacing w:before="480"/>
            </w:pPr>
            <w:r>
              <w:rPr>
                <w:rFonts w:ascii="Arial" w:cs="Arial" w:eastAsia="Arial" w:hAnsi="Arial"/>
                <w:sz w:val="22"/>
                <w:szCs w:val="22"/>
              </w:rPr>
              <w:t xml:space="preserve">Global Retail Gruppe GmbH</w:t>
            </w:r>
          </w:p>
          <w:p>
            <w:r>
              <w:rPr>
                <w:rFonts w:ascii="Arial" w:cs="Arial" w:eastAsia="Arial" w:hAnsi="Arial"/>
                <w:i/>
                <w:iCs/>
                <w:sz w:val="20"/>
                <w:szCs w:val="20"/>
              </w:rPr>
              <w:t xml:space="preserve">(Auftraggeber)</w:t>
            </w:r>
          </w:p>
        </w:tc>
        <w:tc>
          <w:tcPr>
            <w:tcW w:type="dxa" w:w="4513"/>
            <w:tcBorders>
              <w:top w:val="none"/>
              <w:left w:val="none"/>
              <w:bottom w:val="single" w:color="AAAAAA" w:sz="1"/>
              <w:right w:val="none"/>
            </w:tcBorders>
            <w:tcMar>
              <w:top w:type="dxa" w:w="100"/>
              <w:left w:type="dxa" w:w="150"/>
              <w:bottom w:type="dxa" w:w="100"/>
              <w:right w:type="dxa" w:w="150"/>
            </w:tcMar>
          </w:tcPr>
          <w:p>
            <w:pPr>
              <w:spacing w:before="480"/>
            </w:pPr>
            <w:r>
              <w:rPr>
                <w:rFonts w:ascii="Arial" w:cs="Arial" w:eastAsia="Arial" w:hAnsi="Arial"/>
                <w:sz w:val="22"/>
                <w:szCs w:val="22"/>
              </w:rPr>
              <w:t xml:space="preserve">Digital Transform Partners GmbH</w:t>
            </w:r>
          </w:p>
          <w:p>
            <w:r>
              <w:rPr>
                <w:rFonts w:ascii="Arial" w:cs="Arial" w:eastAsia="Arial" w:hAnsi="Arial"/>
                <w:i/>
                <w:iCs/>
                <w:sz w:val="20"/>
                <w:szCs w:val="20"/>
              </w:rPr>
              <w:t xml:space="preserve">(Auftragnehmer)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2026-04-17T09:33:57.437Z</dcterms:created>
  <dcterms:modified xsi:type="dcterms:W3CDTF">2026-04-17T09:33:57.437Z</dcterms:modified>
</cp:coreProperties>
</file>

<file path=docProps/custom.xml><?xml version="1.0" encoding="utf-8"?>
<Properties xmlns="http://schemas.openxmlformats.org/officeDocument/2006/custom-properties" xmlns:vt="http://schemas.openxmlformats.org/officeDocument/2006/docPropsVTypes"/>
</file>