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32"/>
          <w:szCs w:val="32"/>
        </w:rPr>
        <w:t xml:space="preserve">SOFTWARELIZENZ- UND WARTUNGSVERTRAG</w:t>
      </w:r>
    </w:p>
    <w:p>
      <w:pPr>
        <w:spacing w:after="480" w:before="0"/>
        <w:jc w:val="center"/>
      </w:pPr>
      <w:r>
        <w:rPr>
          <w:rFonts w:ascii="Arial" w:cs="Arial" w:eastAsia="Arial" w:hAnsi="Arial"/>
          <w:i/>
          <w:iCs/>
          <w:sz w:val="22"/>
          <w:szCs w:val="22"/>
        </w:rPr>
        <w:t xml:space="preserve">Vertragsnummer: SLV-2024-0047</w:t>
      </w:r>
    </w:p>
    <w:p>
      <w:pPr>
        <w:pStyle w:val="Heading1"/>
        <w:spacing w:after="180" w:before="360"/>
      </w:pPr>
      <w:r>
        <w:rPr>
          <w:rFonts w:ascii="Arial" w:cs="Arial" w:eastAsia="Arial" w:hAnsi="Arial"/>
          <w:b/>
          <w:bCs/>
          <w:sz w:val="28"/>
          <w:szCs w:val="28"/>
        </w:rPr>
        <w:t xml:space="preserve">Präambel</w:t>
      </w:r>
    </w:p>
    <w:p>
      <w:pPr>
        <w:spacing w:after="120" w:before="120"/>
        <w:jc w:val="both"/>
      </w:pPr>
      <w:r>
        <w:rPr>
          <w:rFonts w:ascii="Arial" w:cs="Arial" w:eastAsia="Arial" w:hAnsi="Arial"/>
          <w:sz w:val="22"/>
          <w:szCs w:val="22"/>
        </w:rPr>
        <w:t xml:space="preserve">Dieser Softwarelizenz- und Wartungsvertrag (nachfolgend "Vertrag") wird abgeschlossen zwischen der TechSolutions GmbH, einem Unternehmen mit Sitz in Wien, Österreich, eingetragen im Firmenbuch unter FN 123456a (nachfolgend "Lizenzgeber") und dem nachfolgend genannten Lizenznehmer.</w:t>
      </w:r>
    </w:p>
    <w:p>
      <w:r>
        <w:t xml:space="preserve"/>
      </w:r>
    </w:p>
    <w:p>
      <w:pPr>
        <w:pStyle w:val="Heading1"/>
        <w:spacing w:after="180" w:before="360"/>
      </w:pPr>
      <w:r>
        <w:rPr>
          <w:rFonts w:ascii="Arial" w:cs="Arial" w:eastAsia="Arial" w:hAnsi="Arial"/>
          <w:b/>
          <w:bCs/>
          <w:sz w:val="28"/>
          <w:szCs w:val="28"/>
        </w:rPr>
        <w:t xml:space="preserve">§ 1 Vertragsparteien</w:t>
      </w:r>
    </w:p>
    <w:p>
      <w:pPr>
        <w:spacing w:after="120" w:before="120"/>
        <w:jc w:val="left"/>
      </w:pPr>
      <w:r>
        <w:rPr>
          <w:rFonts w:ascii="Arial" w:cs="Arial" w:eastAsia="Arial" w:hAnsi="Arial"/>
          <w:sz w:val="22"/>
          <w:szCs w:val="22"/>
        </w:rPr>
        <w:t xml:space="preserve">1.1 Lizenzgeber:</w:t>
      </w:r>
    </w:p>
    <w:p>
      <w:pPr>
        <w:spacing w:after="60" w:before="60"/>
        <w:ind w:left="720"/>
      </w:pPr>
      <w:r>
        <w:rPr>
          <w:rFonts w:ascii="Arial" w:cs="Arial" w:eastAsia="Arial" w:hAnsi="Arial"/>
          <w:sz w:val="22"/>
          <w:szCs w:val="22"/>
        </w:rPr>
        <w:t xml:space="preserve">TechSolutions GmbH
Wiener Hauptstraße 45
1010 Wien
Österreich
UID: ATU12345678</w:t>
      </w:r>
    </w:p>
    <w:p>
      <w:r>
        <w:t xml:space="preserve"/>
      </w:r>
    </w:p>
    <w:p>
      <w:pPr>
        <w:spacing w:after="120" w:before="120"/>
        <w:jc w:val="left"/>
      </w:pPr>
      <w:r>
        <w:rPr>
          <w:rFonts w:ascii="Arial" w:cs="Arial" w:eastAsia="Arial" w:hAnsi="Arial"/>
          <w:sz w:val="22"/>
          <w:szCs w:val="22"/>
        </w:rPr>
        <w:t xml:space="preserve">1.2 Lizenznehmer:</w:t>
      </w:r>
    </w:p>
    <w:p>
      <w:pPr>
        <w:spacing w:after="60" w:before="60"/>
        <w:ind w:left="720"/>
      </w:pPr>
      <w:r>
        <w:rPr>
          <w:rFonts w:ascii="Arial" w:cs="Arial" w:eastAsia="Arial" w:hAnsi="Arial"/>
          <w:sz w:val="22"/>
          <w:szCs w:val="22"/>
        </w:rPr>
        <w:t xml:space="preserve">Musterfirma AG
Musterstraße 12
1020 Wien
Österreich
UID: ATU87654321</w:t>
      </w:r>
    </w:p>
    <w:p>
      <w:r>
        <w:t xml:space="preserve"/>
      </w:r>
    </w:p>
    <w:p>
      <w:pPr>
        <w:pStyle w:val="Heading1"/>
        <w:spacing w:after="180" w:before="360"/>
      </w:pPr>
      <w:r>
        <w:rPr>
          <w:rFonts w:ascii="Arial" w:cs="Arial" w:eastAsia="Arial" w:hAnsi="Arial"/>
          <w:b/>
          <w:bCs/>
          <w:sz w:val="28"/>
          <w:szCs w:val="28"/>
        </w:rPr>
        <w:t xml:space="preserve">§ 2 Vertragsgegenstand</w:t>
      </w:r>
    </w:p>
    <w:p>
      <w:pPr>
        <w:spacing w:after="120" w:before="120"/>
        <w:jc w:val="both"/>
      </w:pPr>
      <w:r>
        <w:rPr>
          <w:rFonts w:ascii="Arial" w:cs="Arial" w:eastAsia="Arial" w:hAnsi="Arial"/>
          <w:sz w:val="22"/>
          <w:szCs w:val="22"/>
        </w:rPr>
        <w:t xml:space="preserve">2.1 Gegenstand dieses Vertrages ist die Einräumung einer nicht-ausschließlichen, nicht übertragbaren Lizenz zur Nutzung der Software "EnterpriseSuite Pro v5.0" (nachfolgend "Software") sowie die Erbringung von Wartungs- und Supportleistungen durch den Lizenzgeber.</w:t>
      </w:r>
    </w:p>
    <w:p>
      <w:pPr>
        <w:spacing w:after="120" w:before="120"/>
        <w:jc w:val="left"/>
      </w:pPr>
      <w:r>
        <w:rPr>
          <w:rFonts w:ascii="Arial" w:cs="Arial" w:eastAsia="Arial" w:hAnsi="Arial"/>
          <w:sz w:val="22"/>
          <w:szCs w:val="22"/>
        </w:rPr>
        <w:t xml:space="preserve">2.2 Die Software umfasst folgende Module:</w:t>
      </w:r>
    </w:p>
    <w:p>
      <w:pPr>
        <w:pStyle w:val="ListParagraph"/>
        <w:numPr>
          <w:ilvl w:val="0"/>
          <w:numId w:val="2"/>
        </w:numPr>
        <w:spacing w:after="60" w:before="60"/>
      </w:pPr>
      <w:r>
        <w:rPr>
          <w:rFonts w:ascii="Arial" w:cs="Arial" w:eastAsia="Arial" w:hAnsi="Arial"/>
          <w:sz w:val="22"/>
          <w:szCs w:val="22"/>
        </w:rPr>
        <w:t xml:space="preserve">Basismodul (Kernfunktionalitäten, Benutzerverwaltung, Reporting)</w:t>
      </w:r>
    </w:p>
    <w:p>
      <w:pPr>
        <w:pStyle w:val="ListParagraph"/>
        <w:numPr>
          <w:ilvl w:val="0"/>
          <w:numId w:val="2"/>
        </w:numPr>
        <w:spacing w:after="60" w:before="60"/>
      </w:pPr>
      <w:r>
        <w:rPr>
          <w:rFonts w:ascii="Arial" w:cs="Arial" w:eastAsia="Arial" w:hAnsi="Arial"/>
          <w:sz w:val="22"/>
          <w:szCs w:val="22"/>
        </w:rPr>
        <w:t xml:space="preserve">CRM-Modul (Kundenverwaltung, Vertriebspipeline, E-Mail-Integration)</w:t>
      </w:r>
    </w:p>
    <w:p>
      <w:pPr>
        <w:pStyle w:val="ListParagraph"/>
        <w:numPr>
          <w:ilvl w:val="0"/>
          <w:numId w:val="2"/>
        </w:numPr>
        <w:spacing w:after="60" w:before="60"/>
      </w:pPr>
      <w:r>
        <w:rPr>
          <w:rFonts w:ascii="Arial" w:cs="Arial" w:eastAsia="Arial" w:hAnsi="Arial"/>
          <w:sz w:val="22"/>
          <w:szCs w:val="22"/>
        </w:rPr>
        <w:t xml:space="preserve">Finanzmodul (Buchhaltung, Rechnungsstellung, DATEV-Schnittstelle)</w:t>
      </w:r>
    </w:p>
    <w:p>
      <w:pPr>
        <w:pStyle w:val="ListParagraph"/>
        <w:numPr>
          <w:ilvl w:val="0"/>
          <w:numId w:val="2"/>
        </w:numPr>
        <w:spacing w:after="60" w:before="60"/>
      </w:pPr>
      <w:r>
        <w:rPr>
          <w:rFonts w:ascii="Arial" w:cs="Arial" w:eastAsia="Arial" w:hAnsi="Arial"/>
          <w:sz w:val="22"/>
          <w:szCs w:val="22"/>
        </w:rPr>
        <w:t xml:space="preserve">Analytik-Modul (Business Intelligence, Dashboards, Datenexport)</w:t>
      </w:r>
    </w:p>
    <w:p>
      <w:pPr>
        <w:spacing w:after="120" w:before="120"/>
        <w:jc w:val="left"/>
      </w:pPr>
      <w:r>
        <w:rPr>
          <w:rFonts w:ascii="Arial" w:cs="Arial" w:eastAsia="Arial" w:hAnsi="Arial"/>
          <w:sz w:val="22"/>
          <w:szCs w:val="22"/>
        </w:rPr>
        <w:t xml:space="preserve">2.3 Die Überlassung der Software erfolgt in Form einer SaaS-Lösung (Software as a Service). Der Lizenznehmer erhält Zugang zur Software über das Internet; eine Installation auf eigenen Systemen ist nicht vorgesehen.</w:t>
      </w:r>
    </w:p>
    <w:p>
      <w:pPr>
        <w:pStyle w:val="Heading1"/>
        <w:spacing w:after="180" w:before="360"/>
      </w:pPr>
      <w:r>
        <w:rPr>
          <w:rFonts w:ascii="Arial" w:cs="Arial" w:eastAsia="Arial" w:hAnsi="Arial"/>
          <w:b/>
          <w:bCs/>
          <w:sz w:val="28"/>
          <w:szCs w:val="28"/>
        </w:rPr>
        <w:t xml:space="preserve">§ 3 Lizenzumfang</w:t>
      </w:r>
    </w:p>
    <w:p>
      <w:pPr>
        <w:spacing w:after="120" w:before="120"/>
        <w:jc w:val="left"/>
      </w:pPr>
      <w:r>
        <w:rPr>
          <w:rFonts w:ascii="Arial" w:cs="Arial" w:eastAsia="Arial" w:hAnsi="Arial"/>
          <w:sz w:val="22"/>
          <w:szCs w:val="22"/>
        </w:rPr>
        <w:t xml:space="preserve">3.1 Der Lizenzgeber gewährt dem Lizenznehmer das Recht, die Software für eigene betriebliche Zwecke zu nutzen. Die Lizenz berechtigt zur gleichzeitigen Nutzung durch bis zu 50 (fünfzig) benannte Benutzer ("Named Users").</w:t>
      </w:r>
    </w:p>
    <w:p>
      <w:pPr>
        <w:spacing w:after="120" w:before="120"/>
        <w:jc w:val="left"/>
      </w:pPr>
      <w:r>
        <w:rPr>
          <w:rFonts w:ascii="Arial" w:cs="Arial" w:eastAsia="Arial" w:hAnsi="Arial"/>
          <w:sz w:val="22"/>
          <w:szCs w:val="22"/>
        </w:rPr>
        <w:t xml:space="preserve">3.2 Dem Lizenznehmer ist es ausdrücklich untersagt:</w:t>
      </w:r>
    </w:p>
    <w:p>
      <w:pPr>
        <w:pStyle w:val="ListParagraph"/>
        <w:numPr>
          <w:ilvl w:val="0"/>
          <w:numId w:val="2"/>
        </w:numPr>
        <w:spacing w:after="60" w:before="60"/>
      </w:pPr>
      <w:r>
        <w:rPr>
          <w:rFonts w:ascii="Arial" w:cs="Arial" w:eastAsia="Arial" w:hAnsi="Arial"/>
          <w:sz w:val="22"/>
          <w:szCs w:val="22"/>
        </w:rPr>
        <w:t xml:space="preserve">die Software oder Teile davon zu vervielfältigen, zu verbreiten oder Dritten zur Verfügung zu stellen</w:t>
      </w:r>
    </w:p>
    <w:p>
      <w:pPr>
        <w:pStyle w:val="ListParagraph"/>
        <w:numPr>
          <w:ilvl w:val="0"/>
          <w:numId w:val="2"/>
        </w:numPr>
        <w:spacing w:after="60" w:before="60"/>
      </w:pPr>
      <w:r>
        <w:rPr>
          <w:rFonts w:ascii="Arial" w:cs="Arial" w:eastAsia="Arial" w:hAnsi="Arial"/>
          <w:sz w:val="22"/>
          <w:szCs w:val="22"/>
        </w:rPr>
        <w:t xml:space="preserve">die Software zu dekompilieren, zu disassemblieren oder den Quellcode auf andere Weise zu ermitteln</w:t>
      </w:r>
    </w:p>
    <w:p>
      <w:pPr>
        <w:pStyle w:val="ListParagraph"/>
        <w:numPr>
          <w:ilvl w:val="0"/>
          <w:numId w:val="2"/>
        </w:numPr>
        <w:spacing w:after="60" w:before="60"/>
      </w:pPr>
      <w:r>
        <w:rPr>
          <w:rFonts w:ascii="Arial" w:cs="Arial" w:eastAsia="Arial" w:hAnsi="Arial"/>
          <w:sz w:val="22"/>
          <w:szCs w:val="22"/>
        </w:rPr>
        <w:t xml:space="preserve">die Software zu vermieten, zu verleasen oder in sonstiger Weise an Dritte unterzulizenzieren</w:t>
      </w:r>
    </w:p>
    <w:p>
      <w:pPr>
        <w:pStyle w:val="ListParagraph"/>
        <w:numPr>
          <w:ilvl w:val="0"/>
          <w:numId w:val="2"/>
        </w:numPr>
        <w:spacing w:after="60" w:before="60"/>
      </w:pPr>
      <w:r>
        <w:rPr>
          <w:rFonts w:ascii="Arial" w:cs="Arial" w:eastAsia="Arial" w:hAnsi="Arial"/>
          <w:sz w:val="22"/>
          <w:szCs w:val="22"/>
        </w:rPr>
        <w:t xml:space="preserve">Schutzvermerke, Markenzeichen oder sonstige Eigentumshinweise zu entfernen oder zu verändern</w:t>
      </w:r>
    </w:p>
    <w:p>
      <w:pPr>
        <w:spacing w:after="120" w:before="120"/>
        <w:jc w:val="left"/>
      </w:pPr>
      <w:r>
        <w:rPr>
          <w:rFonts w:ascii="Arial" w:cs="Arial" w:eastAsia="Arial" w:hAnsi="Arial"/>
          <w:sz w:val="22"/>
          <w:szCs w:val="22"/>
        </w:rPr>
        <w:t xml:space="preserve">3.3 Für jeden zusätzlichen Named User über die vereinbarte Anzahl hinaus ist ein Aufpreis gemäß der jeweils geltenden Preisliste zu entrichten. Der Lizenznehmer ist verpflichtet, die tatsächliche Nutzeranzahl vierteljährlich zu melden.</w:t>
      </w:r>
    </w:p>
    <w:p>
      <w:pPr>
        <w:pStyle w:val="Heading1"/>
        <w:spacing w:after="180" w:before="360"/>
      </w:pPr>
      <w:r>
        <w:rPr>
          <w:rFonts w:ascii="Arial" w:cs="Arial" w:eastAsia="Arial" w:hAnsi="Arial"/>
          <w:b/>
          <w:bCs/>
          <w:sz w:val="28"/>
          <w:szCs w:val="28"/>
        </w:rPr>
        <w:t xml:space="preserve">§ 4 Wartungs- und Supportleistungen</w:t>
      </w:r>
    </w:p>
    <w:p>
      <w:pPr>
        <w:spacing w:after="120" w:before="120"/>
        <w:jc w:val="left"/>
      </w:pPr>
      <w:r>
        <w:rPr>
          <w:rFonts w:ascii="Arial" w:cs="Arial" w:eastAsia="Arial" w:hAnsi="Arial"/>
          <w:sz w:val="22"/>
          <w:szCs w:val="22"/>
        </w:rPr>
        <w:t xml:space="preserve">4.1 Der Lizenzgeber erbringt folgende Wartungs- und Supportleistungen:</w:t>
      </w:r>
    </w:p>
    <w:p>
      <w:pPr>
        <w:spacing w:after="120" w:before="120"/>
      </w:pPr>
      <w:r>
        <w:rPr>
          <w:rFonts w:ascii="Arial" w:cs="Arial" w:eastAsia="Arial" w:hAnsi="Arial"/>
          <w:b/>
          <w:bCs/>
          <w:sz w:val="22"/>
          <w:szCs w:val="22"/>
        </w:rPr>
        <w:t xml:space="preserve">a) Fehlerbeseitigung (Bugfixing):</w:t>
      </w:r>
      <w:r>
        <w:rPr>
          <w:rFonts w:ascii="Arial" w:cs="Arial" w:eastAsia="Arial" w:hAnsi="Arial"/>
          <w:sz w:val="22"/>
          <w:szCs w:val="22"/>
        </w:rPr>
        <w:t xml:space="preserve"> Kritische Fehler (Severity 1) werden innerhalb von 4 Stunden behoben, schwerwiegende Fehler (Severity 2) innerhalb von 24 Stunden und sonstige Fehler (Severity 3) innerhalb von 5 Werktagen.</w:t>
      </w:r>
    </w:p>
    <w:p>
      <w:pPr>
        <w:spacing w:after="120" w:before="120"/>
      </w:pPr>
      <w:r>
        <w:rPr>
          <w:rFonts w:ascii="Arial" w:cs="Arial" w:eastAsia="Arial" w:hAnsi="Arial"/>
          <w:b/>
          <w:bCs/>
          <w:sz w:val="22"/>
          <w:szCs w:val="22"/>
        </w:rPr>
        <w:t xml:space="preserve">b) Updates und Upgrades:</w:t>
      </w:r>
      <w:r>
        <w:rPr>
          <w:rFonts w:ascii="Arial" w:cs="Arial" w:eastAsia="Arial" w:hAnsi="Arial"/>
          <w:sz w:val="22"/>
          <w:szCs w:val="22"/>
        </w:rPr>
        <w:t xml:space="preserve"> Der Lizenznehmer erhält alle während der Vertragslaufzeit erscheinenden Updates (Minor Releases) und Upgrades (Major Releases) ohne gesonderte Kosten.</w:t>
      </w:r>
    </w:p>
    <w:p>
      <w:pPr>
        <w:spacing w:after="120" w:before="120"/>
      </w:pPr>
      <w:r>
        <w:rPr>
          <w:rFonts w:ascii="Arial" w:cs="Arial" w:eastAsia="Arial" w:hAnsi="Arial"/>
          <w:b/>
          <w:bCs/>
          <w:sz w:val="22"/>
          <w:szCs w:val="22"/>
        </w:rPr>
        <w:t xml:space="preserve">c) Helpdesk:</w:t>
      </w:r>
      <w:r>
        <w:rPr>
          <w:rFonts w:ascii="Arial" w:cs="Arial" w:eastAsia="Arial" w:hAnsi="Arial"/>
          <w:sz w:val="22"/>
          <w:szCs w:val="22"/>
        </w:rPr>
        <w:t xml:space="preserve"> Telefonischer und schriftlicher Support ist Montag bis Freitag von 08:00 bis 18:00 Uhr (MEZ) verfügbar. Für Notfälle außerhalb der Geschäftszeiten steht eine 24/7-Notfallhotline zur Verfügung.</w:t>
      </w:r>
    </w:p>
    <w:p>
      <w:pPr>
        <w:spacing w:after="120" w:before="120"/>
        <w:jc w:val="left"/>
      </w:pPr>
      <w:r>
        <w:rPr>
          <w:rFonts w:ascii="Arial" w:cs="Arial" w:eastAsia="Arial" w:hAnsi="Arial"/>
          <w:sz w:val="22"/>
          <w:szCs w:val="22"/>
        </w:rPr>
        <w:t xml:space="preserve">4.2 Der Lizenzgeber ist berechtigt, Wartungsarbeiten durchzuführen. Geplante Wartungsfenster werden mindestens 72 Stunden im Voraus angekündigt und finden außerhalb der üblichen Geschäftszeiten statt. Die monatliche geplante Wartungszeit übersteigt 4 Stunden nicht.</w:t>
      </w:r>
    </w:p>
    <w:p>
      <w:pPr>
        <w:spacing w:after="120" w:before="120"/>
        <w:jc w:val="left"/>
      </w:pPr>
      <w:r>
        <w:rPr>
          <w:rFonts w:ascii="Arial" w:cs="Arial" w:eastAsia="Arial" w:hAnsi="Arial"/>
          <w:sz w:val="22"/>
          <w:szCs w:val="22"/>
        </w:rPr>
        <w:t xml:space="preserve">4.3 Der Lizenzgeber garantiert eine Systemverfügbarkeit von mindestens 99,5% im Monatsdurchschnitt, gemessen außerhalb der geplanten Wartungsfenster ("SLA"). Bei Unterschreitung des SLA wird dem Lizenznehmer eine Gutschrift gemäß der Service Level Agreement-Anlage (Anlage B) gewährt.</w:t>
      </w:r>
    </w:p>
    <w:p>
      <w:pPr>
        <w:pStyle w:val="Heading1"/>
        <w:spacing w:after="180" w:before="360"/>
      </w:pPr>
      <w:r>
        <w:rPr>
          <w:rFonts w:ascii="Arial" w:cs="Arial" w:eastAsia="Arial" w:hAnsi="Arial"/>
          <w:b/>
          <w:bCs/>
          <w:sz w:val="28"/>
          <w:szCs w:val="28"/>
        </w:rPr>
        <w:t xml:space="preserve">§ 5 Vergütung und Zahlungsbedingungen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tblHeader/>
        </w:trPr>
        <w:tc>
          <w:tcPr>
            <w:tcW w:type="dxa" w:w="4513"/>
            <w:tcBorders>
              <w:top w:val="single" w:color="AAAAAA" w:sz="1"/>
              <w:left w:val="single" w:color="AAAAAA" w:sz="1"/>
              <w:bottom w:val="single" w:color="AAAAAA" w:sz="1"/>
              <w:right w:val="single" w:color="AAAAAA"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Leistung</w:t>
            </w:r>
          </w:p>
        </w:tc>
        <w:tc>
          <w:tcPr>
            <w:tcW w:type="dxa" w:w="2256"/>
            <w:tcBorders>
              <w:top w:val="single" w:color="AAAAAA" w:sz="1"/>
              <w:left w:val="single" w:color="AAAAAA" w:sz="1"/>
              <w:bottom w:val="single" w:color="AAAAAA" w:sz="1"/>
              <w:right w:val="single" w:color="AAAAAA"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Preis/Monat</w:t>
            </w:r>
          </w:p>
        </w:tc>
        <w:tc>
          <w:tcPr>
            <w:tcW w:type="dxa" w:w="2257"/>
            <w:tcBorders>
              <w:top w:val="single" w:color="AAAAAA" w:sz="1"/>
              <w:left w:val="single" w:color="AAAAAA" w:sz="1"/>
              <w:bottom w:val="single" w:color="AAAAAA" w:sz="1"/>
              <w:right w:val="single" w:color="AAAAAA" w:sz="1"/>
            </w:tcBorders>
            <w:shd w:fill="2E4057" w:val="clear"/>
            <w:tcMar>
              <w:top w:type="dxa" w:w="100"/>
              <w:left w:type="dxa" w:w="150"/>
              <w:bottom w:type="dxa" w:w="100"/>
              <w:right w:type="dxa" w:w="150"/>
            </w:tcMar>
          </w:tcPr>
          <w:p>
            <w:r>
              <w:rPr>
                <w:rFonts w:ascii="Arial" w:cs="Arial" w:eastAsia="Arial" w:hAnsi="Arial"/>
                <w:b/>
                <w:bCs/>
                <w:color w:val="FFFFFF"/>
                <w:sz w:val="22"/>
                <w:szCs w:val="22"/>
              </w:rPr>
              <w:t xml:space="preserve">Jahresbetrag</w:t>
            </w:r>
          </w:p>
        </w:tc>
      </w:tr>
      <w:tr>
        <w:tc>
          <w:tcPr>
            <w:tcW w:type="dxa" w:w="4513"/>
            <w:tcBorders>
              <w:top w:val="single" w:color="AAAAAA" w:sz="1"/>
              <w:left w:val="single" w:color="AAAAAA" w:sz="1"/>
              <w:bottom w:val="single" w:color="AAAAAA" w:sz="1"/>
              <w:right w:val="single" w:color="AAAAAA" w:sz="1"/>
            </w:tcBorders>
            <w:tcMar>
              <w:top w:type="dxa" w:w="100"/>
              <w:left w:type="dxa" w:w="150"/>
              <w:bottom w:type="dxa" w:w="100"/>
              <w:right w:type="dxa" w:w="150"/>
            </w:tcMar>
          </w:tcPr>
          <w:p>
            <w:r>
              <w:rPr>
                <w:rFonts w:ascii="Arial" w:cs="Arial" w:eastAsia="Arial" w:hAnsi="Arial"/>
                <w:sz w:val="22"/>
                <w:szCs w:val="22"/>
              </w:rPr>
              <w:t xml:space="preserve">Basislizenz (50 Named Users)</w:t>
            </w:r>
          </w:p>
        </w:tc>
        <w:tc>
          <w:tcPr>
            <w:tcW w:type="dxa" w:w="2256"/>
            <w:tcBorders>
              <w:top w:val="single" w:color="AAAAAA" w:sz="1"/>
              <w:left w:val="single" w:color="AAAAAA" w:sz="1"/>
              <w:bottom w:val="single" w:color="AAAAAA" w:sz="1"/>
              <w:right w:val="single" w:color="AAAAAA" w:sz="1"/>
            </w:tcBorders>
            <w:tcMar>
              <w:top w:type="dxa" w:w="100"/>
              <w:left w:type="dxa" w:w="150"/>
              <w:bottom w:type="dxa" w:w="100"/>
              <w:right w:type="dxa" w:w="150"/>
            </w:tcMar>
          </w:tcPr>
          <w:p>
            <w:pPr>
              <w:jc w:val="right"/>
            </w:pPr>
            <w:r>
              <w:rPr>
                <w:rFonts w:ascii="Arial" w:cs="Arial" w:eastAsia="Arial" w:hAnsi="Arial"/>
                <w:sz w:val="22"/>
                <w:szCs w:val="22"/>
              </w:rPr>
              <w:t xml:space="preserve">€ 4.500,00</w:t>
            </w:r>
          </w:p>
        </w:tc>
        <w:tc>
          <w:tcPr>
            <w:tcW w:type="dxa" w:w="2257"/>
            <w:tcBorders>
              <w:top w:val="single" w:color="AAAAAA" w:sz="1"/>
              <w:left w:val="single" w:color="AAAAAA" w:sz="1"/>
              <w:bottom w:val="single" w:color="AAAAAA" w:sz="1"/>
              <w:right w:val="single" w:color="AAAAAA" w:sz="1"/>
            </w:tcBorders>
            <w:tcMar>
              <w:top w:type="dxa" w:w="100"/>
              <w:left w:type="dxa" w:w="150"/>
              <w:bottom w:type="dxa" w:w="100"/>
              <w:right w:type="dxa" w:w="150"/>
            </w:tcMar>
          </w:tcPr>
          <w:p>
            <w:pPr>
              <w:jc w:val="right"/>
            </w:pPr>
            <w:r>
              <w:rPr>
                <w:rFonts w:ascii="Arial" w:cs="Arial" w:eastAsia="Arial" w:hAnsi="Arial"/>
                <w:sz w:val="22"/>
                <w:szCs w:val="22"/>
              </w:rPr>
              <w:t xml:space="preserve">€ 54.000,00</w:t>
            </w:r>
          </w:p>
        </w:tc>
      </w:tr>
      <w:tr>
        <w:tc>
          <w:tcPr>
            <w:tcW w:type="dxa" w:w="4513"/>
            <w:tcBorders>
              <w:top w:val="single" w:color="AAAAAA" w:sz="1"/>
              <w:left w:val="single" w:color="AAAAAA" w:sz="1"/>
              <w:bottom w:val="single" w:color="AAAAAA" w:sz="1"/>
              <w:right w:val="single" w:color="AAAAAA" w:sz="1"/>
            </w:tcBorders>
            <w:tcMar>
              <w:top w:type="dxa" w:w="100"/>
              <w:left w:type="dxa" w:w="150"/>
              <w:bottom w:type="dxa" w:w="100"/>
              <w:right w:type="dxa" w:w="150"/>
            </w:tcMar>
          </w:tcPr>
          <w:p>
            <w:r>
              <w:rPr>
                <w:rFonts w:ascii="Arial" w:cs="Arial" w:eastAsia="Arial" w:hAnsi="Arial"/>
                <w:sz w:val="22"/>
                <w:szCs w:val="22"/>
              </w:rPr>
              <w:t xml:space="preserve">Wartung und Support (Standard)</w:t>
            </w:r>
          </w:p>
        </w:tc>
        <w:tc>
          <w:tcPr>
            <w:tcW w:type="dxa" w:w="2256"/>
            <w:tcBorders>
              <w:top w:val="single" w:color="AAAAAA" w:sz="1"/>
              <w:left w:val="single" w:color="AAAAAA" w:sz="1"/>
              <w:bottom w:val="single" w:color="AAAAAA" w:sz="1"/>
              <w:right w:val="single" w:color="AAAAAA" w:sz="1"/>
            </w:tcBorders>
            <w:tcMar>
              <w:top w:type="dxa" w:w="100"/>
              <w:left w:type="dxa" w:w="150"/>
              <w:bottom w:type="dxa" w:w="100"/>
              <w:right w:type="dxa" w:w="150"/>
            </w:tcMar>
          </w:tcPr>
          <w:p>
            <w:pPr>
              <w:jc w:val="right"/>
            </w:pPr>
            <w:r>
              <w:rPr>
                <w:rFonts w:ascii="Arial" w:cs="Arial" w:eastAsia="Arial" w:hAnsi="Arial"/>
                <w:sz w:val="22"/>
                <w:szCs w:val="22"/>
              </w:rPr>
              <w:t xml:space="preserve">€ 900,00</w:t>
            </w:r>
          </w:p>
        </w:tc>
        <w:tc>
          <w:tcPr>
            <w:tcW w:type="dxa" w:w="2257"/>
            <w:tcBorders>
              <w:top w:val="single" w:color="AAAAAA" w:sz="1"/>
              <w:left w:val="single" w:color="AAAAAA" w:sz="1"/>
              <w:bottom w:val="single" w:color="AAAAAA" w:sz="1"/>
              <w:right w:val="single" w:color="AAAAAA" w:sz="1"/>
            </w:tcBorders>
            <w:tcMar>
              <w:top w:type="dxa" w:w="100"/>
              <w:left w:type="dxa" w:w="150"/>
              <w:bottom w:type="dxa" w:w="100"/>
              <w:right w:type="dxa" w:w="150"/>
            </w:tcMar>
          </w:tcPr>
          <w:p>
            <w:pPr>
              <w:jc w:val="right"/>
            </w:pPr>
            <w:r>
              <w:rPr>
                <w:rFonts w:ascii="Arial" w:cs="Arial" w:eastAsia="Arial" w:hAnsi="Arial"/>
                <w:sz w:val="22"/>
                <w:szCs w:val="22"/>
              </w:rPr>
              <w:t xml:space="preserve">€ 10.800,00</w:t>
            </w:r>
          </w:p>
        </w:tc>
      </w:tr>
      <w:tr>
        <w:tc>
          <w:tcPr>
            <w:tcW w:type="dxa" w:w="4513"/>
            <w:tcBorders>
              <w:top w:val="single" w:color="AAAAAA" w:sz="1"/>
              <w:left w:val="single" w:color="AAAAAA" w:sz="1"/>
              <w:bottom w:val="single" w:color="AAAAAA" w:sz="1"/>
              <w:right w:val="single" w:color="AAAAAA" w:sz="1"/>
            </w:tcBorders>
            <w:shd w:fill="F0F0F0" w:val="clear"/>
            <w:tcMar>
              <w:top w:type="dxa" w:w="100"/>
              <w:left w:type="dxa" w:w="150"/>
              <w:bottom w:type="dxa" w:w="100"/>
              <w:right w:type="dxa" w:w="150"/>
            </w:tcMar>
          </w:tcPr>
          <w:p>
            <w:r>
              <w:rPr>
                <w:rFonts w:ascii="Arial" w:cs="Arial" w:eastAsia="Arial" w:hAnsi="Arial"/>
                <w:b/>
                <w:bCs/>
                <w:sz w:val="22"/>
                <w:szCs w:val="22"/>
              </w:rPr>
              <w:t xml:space="preserve">Gesamtbetrag (exkl. MwSt.)</w:t>
            </w:r>
          </w:p>
        </w:tc>
        <w:tc>
          <w:tcPr>
            <w:tcW w:type="dxa" w:w="2256"/>
            <w:tcBorders>
              <w:top w:val="single" w:color="AAAAAA" w:sz="1"/>
              <w:left w:val="single" w:color="AAAAAA" w:sz="1"/>
              <w:bottom w:val="single" w:color="AAAAAA" w:sz="1"/>
              <w:right w:val="single" w:color="AAAAAA" w:sz="1"/>
            </w:tcBorders>
            <w:shd w:fill="F0F0F0" w:val="clear"/>
            <w:tcMar>
              <w:top w:type="dxa" w:w="100"/>
              <w:left w:type="dxa" w:w="150"/>
              <w:bottom w:type="dxa" w:w="100"/>
              <w:right w:type="dxa" w:w="150"/>
            </w:tcMar>
          </w:tcPr>
          <w:p>
            <w:pPr>
              <w:jc w:val="right"/>
            </w:pPr>
            <w:r>
              <w:rPr>
                <w:rFonts w:ascii="Arial" w:cs="Arial" w:eastAsia="Arial" w:hAnsi="Arial"/>
                <w:b/>
                <w:bCs/>
                <w:sz w:val="22"/>
                <w:szCs w:val="22"/>
              </w:rPr>
              <w:t xml:space="preserve">€ 5.400,00</w:t>
            </w:r>
          </w:p>
        </w:tc>
        <w:tc>
          <w:tcPr>
            <w:tcW w:type="dxa" w:w="2257"/>
            <w:tcBorders>
              <w:top w:val="single" w:color="AAAAAA" w:sz="1"/>
              <w:left w:val="single" w:color="AAAAAA" w:sz="1"/>
              <w:bottom w:val="single" w:color="AAAAAA" w:sz="1"/>
              <w:right w:val="single" w:color="AAAAAA" w:sz="1"/>
            </w:tcBorders>
            <w:shd w:fill="F0F0F0" w:val="clear"/>
            <w:tcMar>
              <w:top w:type="dxa" w:w="100"/>
              <w:left w:type="dxa" w:w="150"/>
              <w:bottom w:type="dxa" w:w="100"/>
              <w:right w:type="dxa" w:w="150"/>
            </w:tcMar>
          </w:tcPr>
          <w:p>
            <w:pPr>
              <w:jc w:val="right"/>
            </w:pPr>
            <w:r>
              <w:rPr>
                <w:rFonts w:ascii="Arial" w:cs="Arial" w:eastAsia="Arial" w:hAnsi="Arial"/>
                <w:b/>
                <w:bCs/>
                <w:sz w:val="22"/>
                <w:szCs w:val="22"/>
              </w:rPr>
              <w:t xml:space="preserve">€ 64.800,00</w:t>
            </w:r>
          </w:p>
        </w:tc>
      </w:tr>
    </w:tbl>
    <w:p>
      <w:r>
        <w:t xml:space="preserve"/>
      </w:r>
    </w:p>
    <w:p>
      <w:pPr>
        <w:spacing w:after="120" w:before="120"/>
        <w:jc w:val="left"/>
      </w:pPr>
      <w:r>
        <w:rPr>
          <w:rFonts w:ascii="Arial" w:cs="Arial" w:eastAsia="Arial" w:hAnsi="Arial"/>
          <w:sz w:val="22"/>
          <w:szCs w:val="22"/>
        </w:rPr>
        <w:t xml:space="preserve">5.2 Die Vergütung wird jährlich im Voraus fakturiert. Rechnungen sind innerhalb von 30 Tagen nach Rechnungsstellung zahlbar. Bei Zahlungsverzug werden Verzugszinsen in Höhe von 9,2% über dem jeweiligen Basiszinssatz der Europäischen Zentralbank berechnet.</w:t>
      </w:r>
    </w:p>
    <w:p>
      <w:pPr>
        <w:spacing w:after="120" w:before="120"/>
        <w:jc w:val="left"/>
      </w:pPr>
      <w:r>
        <w:rPr>
          <w:rFonts w:ascii="Arial" w:cs="Arial" w:eastAsia="Arial" w:hAnsi="Arial"/>
          <w:sz w:val="22"/>
          <w:szCs w:val="22"/>
        </w:rPr>
        <w:t xml:space="preserve">5.3 Alle Preise verstehen sich zuzüglich der gesetzlichen Umsatzsteuer in der jeweils gültigen Höhe.</w:t>
      </w:r>
    </w:p>
    <w:p>
      <w:pPr>
        <w:spacing w:after="120" w:before="120"/>
        <w:jc w:val="left"/>
      </w:pPr>
      <w:r>
        <w:rPr>
          <w:rFonts w:ascii="Arial" w:cs="Arial" w:eastAsia="Arial" w:hAnsi="Arial"/>
          <w:sz w:val="22"/>
          <w:szCs w:val="22"/>
        </w:rPr>
        <w:t xml:space="preserve">5.4 Der Lizenzgeber ist berechtigt, die Vergütung einmal jährlich um maximal 5% oder den offiziell veröffentlichten VPI-Index (Verbraucherpreisindex) der Statistik Austria, je nachdem, welcher Wert höher ist, anzupassen. Die Ankündigung hat mindestens 3 Monate vor Inkrafttreten zu erfolgen.</w:t>
      </w:r>
    </w:p>
    <w:p>
      <w:pPr>
        <w:pStyle w:val="Heading1"/>
        <w:spacing w:after="180" w:before="360"/>
      </w:pPr>
      <w:r>
        <w:rPr>
          <w:rFonts w:ascii="Arial" w:cs="Arial" w:eastAsia="Arial" w:hAnsi="Arial"/>
          <w:b/>
          <w:bCs/>
          <w:sz w:val="28"/>
          <w:szCs w:val="28"/>
        </w:rPr>
        <w:t xml:space="preserve">§ 6 Datenschutz und Datensicherheit</w:t>
      </w:r>
    </w:p>
    <w:p>
      <w:pPr>
        <w:spacing w:after="120" w:before="120"/>
        <w:jc w:val="left"/>
      </w:pPr>
      <w:r>
        <w:rPr>
          <w:rFonts w:ascii="Arial" w:cs="Arial" w:eastAsia="Arial" w:hAnsi="Arial"/>
          <w:sz w:val="22"/>
          <w:szCs w:val="22"/>
        </w:rPr>
        <w:t xml:space="preserve">6.1 Im Rahmen der Vertragserfüllung verarbeitet der Lizenzgeber personenbezogene Daten des Lizenznehmers als Auftragsverarbeiter im Sinne von Art. 28 DSGVO. Die Einzelheiten der Auftragsverarbeitung sind im Auftragsverarbeitungsvertrag (Anlage C) geregelt.</w:t>
      </w:r>
    </w:p>
    <w:p>
      <w:pPr>
        <w:spacing w:after="120" w:before="120"/>
        <w:jc w:val="left"/>
      </w:pPr>
      <w:r>
        <w:rPr>
          <w:rFonts w:ascii="Arial" w:cs="Arial" w:eastAsia="Arial" w:hAnsi="Arial"/>
          <w:sz w:val="22"/>
          <w:szCs w:val="22"/>
        </w:rPr>
        <w:t xml:space="preserve">6.2 Der Lizenzgeber verpflichtet sich, alle technischen und organisatorischen Maßnahmen gemäß Art. 32 DSGVO zu implementieren und aufrechtzuerhalten. Dazu gehören insbesondere:</w:t>
      </w:r>
    </w:p>
    <w:p>
      <w:pPr>
        <w:pStyle w:val="ListParagraph"/>
        <w:numPr>
          <w:ilvl w:val="0"/>
          <w:numId w:val="2"/>
        </w:numPr>
        <w:spacing w:after="60" w:before="60"/>
      </w:pPr>
      <w:r>
        <w:rPr>
          <w:rFonts w:ascii="Arial" w:cs="Arial" w:eastAsia="Arial" w:hAnsi="Arial"/>
          <w:sz w:val="22"/>
          <w:szCs w:val="22"/>
        </w:rPr>
        <w:t xml:space="preserve">Verschlüsselung aller Daten in Transit (TLS 1.3) und im Ruhezustand (AES-256)</w:t>
      </w:r>
    </w:p>
    <w:p>
      <w:pPr>
        <w:pStyle w:val="ListParagraph"/>
        <w:numPr>
          <w:ilvl w:val="0"/>
          <w:numId w:val="2"/>
        </w:numPr>
        <w:spacing w:after="60" w:before="60"/>
      </w:pPr>
      <w:r>
        <w:rPr>
          <w:rFonts w:ascii="Arial" w:cs="Arial" w:eastAsia="Arial" w:hAnsi="Arial"/>
          <w:sz w:val="22"/>
          <w:szCs w:val="22"/>
        </w:rPr>
        <w:t xml:space="preserve">Tägliche automatisierte Backups mit einer Aufbewahrungsdauer von 30 Tagen</w:t>
      </w:r>
    </w:p>
    <w:p>
      <w:pPr>
        <w:pStyle w:val="ListParagraph"/>
        <w:numPr>
          <w:ilvl w:val="0"/>
          <w:numId w:val="2"/>
        </w:numPr>
        <w:spacing w:after="60" w:before="60"/>
      </w:pPr>
      <w:r>
        <w:rPr>
          <w:rFonts w:ascii="Arial" w:cs="Arial" w:eastAsia="Arial" w:hAnsi="Arial"/>
          <w:sz w:val="22"/>
          <w:szCs w:val="22"/>
        </w:rPr>
        <w:t xml:space="preserve">Zugriffskontrollen und Protokollierung aller administrativen Zugriffe</w:t>
      </w:r>
    </w:p>
    <w:p>
      <w:pPr>
        <w:pStyle w:val="ListParagraph"/>
        <w:numPr>
          <w:ilvl w:val="0"/>
          <w:numId w:val="2"/>
        </w:numPr>
        <w:spacing w:after="60" w:before="60"/>
      </w:pPr>
      <w:r>
        <w:rPr>
          <w:rFonts w:ascii="Arial" w:cs="Arial" w:eastAsia="Arial" w:hAnsi="Arial"/>
          <w:sz w:val="22"/>
          <w:szCs w:val="22"/>
        </w:rPr>
        <w:t xml:space="preserve">Regelmäßige Penetrationstests durch unabhängige Dritte (mindestens jährlich)</w:t>
      </w:r>
    </w:p>
    <w:p>
      <w:pPr>
        <w:spacing w:after="120" w:before="120"/>
        <w:jc w:val="left"/>
      </w:pPr>
      <w:r>
        <w:rPr>
          <w:rFonts w:ascii="Arial" w:cs="Arial" w:eastAsia="Arial" w:hAnsi="Arial"/>
          <w:sz w:val="22"/>
          <w:szCs w:val="22"/>
        </w:rPr>
        <w:t xml:space="preserve">6.3 Der Lizenzgeber betreibt seine Server ausschließlich in ISO 27001-zertifizierten Rechenzentren innerhalb der Europäischen Union, bevorzugt in Österreich oder Deutschland.</w:t>
      </w:r>
    </w:p>
    <w:p>
      <w:pPr>
        <w:pStyle w:val="Heading1"/>
        <w:spacing w:after="180" w:before="360"/>
      </w:pPr>
      <w:r>
        <w:rPr>
          <w:rFonts w:ascii="Arial" w:cs="Arial" w:eastAsia="Arial" w:hAnsi="Arial"/>
          <w:b/>
          <w:bCs/>
          <w:sz w:val="28"/>
          <w:szCs w:val="28"/>
        </w:rPr>
        <w:t xml:space="preserve">§ 7 Gewährleistung und Haftung</w:t>
      </w:r>
    </w:p>
    <w:p>
      <w:pPr>
        <w:spacing w:after="120" w:before="120"/>
        <w:jc w:val="left"/>
      </w:pPr>
      <w:r>
        <w:rPr>
          <w:rFonts w:ascii="Arial" w:cs="Arial" w:eastAsia="Arial" w:hAnsi="Arial"/>
          <w:sz w:val="22"/>
          <w:szCs w:val="22"/>
        </w:rPr>
        <w:t xml:space="preserve">7.1 Der Lizenzgeber gewährleistet, dass die Software die in der Produktdokumentation beschriebenen Funktionen erfüllt. Geringfügige Abweichungen begründen keine Gewährleistungsansprüche.</w:t>
      </w:r>
    </w:p>
    <w:p>
      <w:pPr>
        <w:spacing w:after="120" w:before="120"/>
        <w:jc w:val="left"/>
      </w:pPr>
      <w:r>
        <w:rPr>
          <w:rFonts w:ascii="Arial" w:cs="Arial" w:eastAsia="Arial" w:hAnsi="Arial"/>
          <w:sz w:val="22"/>
          <w:szCs w:val="22"/>
        </w:rPr>
        <w:t xml:space="preserve">7.2 Die Haftung des Lizenzgebers für Schäden aus leichter Fahrlässigkeit ist auf den durchschnittlichen jährlichen Vertragswert begrenzt, es sei denn, es handelt sich um Personenschäden oder Schäden aus der Verletzung wesentlicher Vertragspflichten (Kardinalpflichten).</w:t>
      </w:r>
    </w:p>
    <w:p>
      <w:pPr>
        <w:spacing w:after="120" w:before="120"/>
        <w:jc w:val="left"/>
      </w:pPr>
      <w:r>
        <w:rPr>
          <w:rFonts w:ascii="Arial" w:cs="Arial" w:eastAsia="Arial" w:hAnsi="Arial"/>
          <w:sz w:val="22"/>
          <w:szCs w:val="22"/>
        </w:rPr>
        <w:t xml:space="preserve">7.3 Für mittelbare Schäden, entgangenen Gewinn und Datenverluste haftet der Lizenzgeber nur bei Vorsatz oder grober Fahrlässigkeit.</w:t>
      </w:r>
    </w:p>
    <w:p>
      <w:pPr>
        <w:pStyle w:val="Heading1"/>
        <w:spacing w:after="180" w:before="360"/>
      </w:pPr>
      <w:r>
        <w:rPr>
          <w:rFonts w:ascii="Arial" w:cs="Arial" w:eastAsia="Arial" w:hAnsi="Arial"/>
          <w:b/>
          <w:bCs/>
          <w:sz w:val="28"/>
          <w:szCs w:val="28"/>
        </w:rPr>
        <w:t xml:space="preserve">§ 8 Vertragslaufzeit und Kündigung</w:t>
      </w:r>
    </w:p>
    <w:p>
      <w:pPr>
        <w:spacing w:after="120" w:before="120"/>
        <w:jc w:val="left"/>
      </w:pPr>
      <w:r>
        <w:rPr>
          <w:rFonts w:ascii="Arial" w:cs="Arial" w:eastAsia="Arial" w:hAnsi="Arial"/>
          <w:sz w:val="22"/>
          <w:szCs w:val="22"/>
        </w:rPr>
        <w:t xml:space="preserve">8.1 Dieser Vertrag beginnt mit dem Datum der Unterzeichnung und hat eine Mindestlaufzeit von 36 Monaten.</w:t>
      </w:r>
    </w:p>
    <w:p>
      <w:pPr>
        <w:spacing w:after="120" w:before="120"/>
        <w:jc w:val="left"/>
      </w:pPr>
      <w:r>
        <w:rPr>
          <w:rFonts w:ascii="Arial" w:cs="Arial" w:eastAsia="Arial" w:hAnsi="Arial"/>
          <w:sz w:val="22"/>
          <w:szCs w:val="22"/>
        </w:rPr>
        <w:t xml:space="preserve">8.2 Nach Ablauf der Mindestlaufzeit verlängert sich der Vertrag automatisch um jeweils 12 Monate, sofern er nicht von einer Vertragspartei mit einer Frist von 6 Monaten zum Laufzeitende schriftlich gekündigt wird.</w:t>
      </w:r>
    </w:p>
    <w:p>
      <w:pPr>
        <w:spacing w:after="120" w:before="120"/>
        <w:jc w:val="left"/>
      </w:pPr>
      <w:r>
        <w:rPr>
          <w:rFonts w:ascii="Arial" w:cs="Arial" w:eastAsia="Arial" w:hAnsi="Arial"/>
          <w:sz w:val="22"/>
          <w:szCs w:val="22"/>
        </w:rPr>
        <w:t xml:space="preserve">8.3 Das Recht zur außerordentlichen Kündigung aus wichtigem Grund bleibt unberührt. Ein wichtiger Grund liegt insbesondere vor, wenn eine Vertragspartei trotz schriftlicher Abmahnung und Nachfristsetzung von 30 Tagen wesentliche Vertragspflichten verletzt.</w:t>
      </w:r>
    </w:p>
    <w:p>
      <w:pPr>
        <w:pStyle w:val="Heading1"/>
        <w:spacing w:after="180" w:before="360"/>
      </w:pPr>
      <w:r>
        <w:rPr>
          <w:rFonts w:ascii="Arial" w:cs="Arial" w:eastAsia="Arial" w:hAnsi="Arial"/>
          <w:b/>
          <w:bCs/>
          <w:sz w:val="28"/>
          <w:szCs w:val="28"/>
        </w:rPr>
        <w:t xml:space="preserve">§ 9 Schlussbestimmungen</w:t>
      </w:r>
    </w:p>
    <w:p>
      <w:pPr>
        <w:spacing w:after="120" w:before="120"/>
        <w:jc w:val="left"/>
      </w:pPr>
      <w:r>
        <w:rPr>
          <w:rFonts w:ascii="Arial" w:cs="Arial" w:eastAsia="Arial" w:hAnsi="Arial"/>
          <w:sz w:val="22"/>
          <w:szCs w:val="22"/>
        </w:rPr>
        <w:t xml:space="preserve">9.1 Änderungen und Ergänzungen dieses Vertrages bedürfen der Schriftform und müssen von beiden Vertragsparteien unterzeichnet werden.</w:t>
      </w:r>
    </w:p>
    <w:p>
      <w:pPr>
        <w:spacing w:after="120" w:before="120"/>
        <w:jc w:val="left"/>
      </w:pPr>
      <w:r>
        <w:rPr>
          <w:rFonts w:ascii="Arial" w:cs="Arial" w:eastAsia="Arial" w:hAnsi="Arial"/>
          <w:sz w:val="22"/>
          <w:szCs w:val="22"/>
        </w:rPr>
        <w:t xml:space="preserve">9.2 Auf diesen Vertrag findet österreichisches Recht Anwendung. Der Gerichtsstand für alle Streitigkeiten ist Wien.</w:t>
      </w:r>
    </w:p>
    <w:p>
      <w:pPr>
        <w:spacing w:after="120" w:before="120"/>
        <w:jc w:val="left"/>
      </w:pPr>
      <w:r>
        <w:rPr>
          <w:rFonts w:ascii="Arial" w:cs="Arial" w:eastAsia="Arial" w:hAnsi="Arial"/>
          <w:sz w:val="22"/>
          <w:szCs w:val="22"/>
        </w:rPr>
        <w:t xml:space="preserve">9.3 Sollten einzelne Bestimmungen dieses Vertrages unwirksam sein oder werden, berührt dies die Wirksamkeit der übrigen Bestimmungen nicht.</w:t>
      </w:r>
    </w:p>
    <w:p>
      <w:r>
        <w:t xml:space="preserve"/>
      </w:r>
    </w:p>
    <w:p>
      <w:r>
        <w:t xml:space="preserve"/>
      </w:r>
    </w:p>
    <w:p>
      <w:pPr>
        <w:spacing w:after="120" w:before="120"/>
        <w:jc w:val="left"/>
      </w:pPr>
      <w:r>
        <w:rPr>
          <w:rFonts w:ascii="Arial" w:cs="Arial" w:eastAsia="Arial" w:hAnsi="Arial"/>
          <w:sz w:val="22"/>
          <w:szCs w:val="22"/>
        </w:rPr>
        <w:t xml:space="preserve">Wien, den ________________________</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single" w:color="AAAAAA" w:sz="1"/>
              <w:right w:val="none"/>
            </w:tcBorders>
            <w:tcMar>
              <w:top w:type="dxa" w:w="100"/>
              <w:left w:type="dxa" w:w="150"/>
              <w:bottom w:type="dxa" w:w="100"/>
              <w:right w:type="dxa" w:w="150"/>
            </w:tcMar>
          </w:tcPr>
          <w:p>
            <w:pPr>
              <w:spacing w:before="480"/>
            </w:pPr>
            <w:r>
              <w:rPr>
                <w:rFonts w:ascii="Arial" w:cs="Arial" w:eastAsia="Arial" w:hAnsi="Arial"/>
                <w:sz w:val="22"/>
                <w:szCs w:val="22"/>
              </w:rPr>
              <w:t xml:space="preserve">TechSolutions GmbH</w:t>
            </w:r>
          </w:p>
          <w:p>
            <w:r>
              <w:rPr>
                <w:rFonts w:ascii="Arial" w:cs="Arial" w:eastAsia="Arial" w:hAnsi="Arial"/>
                <w:i/>
                <w:iCs/>
                <w:sz w:val="20"/>
                <w:szCs w:val="20"/>
              </w:rPr>
              <w:t xml:space="preserve">(Lizenzgeber)</w:t>
            </w:r>
          </w:p>
        </w:tc>
        <w:tc>
          <w:tcPr>
            <w:tcW w:type="dxa" w:w="4513"/>
            <w:tcBorders>
              <w:top w:val="none"/>
              <w:left w:val="none"/>
              <w:bottom w:val="single" w:color="AAAAAA" w:sz="1"/>
              <w:right w:val="none"/>
            </w:tcBorders>
            <w:tcMar>
              <w:top w:type="dxa" w:w="100"/>
              <w:left w:type="dxa" w:w="150"/>
              <w:bottom w:type="dxa" w:w="100"/>
              <w:right w:type="dxa" w:w="150"/>
            </w:tcMar>
          </w:tcPr>
          <w:p>
            <w:pPr>
              <w:spacing w:before="480"/>
            </w:pPr>
            <w:r>
              <w:rPr>
                <w:rFonts w:ascii="Arial" w:cs="Arial" w:eastAsia="Arial" w:hAnsi="Arial"/>
                <w:sz w:val="22"/>
                <w:szCs w:val="22"/>
              </w:rPr>
              <w:t xml:space="preserve">Musterfirma AG</w:t>
            </w:r>
          </w:p>
          <w:p>
            <w:r>
              <w:rPr>
                <w:rFonts w:ascii="Arial" w:cs="Arial" w:eastAsia="Arial" w:hAnsi="Arial"/>
                <w:i/>
                <w:iCs/>
                <w:sz w:val="20"/>
                <w:szCs w:val="20"/>
              </w:rPr>
              <w:t xml:space="preserve">(Lizenznehmer)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2026-04-17T09:33:57.396Z</dcterms:created>
  <dcterms:modified xsi:type="dcterms:W3CDTF">2026-04-17T09:33:57.398Z</dcterms:modified>
</cp:coreProperties>
</file>

<file path=docProps/custom.xml><?xml version="1.0" encoding="utf-8"?>
<Properties xmlns="http://schemas.openxmlformats.org/officeDocument/2006/custom-properties" xmlns:vt="http://schemas.openxmlformats.org/officeDocument/2006/docPropsVTypes"/>
</file>