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36"/>
          <w:szCs w:val="36"/>
        </w:rPr>
        <w:t xml:space="preserve">GEWERBEMIETVERTRAG</w:t>
      </w:r>
    </w:p>
    <w:p>
      <w:pPr>
        <w:spacing w:after="480" w:before="0"/>
        <w:jc w:val="center"/>
      </w:pPr>
      <w:r>
        <w:rPr>
          <w:rFonts w:ascii="Arial" w:cs="Arial" w:eastAsia="Arial" w:hAnsi="Arial"/>
          <w:sz w:val="24"/>
          <w:szCs w:val="24"/>
        </w:rPr>
        <w:t xml:space="preserve">über Büro- und Geschäftsräumlichkeiten</w:t>
      </w:r>
    </w:p>
    <w:p>
      <w:pPr>
        <w:pStyle w:val="Heading1"/>
        <w:spacing w:after="180" w:before="360"/>
      </w:pPr>
      <w:r>
        <w:rPr>
          <w:rFonts w:ascii="Arial" w:cs="Arial" w:eastAsia="Arial" w:hAnsi="Arial"/>
          <w:b/>
          <w:bCs/>
          <w:sz w:val="28"/>
          <w:szCs w:val="28"/>
        </w:rPr>
        <w:t xml:space="preserve">§ 1 Vertragsparteien</w:t>
      </w:r>
    </w:p>
    <w:p>
      <w:pPr>
        <w:spacing w:after="80" w:before="80"/>
      </w:pPr>
      <w:r>
        <w:rPr>
          <w:rFonts w:ascii="Arial" w:cs="Arial" w:eastAsia="Arial" w:hAnsi="Arial"/>
          <w:b/>
          <w:bCs/>
          <w:sz w:val="22"/>
          <w:szCs w:val="22"/>
        </w:rPr>
        <w:t xml:space="preserve">Vermieter: </w:t>
      </w:r>
      <w:r>
        <w:rPr>
          <w:rFonts w:ascii="Arial" w:cs="Arial" w:eastAsia="Arial" w:hAnsi="Arial"/>
          <w:sz w:val="22"/>
          <w:szCs w:val="22"/>
        </w:rPr>
        <w:t xml:space="preserve">Immobilien Wien Invest GmbH &amp; Co KG, Kärtnerring 8, 1010 Wien, FN 345678c</w:t>
      </w:r>
    </w:p>
    <w:p>
      <w:pPr>
        <w:spacing w:after="80" w:before="80"/>
      </w:pPr>
      <w:r>
        <w:rPr>
          <w:rFonts w:ascii="Arial" w:cs="Arial" w:eastAsia="Arial" w:hAnsi="Arial"/>
          <w:b/>
          <w:bCs/>
          <w:sz w:val="22"/>
          <w:szCs w:val="22"/>
        </w:rPr>
        <w:t xml:space="preserve">Mieter: </w:t>
      </w:r>
      <w:r>
        <w:rPr>
          <w:rFonts w:ascii="Arial" w:cs="Arial" w:eastAsia="Arial" w:hAnsi="Arial"/>
          <w:sz w:val="22"/>
          <w:szCs w:val="22"/>
        </w:rPr>
        <w:t xml:space="preserve">Consulting Excellence GmbH, Mariahilfer Straße 100, 1070 Wien, FN 456789d</w:t>
      </w:r>
    </w:p>
    <w:p>
      <w:pPr>
        <w:pStyle w:val="Heading1"/>
        <w:spacing w:after="180" w:before="360"/>
      </w:pPr>
      <w:r>
        <w:rPr>
          <w:rFonts w:ascii="Arial" w:cs="Arial" w:eastAsia="Arial" w:hAnsi="Arial"/>
          <w:b/>
          <w:bCs/>
          <w:sz w:val="28"/>
          <w:szCs w:val="28"/>
        </w:rPr>
        <w:t xml:space="preserve">§ 2 Mietgegenstand</w:t>
      </w:r>
    </w:p>
    <w:p>
      <w:pPr>
        <w:spacing w:after="120" w:before="120"/>
        <w:jc w:val="left"/>
      </w:pPr>
      <w:r>
        <w:rPr>
          <w:rFonts w:ascii="Arial" w:cs="Arial" w:eastAsia="Arial" w:hAnsi="Arial"/>
          <w:sz w:val="22"/>
          <w:szCs w:val="22"/>
        </w:rPr>
        <w:t xml:space="preserve">2.1 Gegenstand dieses Mietvertrages sind die im 8. Obergeschoss des Bürogebäudes "The Park Tower", Schwarzenbergplatz 5, 1030 Wien, gelegenen Büroflächen mit der Gesamtnutzfläche von 1.250 m² (in Worten: eintausendzweihundertfünfzig Quadratmeter), bestehend aus:</w:t>
      </w:r>
    </w:p>
    <w:p>
      <w:pPr>
        <w:pStyle w:val="ListParagraph"/>
        <w:numPr>
          <w:ilvl w:val="0"/>
          <w:numId w:val="2"/>
        </w:numPr>
        <w:spacing w:after="60" w:before="60"/>
      </w:pPr>
      <w:r>
        <w:rPr>
          <w:rFonts w:ascii="Arial" w:cs="Arial" w:eastAsia="Arial" w:hAnsi="Arial"/>
          <w:sz w:val="22"/>
          <w:szCs w:val="22"/>
        </w:rPr>
        <w:t xml:space="preserve">Bürofläche: 1.050 m² (Raum-Nrn. 801-835 gemäß Grundrissplan Anlage A)</w:t>
      </w:r>
    </w:p>
    <w:p>
      <w:pPr>
        <w:pStyle w:val="ListParagraph"/>
        <w:numPr>
          <w:ilvl w:val="0"/>
          <w:numId w:val="2"/>
        </w:numPr>
        <w:spacing w:after="60" w:before="60"/>
      </w:pPr>
      <w:r>
        <w:rPr>
          <w:rFonts w:ascii="Arial" w:cs="Arial" w:eastAsia="Arial" w:hAnsi="Arial"/>
          <w:sz w:val="22"/>
          <w:szCs w:val="22"/>
        </w:rPr>
        <w:t xml:space="preserve">Sozialflächen (Küche, Umkleiden, WC-Anlagen): 120 m²</w:t>
      </w:r>
    </w:p>
    <w:p>
      <w:pPr>
        <w:pStyle w:val="ListParagraph"/>
        <w:numPr>
          <w:ilvl w:val="0"/>
          <w:numId w:val="2"/>
        </w:numPr>
        <w:spacing w:after="60" w:before="60"/>
      </w:pPr>
      <w:r>
        <w:rPr>
          <w:rFonts w:ascii="Arial" w:cs="Arial" w:eastAsia="Arial" w:hAnsi="Arial"/>
          <w:sz w:val="22"/>
          <w:szCs w:val="22"/>
        </w:rPr>
        <w:t xml:space="preserve">Archiv- und Lagerfläche: 80 m²</w:t>
      </w:r>
    </w:p>
    <w:p>
      <w:pPr>
        <w:spacing w:after="120" w:before="120"/>
        <w:jc w:val="left"/>
      </w:pPr>
      <w:r>
        <w:rPr>
          <w:rFonts w:ascii="Arial" w:cs="Arial" w:eastAsia="Arial" w:hAnsi="Arial"/>
          <w:sz w:val="22"/>
          <w:szCs w:val="22"/>
        </w:rPr>
        <w:t xml:space="preserve">2.2 Zum Mietgegenstand gehören weiters 15 (fünfzehn) Tiefgaragenstellplätze (Stellplätze Nr. 201-215) im Untergeschoss des Gebäudes.</w:t>
      </w:r>
    </w:p>
    <w:p>
      <w:pPr>
        <w:spacing w:after="120" w:before="120"/>
        <w:jc w:val="left"/>
      </w:pPr>
      <w:r>
        <w:rPr>
          <w:rFonts w:ascii="Arial" w:cs="Arial" w:eastAsia="Arial" w:hAnsi="Arial"/>
          <w:sz w:val="22"/>
          <w:szCs w:val="22"/>
        </w:rPr>
        <w:t xml:space="preserve">2.3 Der Mietgegenstand ist im Grundbuch der Katastralgemeinde Landstraße, Einlagezahl 567/3, verzeichnet.</w:t>
      </w:r>
    </w:p>
    <w:p>
      <w:pPr>
        <w:pStyle w:val="Heading1"/>
        <w:spacing w:after="180" w:before="360"/>
      </w:pPr>
      <w:r>
        <w:rPr>
          <w:rFonts w:ascii="Arial" w:cs="Arial" w:eastAsia="Arial" w:hAnsi="Arial"/>
          <w:b/>
          <w:bCs/>
          <w:sz w:val="28"/>
          <w:szCs w:val="28"/>
        </w:rPr>
        <w:t xml:space="preserve">§ 3 Mietzweck</w:t>
      </w:r>
    </w:p>
    <w:p>
      <w:pPr>
        <w:spacing w:after="120" w:before="120"/>
        <w:jc w:val="left"/>
      </w:pPr>
      <w:r>
        <w:rPr>
          <w:rFonts w:ascii="Arial" w:cs="Arial" w:eastAsia="Arial" w:hAnsi="Arial"/>
          <w:sz w:val="22"/>
          <w:szCs w:val="22"/>
        </w:rPr>
        <w:t xml:space="preserve">3.1 Die Mietflächen werden ausschließlich zur Nutzung als Büro- und Verwaltungsräumlichkeiten für den Betrieb einer Unternehmensberatungsfirma vermietet. Jede andere Nutzung, insbesondere Einzelhandel, Lagerung gefährlicher Stoffe oder Wohnzwecke, ist ohne schriftliche Zustimmung des Vermieters untersagt.</w:t>
      </w:r>
    </w:p>
    <w:p>
      <w:pPr>
        <w:spacing w:after="120" w:before="120"/>
        <w:jc w:val="left"/>
      </w:pPr>
      <w:r>
        <w:rPr>
          <w:rFonts w:ascii="Arial" w:cs="Arial" w:eastAsia="Arial" w:hAnsi="Arial"/>
          <w:sz w:val="22"/>
          <w:szCs w:val="22"/>
        </w:rPr>
        <w:t xml:space="preserve">3.2 Für den Fall einer geplanten Unternutzung oder Untervermietung an verbundene Unternehmen bedarf es der vorherigen schriftlichen Zustimmung des Vermieters, die nicht unbillig verweigert werden darf.</w:t>
      </w:r>
    </w:p>
    <w:p>
      <w:pPr>
        <w:pStyle w:val="Heading1"/>
        <w:spacing w:after="180" w:before="360"/>
      </w:pPr>
      <w:r>
        <w:rPr>
          <w:rFonts w:ascii="Arial" w:cs="Arial" w:eastAsia="Arial" w:hAnsi="Arial"/>
          <w:b/>
          <w:bCs/>
          <w:sz w:val="28"/>
          <w:szCs w:val="28"/>
        </w:rPr>
        <w:t xml:space="preserve">§ 4 Mietbeginn und Mietdauer</w:t>
      </w:r>
    </w:p>
    <w:p>
      <w:pPr>
        <w:spacing w:after="120" w:before="120"/>
        <w:jc w:val="left"/>
      </w:pPr>
      <w:r>
        <w:rPr>
          <w:rFonts w:ascii="Arial" w:cs="Arial" w:eastAsia="Arial" w:hAnsi="Arial"/>
          <w:sz w:val="22"/>
          <w:szCs w:val="22"/>
        </w:rPr>
        <w:t xml:space="preserve">4.1 Das Mietverhältnis beginnt am 1. April 2025 ("Übergabedatum") und wird auf bestimmte Zeit von 10 (zehn) Jahren abgeschlossen, es endet somit am 31. März 2035.</w:t>
      </w:r>
    </w:p>
    <w:p>
      <w:pPr>
        <w:spacing w:after="120" w:before="120"/>
        <w:jc w:val="left"/>
      </w:pPr>
      <w:r>
        <w:rPr>
          <w:rFonts w:ascii="Arial" w:cs="Arial" w:eastAsia="Arial" w:hAnsi="Arial"/>
          <w:sz w:val="22"/>
          <w:szCs w:val="22"/>
        </w:rPr>
        <w:t xml:space="preserve">4.2 Der Mieter hat das unwiderrufliche Optionsrecht, das Mietverhältnis zweimal um jeweils 5 (fünf) Jahre zu verlängern. Die Option ist jeweils spätestens 12 Monate vor Ablauf der jeweiligen Mietperiode schriftlich auszuüben.</w:t>
      </w:r>
    </w:p>
    <w:p>
      <w:pPr>
        <w:spacing w:after="120" w:before="120"/>
        <w:jc w:val="left"/>
      </w:pPr>
      <w:r>
        <w:rPr>
          <w:rFonts w:ascii="Arial" w:cs="Arial" w:eastAsia="Arial" w:hAnsi="Arial"/>
          <w:sz w:val="22"/>
          <w:szCs w:val="22"/>
        </w:rPr>
        <w:t xml:space="preserve">4.3 Mietfreie Ausbauzeit: Für den Zeitraum vom 1. März 2025 bis 31. März 2025 ("Ausbauzeitraum") wird dem Mieter mietfreier Zugang zu den Räumlichkeiten für Ausbauarbeiten gewährt. Betriebs- und Nebenkosten sind während des Ausbauzeitraums bereits zu entrichten.</w:t>
      </w:r>
    </w:p>
    <w:p>
      <w:pPr>
        <w:pStyle w:val="Heading1"/>
        <w:spacing w:after="180" w:before="360"/>
      </w:pPr>
      <w:r>
        <w:rPr>
          <w:rFonts w:ascii="Arial" w:cs="Arial" w:eastAsia="Arial" w:hAnsi="Arial"/>
          <w:b/>
          <w:bCs/>
          <w:sz w:val="28"/>
          <w:szCs w:val="28"/>
        </w:rPr>
        <w:t xml:space="preserve">§ 5 Mietzins und Nebenkosten</w:t>
      </w:r>
    </w:p>
    <w:p>
      <w:pPr>
        <w:spacing w:after="120" w:before="120"/>
        <w:jc w:val="left"/>
      </w:pPr>
      <w:r>
        <w:rPr>
          <w:rFonts w:ascii="Arial" w:cs="Arial" w:eastAsia="Arial" w:hAnsi="Arial"/>
          <w:sz w:val="22"/>
          <w:szCs w:val="22"/>
        </w:rPr>
        <w:t xml:space="preserve">5.1 Der monatliche Nettomietzins beträgt EUR 26.250,-- (EUR 21,00/m² Nutzfläche × 1.250 m²), zuzüglich der gesetzlichen Umsatzsteuer in der jeweils geltenden Höhe.</w:t>
      </w:r>
    </w:p>
    <w:p>
      <w:pPr>
        <w:spacing w:after="120" w:before="120"/>
        <w:jc w:val="left"/>
      </w:pPr>
      <w:r>
        <w:rPr>
          <w:rFonts w:ascii="Arial" w:cs="Arial" w:eastAsia="Arial" w:hAnsi="Arial"/>
          <w:sz w:val="22"/>
          <w:szCs w:val="22"/>
        </w:rPr>
        <w:t xml:space="preserve">5.2 Für die Tiefgaragenstellplätze beträgt der monatliche Nettomietzins zusätzlich EUR 2.250,-- (EUR 150,00 je Stellplatz × 15 Stellplätze).</w:t>
      </w:r>
    </w:p>
    <w:p>
      <w:pPr>
        <w:spacing w:after="120" w:before="120"/>
        <w:jc w:val="left"/>
      </w:pPr>
      <w:r>
        <w:rPr>
          <w:rFonts w:ascii="Arial" w:cs="Arial" w:eastAsia="Arial" w:hAnsi="Arial"/>
          <w:sz w:val="22"/>
          <w:szCs w:val="22"/>
        </w:rPr>
        <w:t xml:space="preserve">5.3 Der Mietzins ist wertgesichert und wird jährlich zum 1. April an die Entwicklung des Verbraucherpreisindex 2020 (VPI 2020) der Statistik Austria angepasst. Als Ausgangsbasis dient der für den Monat Dezember 2024 verlautbarte Indexwert.</w:t>
      </w:r>
    </w:p>
    <w:p>
      <w:pPr>
        <w:spacing w:after="120" w:before="120"/>
        <w:jc w:val="left"/>
      </w:pPr>
      <w:r>
        <w:rPr>
          <w:rFonts w:ascii="Arial" w:cs="Arial" w:eastAsia="Arial" w:hAnsi="Arial"/>
          <w:sz w:val="22"/>
          <w:szCs w:val="22"/>
        </w:rPr>
        <w:t xml:space="preserve">5.4 Als Betriebskosten sind die tatsächlichen Kosten für folgende Positionen anteilig nach dem Flächenschlüssel zu tragen:</w:t>
      </w:r>
    </w:p>
    <w:p>
      <w:pPr>
        <w:pStyle w:val="ListParagraph"/>
        <w:numPr>
          <w:ilvl w:val="0"/>
          <w:numId w:val="2"/>
        </w:numPr>
        <w:spacing w:after="60" w:before="60"/>
      </w:pPr>
      <w:r>
        <w:rPr>
          <w:rFonts w:ascii="Arial" w:cs="Arial" w:eastAsia="Arial" w:hAnsi="Arial"/>
          <w:sz w:val="22"/>
          <w:szCs w:val="22"/>
        </w:rPr>
        <w:t xml:space="preserve">Heizung, Kühlung und Lüftung (inkl. Wartung der Klimaanlagen)</w:t>
      </w:r>
    </w:p>
    <w:p>
      <w:pPr>
        <w:pStyle w:val="ListParagraph"/>
        <w:numPr>
          <w:ilvl w:val="0"/>
          <w:numId w:val="2"/>
        </w:numPr>
        <w:spacing w:after="60" w:before="60"/>
      </w:pPr>
      <w:r>
        <w:rPr>
          <w:rFonts w:ascii="Arial" w:cs="Arial" w:eastAsia="Arial" w:hAnsi="Arial"/>
          <w:sz w:val="22"/>
          <w:szCs w:val="22"/>
        </w:rPr>
        <w:t xml:space="preserve">Strom und Wasser für gemeinschaftlich genutzte Flächen</w:t>
      </w:r>
    </w:p>
    <w:p>
      <w:pPr>
        <w:pStyle w:val="ListParagraph"/>
        <w:numPr>
          <w:ilvl w:val="0"/>
          <w:numId w:val="2"/>
        </w:numPr>
        <w:spacing w:after="60" w:before="60"/>
      </w:pPr>
      <w:r>
        <w:rPr>
          <w:rFonts w:ascii="Arial" w:cs="Arial" w:eastAsia="Arial" w:hAnsi="Arial"/>
          <w:sz w:val="22"/>
          <w:szCs w:val="22"/>
        </w:rPr>
        <w:t xml:space="preserve">Betrieb und Wartung von Aufzügen und technischen Anlagen</w:t>
      </w:r>
    </w:p>
    <w:p>
      <w:pPr>
        <w:pStyle w:val="ListParagraph"/>
        <w:numPr>
          <w:ilvl w:val="0"/>
          <w:numId w:val="2"/>
        </w:numPr>
        <w:spacing w:after="60" w:before="60"/>
      </w:pPr>
      <w:r>
        <w:rPr>
          <w:rFonts w:ascii="Arial" w:cs="Arial" w:eastAsia="Arial" w:hAnsi="Arial"/>
          <w:sz w:val="22"/>
          <w:szCs w:val="22"/>
        </w:rPr>
        <w:t xml:space="preserve">Reinigung und Pflege der gemeinschaftlichen Bereiche und Außenanlagen</w:t>
      </w:r>
    </w:p>
    <w:p>
      <w:pPr>
        <w:pStyle w:val="ListParagraph"/>
        <w:numPr>
          <w:ilvl w:val="0"/>
          <w:numId w:val="2"/>
        </w:numPr>
        <w:spacing w:after="60" w:before="60"/>
      </w:pPr>
      <w:r>
        <w:rPr>
          <w:rFonts w:ascii="Arial" w:cs="Arial" w:eastAsia="Arial" w:hAnsi="Arial"/>
          <w:sz w:val="22"/>
          <w:szCs w:val="22"/>
        </w:rPr>
        <w:t xml:space="preserve">Versicherungen für das Gebäude (Feuer, Einbruch, Haftpflicht)</w:t>
      </w:r>
    </w:p>
    <w:p>
      <w:pPr>
        <w:pStyle w:val="ListParagraph"/>
        <w:numPr>
          <w:ilvl w:val="0"/>
          <w:numId w:val="2"/>
        </w:numPr>
        <w:spacing w:after="60" w:before="60"/>
      </w:pPr>
      <w:r>
        <w:rPr>
          <w:rFonts w:ascii="Arial" w:cs="Arial" w:eastAsia="Arial" w:hAnsi="Arial"/>
          <w:sz w:val="22"/>
          <w:szCs w:val="22"/>
        </w:rPr>
        <w:t xml:space="preserve">Hausverwaltungsgebühr: 4% des Nettomietzinses</w:t>
      </w:r>
    </w:p>
    <w:p>
      <w:pPr>
        <w:spacing w:after="120" w:before="120"/>
        <w:jc w:val="left"/>
      </w:pPr>
      <w:r>
        <w:rPr>
          <w:rFonts w:ascii="Arial" w:cs="Arial" w:eastAsia="Arial" w:hAnsi="Arial"/>
          <w:sz w:val="22"/>
          <w:szCs w:val="22"/>
        </w:rPr>
        <w:t xml:space="preserve">5.5 Auf Betriebskosten ist eine monatliche Akontierung von EUR 8.500,-- (netto) zu leisten. Die Abrechnung erfolgt jährlich bis zum 31. März des Folgejahres. Guthaben werden erstattet, Nachzahlungen sind innerhalb von 30 Tagen zu begleichen.</w:t>
      </w:r>
    </w:p>
    <w:p>
      <w:pPr>
        <w:pStyle w:val="Heading1"/>
        <w:spacing w:after="180" w:before="360"/>
      </w:pPr>
      <w:r>
        <w:rPr>
          <w:rFonts w:ascii="Arial" w:cs="Arial" w:eastAsia="Arial" w:hAnsi="Arial"/>
          <w:b/>
          <w:bCs/>
          <w:sz w:val="28"/>
          <w:szCs w:val="28"/>
        </w:rPr>
        <w:t xml:space="preserve">§ 6 Kaution und Bankgarantie</w:t>
      </w:r>
    </w:p>
    <w:p>
      <w:pPr>
        <w:spacing w:after="120" w:before="120"/>
        <w:jc w:val="left"/>
      </w:pPr>
      <w:r>
        <w:rPr>
          <w:rFonts w:ascii="Arial" w:cs="Arial" w:eastAsia="Arial" w:hAnsi="Arial"/>
          <w:sz w:val="22"/>
          <w:szCs w:val="22"/>
        </w:rPr>
        <w:t xml:space="preserve">6.1 Der Mieter stellt dem Vermieter zur Sicherung sämtlicher Forderungen aus diesem Mietverhältnis eine unwiderrufliche Bankgarantie einer erstklassigen österreichischen oder deutschen Bank in Höhe von EUR 175.500,-- (entsprechend 6 Monatsnettomietzinsen).</w:t>
      </w:r>
    </w:p>
    <w:p>
      <w:pPr>
        <w:spacing w:after="120" w:before="120"/>
        <w:jc w:val="left"/>
      </w:pPr>
      <w:r>
        <w:rPr>
          <w:rFonts w:ascii="Arial" w:cs="Arial" w:eastAsia="Arial" w:hAnsi="Arial"/>
          <w:sz w:val="22"/>
          <w:szCs w:val="22"/>
        </w:rPr>
        <w:t xml:space="preserve">6.2 Die Bankgarantie ist spätestens 14 Tage vor Beginn des Mietverhältnisses beizubringen und auf Verlangen des Vermieters nach jeder Indexanpassung entsprechend anzupassen.</w:t>
      </w:r>
    </w:p>
    <w:p>
      <w:pPr>
        <w:pStyle w:val="Heading1"/>
        <w:spacing w:after="180" w:before="360"/>
      </w:pPr>
      <w:r>
        <w:rPr>
          <w:rFonts w:ascii="Arial" w:cs="Arial" w:eastAsia="Arial" w:hAnsi="Arial"/>
          <w:b/>
          <w:bCs/>
          <w:sz w:val="28"/>
          <w:szCs w:val="28"/>
        </w:rPr>
        <w:t xml:space="preserve">§ 7 Übergabe und Zustand</w:t>
      </w:r>
    </w:p>
    <w:p>
      <w:pPr>
        <w:spacing w:after="120" w:before="120"/>
        <w:jc w:val="left"/>
      </w:pPr>
      <w:r>
        <w:rPr>
          <w:rFonts w:ascii="Arial" w:cs="Arial" w:eastAsia="Arial" w:hAnsi="Arial"/>
          <w:sz w:val="22"/>
          <w:szCs w:val="22"/>
        </w:rPr>
        <w:t xml:space="preserve">7.1 Der Vermieter übergibt den Mietgegenstand in renoviertem Zustand gemäß dem Übergabeprotokoll (Anlage B). Der Ausbaustandard entspricht Kategorie A (Shell &amp; Core) mit folgenden Grundausstattungen: Doppelboden (Kabeltrasse), Unterdecke mit Rasterbeleuchtung, Heizkörper/Kühlung, und Sanitärkerne.</w:t>
      </w:r>
    </w:p>
    <w:p>
      <w:pPr>
        <w:spacing w:after="120" w:before="120"/>
        <w:jc w:val="left"/>
      </w:pPr>
      <w:r>
        <w:rPr>
          <w:rFonts w:ascii="Arial" w:cs="Arial" w:eastAsia="Arial" w:hAnsi="Arial"/>
          <w:sz w:val="22"/>
          <w:szCs w:val="22"/>
        </w:rPr>
        <w:t xml:space="preserve">7.2 Der Vermieter gewährt dem Mieter einen Mieterausbaukostenzuschuss ("MieterFit-out-Beitrag") von EUR 500.000,--, zahlbar in zwei Tranchen: 50% nach Einreichung des Ausbaukonzepts und 50% nach Fertigstellung.</w:t>
      </w:r>
    </w:p>
    <w:p>
      <w:pPr>
        <w:pStyle w:val="Heading1"/>
        <w:spacing w:after="180" w:before="360"/>
      </w:pPr>
      <w:r>
        <w:rPr>
          <w:rFonts w:ascii="Arial" w:cs="Arial" w:eastAsia="Arial" w:hAnsi="Arial"/>
          <w:b/>
          <w:bCs/>
          <w:sz w:val="28"/>
          <w:szCs w:val="28"/>
        </w:rPr>
        <w:t xml:space="preserve">§ 8 Instandhaltung und Reparaturen</w:t>
      </w:r>
    </w:p>
    <w:p>
      <w:pPr>
        <w:spacing w:after="120" w:before="120"/>
        <w:jc w:val="left"/>
      </w:pPr>
      <w:r>
        <w:rPr>
          <w:rFonts w:ascii="Arial" w:cs="Arial" w:eastAsia="Arial" w:hAnsi="Arial"/>
          <w:sz w:val="22"/>
          <w:szCs w:val="22"/>
        </w:rPr>
        <w:t xml:space="preserve">8.1 Der Vermieter trägt die Kosten für Instandhaltung und Reparaturen am Dach, der Außenhülle, tragenden Bauteilen und den gemeinsamen technischen Anlagen.</w:t>
      </w:r>
    </w:p>
    <w:p>
      <w:pPr>
        <w:spacing w:after="120" w:before="120"/>
        <w:jc w:val="left"/>
      </w:pPr>
      <w:r>
        <w:rPr>
          <w:rFonts w:ascii="Arial" w:cs="Arial" w:eastAsia="Arial" w:hAnsi="Arial"/>
          <w:sz w:val="22"/>
          <w:szCs w:val="22"/>
        </w:rPr>
        <w:t xml:space="preserve">8.2 Der Mieter trägt die Kosten für die laufende Instandhaltung der Mietflächen sowie für Reparaturen, die durch vertragsgemäßen Gebrauch entstehen, bis zu einem Betrag von EUR 2.000,-- pro Einzelfall.</w:t>
      </w:r>
    </w:p>
    <w:p>
      <w:pPr>
        <w:pStyle w:val="Heading1"/>
        <w:spacing w:after="180" w:before="360"/>
      </w:pPr>
      <w:r>
        <w:rPr>
          <w:rFonts w:ascii="Arial" w:cs="Arial" w:eastAsia="Arial" w:hAnsi="Arial"/>
          <w:b/>
          <w:bCs/>
          <w:sz w:val="28"/>
          <w:szCs w:val="28"/>
        </w:rPr>
        <w:t xml:space="preserve">§ 9 Schlusstimmungen</w:t>
      </w:r>
    </w:p>
    <w:p>
      <w:pPr>
        <w:spacing w:after="120" w:before="120"/>
        <w:jc w:val="left"/>
      </w:pPr>
      <w:r>
        <w:rPr>
          <w:rFonts w:ascii="Arial" w:cs="Arial" w:eastAsia="Arial" w:hAnsi="Arial"/>
          <w:sz w:val="22"/>
          <w:szCs w:val="22"/>
        </w:rPr>
        <w:t xml:space="preserve">9.1 Dieser Vertrag unterliegt österreichischem Recht unter Ausschluss des UN-Kaufrechts. Der Gerichtsstand ist Wien.</w:t>
      </w:r>
    </w:p>
    <w:p>
      <w:pPr>
        <w:spacing w:after="120" w:before="120"/>
        <w:jc w:val="left"/>
      </w:pPr>
      <w:r>
        <w:rPr>
          <w:rFonts w:ascii="Arial" w:cs="Arial" w:eastAsia="Arial" w:hAnsi="Arial"/>
          <w:sz w:val="22"/>
          <w:szCs w:val="22"/>
        </w:rPr>
        <w:t xml:space="preserve">9.2 Dieser Vertrag ersetzt alle früheren mündlichen oder schriftlichen Vereinbarungen bezüglich des Mietgegenstandes.</w:t>
      </w:r>
    </w:p>
    <w:p>
      <w:r>
        <w:t xml:space="preserve"/>
      </w:r>
    </w:p>
    <w:p>
      <w:r>
        <w:t xml:space="preserve"/>
      </w:r>
    </w:p>
    <w:p>
      <w:pPr>
        <w:spacing w:after="120" w:before="120"/>
        <w:jc w:val="left"/>
      </w:pPr>
      <w:r>
        <w:rPr>
          <w:rFonts w:ascii="Arial" w:cs="Arial" w:eastAsia="Arial" w:hAnsi="Arial"/>
          <w:sz w:val="22"/>
          <w:szCs w:val="22"/>
        </w:rPr>
        <w:t xml:space="preserve">Wien, den ________________________</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single" w:color="AAAAAA" w:sz="1"/>
              <w:right w:val="none"/>
            </w:tcBorders>
            <w:tcMar>
              <w:top w:type="dxa" w:w="100"/>
              <w:left w:type="dxa" w:w="150"/>
              <w:bottom w:type="dxa" w:w="100"/>
              <w:right w:type="dxa" w:w="150"/>
            </w:tcMar>
          </w:tcPr>
          <w:p>
            <w:pPr>
              <w:spacing w:before="480"/>
            </w:pPr>
            <w:r>
              <w:rPr>
                <w:rFonts w:ascii="Arial" w:cs="Arial" w:eastAsia="Arial" w:hAnsi="Arial"/>
                <w:sz w:val="22"/>
                <w:szCs w:val="22"/>
              </w:rPr>
              <w:t xml:space="preserve">Immobilien Wien Invest GmbH &amp; Co KG</w:t>
            </w:r>
          </w:p>
          <w:p>
            <w:r>
              <w:rPr>
                <w:rFonts w:ascii="Arial" w:cs="Arial" w:eastAsia="Arial" w:hAnsi="Arial"/>
                <w:i/>
                <w:iCs/>
                <w:sz w:val="20"/>
                <w:szCs w:val="20"/>
              </w:rPr>
              <w:t xml:space="preserve">(Vermieter)</w:t>
            </w:r>
          </w:p>
        </w:tc>
        <w:tc>
          <w:tcPr>
            <w:tcW w:type="dxa" w:w="4513"/>
            <w:tcBorders>
              <w:top w:val="none"/>
              <w:left w:val="none"/>
              <w:bottom w:val="single" w:color="AAAAAA" w:sz="1"/>
              <w:right w:val="none"/>
            </w:tcBorders>
            <w:tcMar>
              <w:top w:type="dxa" w:w="100"/>
              <w:left w:type="dxa" w:w="150"/>
              <w:bottom w:type="dxa" w:w="100"/>
              <w:right w:type="dxa" w:w="150"/>
            </w:tcMar>
          </w:tcPr>
          <w:p>
            <w:pPr>
              <w:spacing w:before="480"/>
            </w:pPr>
            <w:r>
              <w:rPr>
                <w:rFonts w:ascii="Arial" w:cs="Arial" w:eastAsia="Arial" w:hAnsi="Arial"/>
                <w:sz w:val="22"/>
                <w:szCs w:val="22"/>
              </w:rPr>
              <w:t xml:space="preserve">Consulting Excellence GmbH</w:t>
            </w:r>
          </w:p>
          <w:p>
            <w:r>
              <w:rPr>
                <w:rFonts w:ascii="Arial" w:cs="Arial" w:eastAsia="Arial" w:hAnsi="Arial"/>
                <w:i/>
                <w:iCs/>
                <w:sz w:val="20"/>
                <w:szCs w:val="20"/>
              </w:rPr>
              <w:t xml:space="preserve">(Mieter)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2026-04-17T09:33:57.406Z</dcterms:created>
  <dcterms:modified xsi:type="dcterms:W3CDTF">2026-04-17T09:33:57.406Z</dcterms:modified>
</cp:coreProperties>
</file>

<file path=docProps/custom.xml><?xml version="1.0" encoding="utf-8"?>
<Properties xmlns="http://schemas.openxmlformats.org/officeDocument/2006/custom-properties" xmlns:vt="http://schemas.openxmlformats.org/officeDocument/2006/docPropsVTypes"/>
</file>