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9"/>
          <w:sz w:val="56"/>
        </w:rPr>
        <w:t>Phenotype Portfolio</w:t>
        <w:br/>
        <w:t>CVP &amp; Semantic Compression Audit</w:t>
      </w:r>
    </w:p>
    <w:p>
      <w:pPr>
        <w:jc w:val="center"/>
      </w:pPr>
      <w:r>
        <w:rPr>
          <w:color w:val="505050"/>
          <w:sz w:val="26"/>
        </w:rPr>
        <w:t>Fresh GitHub pass vs. the 11 September 2026 snapshot</w:t>
      </w:r>
    </w:p>
    <w:p>
      <w:pPr>
        <w:spacing w:before="240"/>
        <w:jc w:val="center"/>
      </w:pPr>
      <w:r>
        <w:rPr>
          <w:b/>
          <w:sz w:val="22"/>
        </w:rPr>
        <w:t>Current state: 14 September 2026</w:t>
      </w:r>
    </w:p>
    <w:p>
      <w:pPr>
        <w:spacing w:before="2600"/>
        <w:jc w:val="center"/>
      </w:pPr>
      <w:r>
        <w:rPr>
          <w:i/>
        </w:rPr>
        <w:t>Focus: installed Current Viable Products, reversible portfolio reduction,</w:t>
        <w:br/>
        <w:t>semantic codebase compression, and recursive applet composition</w:t>
      </w:r>
    </w:p>
    <w:p>
      <w:r>
        <w:br w:type="page"/>
      </w:r>
    </w:p>
    <w:p>
      <w:pPr>
        <w:pStyle w:val="Heading1"/>
      </w:pPr>
      <w:r>
        <w:t>How to read this audit</w:t>
      </w:r>
    </w:p>
    <w:p>
      <w:r>
        <w:t>This is a fresh remote-GitHub audit and an engineering-plan update, not a declaration that every local worktree, chat, release artifact, or product journey has been independently executed. The evidence classes below are kept separate so commit messages and automation claims do not silently become product facts.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728"/>
            <w:shd w:fill="D9E2F3"/>
            <w:vAlign w:val="center"/>
          </w:tcPr>
          <w:p>
            <w:pPr>
              <w:spacing w:after="0"/>
            </w:pPr>
            <w:r/>
            <w:r>
              <w:rPr>
                <w:b/>
                <w:sz w:val="17"/>
              </w:rPr>
              <w:t>Evidence class</w:t>
            </w:r>
          </w:p>
        </w:tc>
        <w:tc>
          <w:tcPr>
            <w:tcW w:type="dxa" w:w="8496"/>
            <w:shd w:fill="D9E2F3"/>
            <w:vAlign w:val="center"/>
          </w:tcPr>
          <w:p>
            <w:pPr>
              <w:spacing w:after="0"/>
            </w:pPr>
            <w:r/>
            <w:r>
              <w:rPr>
                <w:b/>
                <w:sz w:val="17"/>
              </w:rPr>
              <w:t>Meaning</w:t>
            </w:r>
          </w:p>
        </w:tc>
      </w:tr>
      <w:tr>
        <w:tc>
          <w:tcPr>
            <w:tcW w:type="dxa" w:w="1728"/>
            <w:vAlign w:val="top"/>
          </w:tcPr>
          <w:p>
            <w:pPr>
              <w:spacing w:after="0"/>
            </w:pPr>
            <w:r/>
            <w:r>
              <w:rPr>
                <w:b w:val="0"/>
                <w:sz w:val="17"/>
              </w:rPr>
              <w:t>OBSERVED</w:t>
            </w:r>
          </w:p>
        </w:tc>
        <w:tc>
          <w:tcPr>
            <w:tcW w:type="dxa" w:w="8496"/>
            <w:vAlign w:val="top"/>
          </w:tcPr>
          <w:p>
            <w:pPr>
              <w:spacing w:after="0"/>
            </w:pPr>
            <w:r/>
            <w:r>
              <w:rPr>
                <w:b w:val="0"/>
                <w:sz w:val="17"/>
              </w:rPr>
              <w:t>Directly visible in current GitHub repository metadata, commit graph, PR metadata, Actions, or release metadata.</w:t>
            </w:r>
          </w:p>
        </w:tc>
      </w:tr>
      <w:tr>
        <w:tc>
          <w:tcPr>
            <w:tcW w:type="dxa" w:w="1728"/>
            <w:vAlign w:val="top"/>
          </w:tcPr>
          <w:p>
            <w:pPr>
              <w:spacing w:after="0"/>
            </w:pPr>
            <w:r/>
            <w:r>
              <w:rPr>
                <w:b w:val="0"/>
                <w:sz w:val="17"/>
              </w:rPr>
              <w:t>REPORTED</w:t>
            </w:r>
          </w:p>
        </w:tc>
        <w:tc>
          <w:tcPr>
            <w:tcW w:type="dxa" w:w="8496"/>
            <w:vAlign w:val="top"/>
          </w:tcPr>
          <w:p>
            <w:pPr>
              <w:spacing w:after="0"/>
            </w:pPr>
            <w:r/>
            <w:r>
              <w:rPr>
                <w:b w:val="0"/>
                <w:sz w:val="17"/>
              </w:rPr>
              <w:t>Claim in a commit/PR/workflow description that was not rerun independently in this pass.</w:t>
            </w:r>
          </w:p>
        </w:tc>
      </w:tr>
      <w:tr>
        <w:tc>
          <w:tcPr>
            <w:tcW w:type="dxa" w:w="1728"/>
            <w:vAlign w:val="top"/>
          </w:tcPr>
          <w:p>
            <w:pPr>
              <w:spacing w:after="0"/>
            </w:pPr>
            <w:r/>
            <w:r>
              <w:rPr>
                <w:b w:val="0"/>
                <w:sz w:val="17"/>
              </w:rPr>
              <w:t>INFERRED</w:t>
            </w:r>
          </w:p>
        </w:tc>
        <w:tc>
          <w:tcPr>
            <w:tcW w:type="dxa" w:w="8496"/>
            <w:vAlign w:val="top"/>
          </w:tcPr>
          <w:p>
            <w:pPr>
              <w:spacing w:after="0"/>
            </w:pPr>
            <w:r/>
            <w:r>
              <w:rPr>
                <w:b w:val="0"/>
                <w:sz w:val="17"/>
              </w:rPr>
              <w:t>Engineering conclusion derived from observed evidence and the accepted portfolio goals.</w:t>
            </w:r>
          </w:p>
        </w:tc>
      </w:tr>
      <w:tr>
        <w:tc>
          <w:tcPr>
            <w:tcW w:type="dxa" w:w="1728"/>
            <w:vAlign w:val="top"/>
          </w:tcPr>
          <w:p>
            <w:pPr>
              <w:spacing w:after="0"/>
            </w:pPr>
            <w:r/>
            <w:r>
              <w:rPr>
                <w:b w:val="0"/>
                <w:sz w:val="17"/>
              </w:rPr>
              <w:t>LOCAL-UNKNOWN</w:t>
            </w:r>
          </w:p>
        </w:tc>
        <w:tc>
          <w:tcPr>
            <w:tcW w:type="dxa" w:w="8496"/>
            <w:vAlign w:val="top"/>
          </w:tcPr>
          <w:p>
            <w:pPr>
              <w:spacing w:after="0"/>
            </w:pPr>
            <w:r/>
            <w:r>
              <w:rPr>
                <w:b w:val="0"/>
                <w:sz w:val="17"/>
              </w:rPr>
              <w:t>Could exist on your Mac/desktop or in an agent session but is not observable from remote GitHub in this pass.</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2F0D9"/>
          </w:tcPr>
          <w:p>
            <w:pPr>
              <w:spacing w:after="40"/>
            </w:pPr>
            <w:r>
              <w:rPr>
                <w:b/>
                <w:sz w:val="20"/>
              </w:rPr>
              <w:t>Primary conclusion</w:t>
              <w:br/>
            </w:r>
            <w:r>
              <w:rPr>
                <w:sz w:val="18"/>
              </w:rPr>
              <w:t>The portfolio has moved from a throughput problem to a closure problem. Remote activity is now extremely high. The bottleneck is converting parallel changes into coherent, installed, evidence-backed CVPs while reducing code and repository entropy without destructive loss.</w:t>
            </w:r>
          </w:p>
        </w:tc>
      </w:tr>
    </w:tbl>
    <w:p>
      <w:pPr>
        <w:spacing w:after="0"/>
      </w:pPr>
    </w:p>
    <w:p>
      <w:pPr>
        <w:pStyle w:val="Heading1"/>
      </w:pPr>
      <w:r>
        <w:t>Contents</w:t>
      </w:r>
    </w:p>
    <w:p>
      <w:pPr>
        <w:pStyle w:val="ListBullet"/>
      </w:pPr>
      <w:r>
        <w:t>1. Executive decision and snapshot delta</w:t>
      </w:r>
    </w:p>
    <w:p>
      <w:pPr>
        <w:pStyle w:val="ListBullet"/>
      </w:pPr>
      <w:r>
        <w:t>2. Define CVP: the installed-current-horizon finish line</w:t>
      </w:r>
    </w:p>
    <w:p>
      <w:pPr>
        <w:pStyle w:val="ListBullet"/>
      </w:pPr>
      <w:r>
        <w:t>3. Civis deep pass</w:t>
      </w:r>
    </w:p>
    <w:p>
      <w:pPr>
        <w:pStyle w:val="ListBullet"/>
      </w:pPr>
      <w:r>
        <w:t>4. Priority repository status and next closure targets</w:t>
      </w:r>
    </w:p>
    <w:p>
      <w:pPr>
        <w:pStyle w:val="ListBullet"/>
      </w:pPr>
      <w:r>
        <w:t>5. Soft deletion, tombstoning, and restore safety</w:t>
      </w:r>
    </w:p>
    <w:p>
      <w:pPr>
        <w:pStyle w:val="ListBullet"/>
      </w:pPr>
      <w:r>
        <w:t>6. Semantic compression: squish code without losing behavior</w:t>
      </w:r>
    </w:p>
    <w:p>
      <w:pPr>
        <w:pStyle w:val="ListBullet"/>
      </w:pPr>
      <w:r>
        <w:t>7. Recursive applets and federated hexagonal composition</w:t>
      </w:r>
    </w:p>
    <w:p>
      <w:pPr>
        <w:pStyle w:val="ListBullet"/>
      </w:pPr>
      <w:r>
        <w:t>8. Packaging, installability, polish, and third-party-like acceptance</w:t>
      </w:r>
    </w:p>
    <w:p>
      <w:pPr>
        <w:pStyle w:val="ListBullet"/>
      </w:pPr>
      <w:r>
        <w:t>9. QA/QE, journey evidence, and coverage requirements</w:t>
      </w:r>
    </w:p>
    <w:p>
      <w:pPr>
        <w:pStyle w:val="ListBullet"/>
      </w:pPr>
      <w:r>
        <w:t>10. Portfolio operating model and metrics</w:t>
      </w:r>
    </w:p>
    <w:p>
      <w:pPr>
        <w:pStyle w:val="ListBullet"/>
      </w:pPr>
      <w:r>
        <w:t>11. Execution waves / WBS</w:t>
      </w:r>
    </w:p>
    <w:p>
      <w:pPr>
        <w:pStyle w:val="ListBullet"/>
      </w:pPr>
      <w:r>
        <w:t>12. Agent handoff contract</w:t>
      </w:r>
    </w:p>
    <w:p>
      <w:pPr>
        <w:pStyle w:val="ListBullet"/>
      </w:pPr>
      <w:r>
        <w:t>Appendices: evidence snapshot, decision rules, terminology</w:t>
      </w:r>
    </w:p>
    <w:p>
      <w:r>
        <w:br w:type="page"/>
      </w:r>
    </w:p>
    <w:p>
      <w:pPr>
        <w:pStyle w:val="Heading1"/>
      </w:pPr>
      <w:r>
        <w:t>1. Executive decision and snapshot delta</w:t>
      </w:r>
    </w:p>
    <w:p>
      <w:r>
        <w:t>The Sep 11 pass concluded that substantial development existed but was obscured by promotion branches, unmerged work, contradictory evidence, and local-state gaps. That diagnosis still matters, but the dominant problem has shifted.</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584"/>
            <w:shd w:fill="D9E2F3"/>
            <w:vAlign w:val="center"/>
          </w:tcPr>
          <w:p>
            <w:pPr>
              <w:spacing w:after="0"/>
            </w:pPr>
            <w:r/>
            <w:r>
              <w:rPr>
                <w:b/>
                <w:sz w:val="15"/>
              </w:rPr>
              <w:t>Signal</w:t>
            </w:r>
          </w:p>
        </w:tc>
        <w:tc>
          <w:tcPr>
            <w:tcW w:type="dxa" w:w="2736"/>
            <w:shd w:fill="D9E2F3"/>
            <w:vAlign w:val="center"/>
          </w:tcPr>
          <w:p>
            <w:pPr>
              <w:spacing w:after="0"/>
            </w:pPr>
            <w:r/>
            <w:r>
              <w:rPr>
                <w:b/>
                <w:sz w:val="15"/>
              </w:rPr>
              <w:t>Sep 11 baseline / prior finding</w:t>
            </w:r>
          </w:p>
        </w:tc>
        <w:tc>
          <w:tcPr>
            <w:tcW w:type="dxa" w:w="3168"/>
            <w:shd w:fill="D9E2F3"/>
            <w:vAlign w:val="center"/>
          </w:tcPr>
          <w:p>
            <w:pPr>
              <w:spacing w:after="0"/>
            </w:pPr>
            <w:r/>
            <w:r>
              <w:rPr>
                <w:b/>
                <w:sz w:val="15"/>
              </w:rPr>
              <w:t>Sep 14 observation</w:t>
            </w:r>
          </w:p>
        </w:tc>
        <w:tc>
          <w:tcPr>
            <w:tcW w:type="dxa" w:w="3024"/>
            <w:shd w:fill="D9E2F3"/>
            <w:vAlign w:val="center"/>
          </w:tcPr>
          <w:p>
            <w:pPr>
              <w:spacing w:after="0"/>
            </w:pPr>
            <w:r/>
            <w:r>
              <w:rPr>
                <w:b/>
                <w:sz w:val="15"/>
              </w:rPr>
              <w:t>Interpretation</w:t>
            </w:r>
          </w:p>
        </w:tc>
      </w:tr>
      <w:tr>
        <w:tc>
          <w:tcPr>
            <w:tcW w:type="dxa" w:w="1584"/>
            <w:vAlign w:val="top"/>
          </w:tcPr>
          <w:p>
            <w:pPr>
              <w:spacing w:after="0"/>
            </w:pPr>
            <w:r/>
            <w:r>
              <w:rPr>
                <w:b w:val="0"/>
                <w:sz w:val="15"/>
              </w:rPr>
              <w:t>Raw connected repo count</w:t>
            </w:r>
          </w:p>
        </w:tc>
        <w:tc>
          <w:tcPr>
            <w:tcW w:type="dxa" w:w="2736"/>
            <w:vAlign w:val="top"/>
          </w:tcPr>
          <w:p>
            <w:pPr>
              <w:spacing w:after="0"/>
            </w:pPr>
            <w:r/>
            <w:r>
              <w:rPr>
                <w:b w:val="0"/>
                <w:sz w:val="15"/>
              </w:rPr>
              <w:t>134 connected owner repos in the Sep 11 audit</w:t>
            </w:r>
          </w:p>
        </w:tc>
        <w:tc>
          <w:tcPr>
            <w:tcW w:type="dxa" w:w="3168"/>
            <w:vAlign w:val="top"/>
          </w:tcPr>
          <w:p>
            <w:pPr>
              <w:spacing w:after="0"/>
            </w:pPr>
            <w:r/>
            <w:r>
              <w:rPr>
                <w:b w:val="0"/>
                <w:sz w:val="15"/>
              </w:rPr>
              <w:t>138 repositories returned by the fresh owner search</w:t>
            </w:r>
          </w:p>
        </w:tc>
        <w:tc>
          <w:tcPr>
            <w:tcW w:type="dxa" w:w="3024"/>
            <w:vAlign w:val="top"/>
          </w:tcPr>
          <w:p>
            <w:pPr>
              <w:spacing w:after="0"/>
            </w:pPr>
            <w:r/>
            <w:r>
              <w:rPr>
                <w:b w:val="0"/>
                <w:sz w:val="15"/>
              </w:rPr>
              <w:t>Do not treat +4 as four new products; renames, restores, new targets and deletions all change the census.</w:t>
            </w:r>
          </w:p>
        </w:tc>
      </w:tr>
      <w:tr>
        <w:tc>
          <w:tcPr>
            <w:tcW w:type="dxa" w:w="1584"/>
            <w:vAlign w:val="top"/>
          </w:tcPr>
          <w:p>
            <w:pPr>
              <w:spacing w:after="0"/>
            </w:pPr>
            <w:r/>
            <w:r>
              <w:rPr>
                <w:b w:val="0"/>
                <w:sz w:val="15"/>
              </w:rPr>
              <w:t>Merged PR volume</w:t>
            </w:r>
          </w:p>
        </w:tc>
        <w:tc>
          <w:tcPr>
            <w:tcW w:type="dxa" w:w="2736"/>
            <w:vAlign w:val="top"/>
          </w:tcPr>
          <w:p>
            <w:pPr>
              <w:spacing w:after="0"/>
            </w:pPr>
            <w:r/>
            <w:r>
              <w:rPr>
                <w:b w:val="0"/>
                <w:sz w:val="15"/>
              </w:rPr>
              <w:t>113 owned-estate merges in the prior measured week window</w:t>
            </w:r>
          </w:p>
        </w:tc>
        <w:tc>
          <w:tcPr>
            <w:tcW w:type="dxa" w:w="3168"/>
            <w:vAlign w:val="top"/>
          </w:tcPr>
          <w:p>
            <w:pPr>
              <w:spacing w:after="0"/>
            </w:pPr>
            <w:r/>
            <w:r>
              <w:rPr>
                <w:b w:val="0"/>
                <w:sz w:val="15"/>
              </w:rPr>
              <w:t>493 owned-estate merged PRs since the Sep 11 cutoff; 163 are authored by KooshaPari</w:t>
            </w:r>
          </w:p>
        </w:tc>
        <w:tc>
          <w:tcPr>
            <w:tcW w:type="dxa" w:w="3024"/>
            <w:vAlign w:val="top"/>
          </w:tcPr>
          <w:p>
            <w:pPr>
              <w:spacing w:after="0"/>
            </w:pPr>
            <w:r/>
            <w:r>
              <w:rPr>
                <w:b w:val="0"/>
                <w:sz w:val="15"/>
              </w:rPr>
              <w:t>Throughput has accelerated sharply. PR count is now a poor optimization objective.</w:t>
            </w:r>
          </w:p>
        </w:tc>
      </w:tr>
      <w:tr>
        <w:tc>
          <w:tcPr>
            <w:tcW w:type="dxa" w:w="1584"/>
            <w:vAlign w:val="top"/>
          </w:tcPr>
          <w:p>
            <w:pPr>
              <w:spacing w:after="0"/>
            </w:pPr>
            <w:r/>
            <w:r>
              <w:rPr>
                <w:b w:val="0"/>
                <w:sz w:val="15"/>
              </w:rPr>
              <w:t>Breadth of remote movement</w:t>
            </w:r>
          </w:p>
        </w:tc>
        <w:tc>
          <w:tcPr>
            <w:tcW w:type="dxa" w:w="2736"/>
            <w:vAlign w:val="top"/>
          </w:tcPr>
          <w:p>
            <w:pPr>
              <w:spacing w:after="0"/>
            </w:pPr>
            <w:r/>
            <w:r>
              <w:rPr>
                <w:b w:val="0"/>
                <w:sz w:val="15"/>
              </w:rPr>
              <w:t>Broad but uneven</w:t>
            </w:r>
          </w:p>
        </w:tc>
        <w:tc>
          <w:tcPr>
            <w:tcW w:type="dxa" w:w="3168"/>
            <w:vAlign w:val="top"/>
          </w:tcPr>
          <w:p>
            <w:pPr>
              <w:spacing w:after="0"/>
            </w:pPr>
            <w:r/>
            <w:r>
              <w:rPr>
                <w:b w:val="0"/>
                <w:sz w:val="15"/>
              </w:rPr>
              <w:t>101 of 138 current repos show pushes since Sep 12</w:t>
            </w:r>
          </w:p>
        </w:tc>
        <w:tc>
          <w:tcPr>
            <w:tcW w:type="dxa" w:w="3024"/>
            <w:vAlign w:val="top"/>
          </w:tcPr>
          <w:p>
            <w:pPr>
              <w:spacing w:after="0"/>
            </w:pPr>
            <w:r/>
            <w:r>
              <w:rPr>
                <w:b w:val="0"/>
                <w:sz w:val="15"/>
              </w:rPr>
              <w:t>The estate is being touched at portfolio scale; much of it is lifecycle/CI/consolidation churn, not necessarily product value.</w:t>
            </w:r>
          </w:p>
        </w:tc>
      </w:tr>
      <w:tr>
        <w:tc>
          <w:tcPr>
            <w:tcW w:type="dxa" w:w="1584"/>
            <w:vAlign w:val="top"/>
          </w:tcPr>
          <w:p>
            <w:pPr>
              <w:spacing w:after="0"/>
            </w:pPr>
            <w:r/>
            <w:r>
              <w:rPr>
                <w:b w:val="0"/>
                <w:sz w:val="15"/>
              </w:rPr>
              <w:t>Civis</w:t>
            </w:r>
          </w:p>
        </w:tc>
        <w:tc>
          <w:tcPr>
            <w:tcW w:type="dxa" w:w="2736"/>
            <w:vAlign w:val="top"/>
          </w:tcPr>
          <w:p>
            <w:pPr>
              <w:spacing w:after="0"/>
            </w:pPr>
            <w:r/>
            <w:r>
              <w:rPr>
                <w:b w:val="0"/>
                <w:sz w:val="15"/>
              </w:rPr>
              <w:t>Runtime integration and correctness work</w:t>
            </w:r>
          </w:p>
        </w:tc>
        <w:tc>
          <w:tcPr>
            <w:tcW w:type="dxa" w:w="3168"/>
            <w:vAlign w:val="top"/>
          </w:tcPr>
          <w:p>
            <w:pPr>
              <w:spacing w:after="0"/>
            </w:pPr>
            <w:r/>
            <w:r>
              <w:rPr>
                <w:b w:val="0"/>
                <w:sz w:val="15"/>
              </w:rPr>
              <w:t>Persistence, visual polish, macOS .app bundling, cross-platform builds, nightly sandbox E2E</w:t>
            </w:r>
          </w:p>
        </w:tc>
        <w:tc>
          <w:tcPr>
            <w:tcW w:type="dxa" w:w="3024"/>
            <w:vAlign w:val="top"/>
          </w:tcPr>
          <w:p>
            <w:pPr>
              <w:spacing w:after="0"/>
            </w:pPr>
            <w:r/>
            <w:r>
              <w:rPr>
                <w:b w:val="0"/>
                <w:sz w:val="15"/>
              </w:rPr>
              <w:t>Civis is substantially closer to a user-testable CVP.</w:t>
            </w:r>
          </w:p>
        </w:tc>
      </w:tr>
      <w:tr>
        <w:tc>
          <w:tcPr>
            <w:tcW w:type="dxa" w:w="1584"/>
            <w:vAlign w:val="top"/>
          </w:tcPr>
          <w:p>
            <w:pPr>
              <w:spacing w:after="0"/>
            </w:pPr>
            <w:r/>
            <w:r>
              <w:rPr>
                <w:b w:val="0"/>
                <w:sz w:val="15"/>
              </w:rPr>
              <w:t>PhenoFabric</w:t>
            </w:r>
          </w:p>
        </w:tc>
        <w:tc>
          <w:tcPr>
            <w:tcW w:type="dxa" w:w="2736"/>
            <w:vAlign w:val="top"/>
          </w:tcPr>
          <w:p>
            <w:pPr>
              <w:spacing w:after="0"/>
            </w:pPr>
            <w:r/>
            <w:r>
              <w:rPr>
                <w:b w:val="0"/>
                <w:sz w:val="15"/>
              </w:rPr>
              <w:t>Contract/runtime groundwork</w:t>
            </w:r>
          </w:p>
        </w:tc>
        <w:tc>
          <w:tcPr>
            <w:tcW w:type="dxa" w:w="3168"/>
            <w:vAlign w:val="top"/>
          </w:tcPr>
          <w:p>
            <w:pPr>
              <w:spacing w:after="0"/>
            </w:pPr>
            <w:r/>
            <w:r>
              <w:rPr>
                <w:b w:val="0"/>
                <w:sz w:val="15"/>
              </w:rPr>
              <w:t>Runtime decomposition, benchmarks/fuzz scaffolding, auth/network CLI, NVMS adapter and CI work</w:t>
            </w:r>
          </w:p>
        </w:tc>
        <w:tc>
          <w:tcPr>
            <w:tcW w:type="dxa" w:w="3024"/>
            <w:vAlign w:val="top"/>
          </w:tcPr>
          <w:p>
            <w:pPr>
              <w:spacing w:after="0"/>
            </w:pPr>
            <w:r/>
            <w:r>
              <w:rPr>
                <w:b w:val="0"/>
                <w:sz w:val="15"/>
              </w:rPr>
              <w:t>Composition is becoming executable, but one real end-to-end multi-node product path remains the important proof.</w:t>
            </w:r>
          </w:p>
        </w:tc>
      </w:tr>
      <w:tr>
        <w:tc>
          <w:tcPr>
            <w:tcW w:type="dxa" w:w="1584"/>
            <w:vAlign w:val="top"/>
          </w:tcPr>
          <w:p>
            <w:pPr>
              <w:spacing w:after="0"/>
            </w:pPr>
            <w:r/>
            <w:r>
              <w:rPr>
                <w:b w:val="0"/>
                <w:sz w:val="15"/>
              </w:rPr>
              <w:t>Repository reduction</w:t>
            </w:r>
          </w:p>
        </w:tc>
        <w:tc>
          <w:tcPr>
            <w:tcW w:type="dxa" w:w="2736"/>
            <w:vAlign w:val="top"/>
          </w:tcPr>
          <w:p>
            <w:pPr>
              <w:spacing w:after="0"/>
            </w:pPr>
            <w:r/>
            <w:r>
              <w:rPr>
                <w:b w:val="0"/>
                <w:sz w:val="15"/>
              </w:rPr>
              <w:t>Mostly planning / candidate disposition</w:t>
            </w:r>
          </w:p>
        </w:tc>
        <w:tc>
          <w:tcPr>
            <w:tcW w:type="dxa" w:w="3168"/>
            <w:vAlign w:val="top"/>
          </w:tcPr>
          <w:p>
            <w:pPr>
              <w:spacing w:after="0"/>
            </w:pPr>
            <w:r/>
            <w:r>
              <w:rPr>
                <w:b w:val="0"/>
                <w:sz w:val="15"/>
              </w:rPr>
              <w:t>Large rename/archive/tombstone wave now active</w:t>
            </w:r>
          </w:p>
        </w:tc>
        <w:tc>
          <w:tcPr>
            <w:tcW w:type="dxa" w:w="3024"/>
            <w:vAlign w:val="top"/>
          </w:tcPr>
          <w:p>
            <w:pPr>
              <w:spacing w:after="0"/>
            </w:pPr>
            <w:r/>
            <w:r>
              <w:rPr>
                <w:b w:val="0"/>
                <w:sz w:val="15"/>
              </w:rPr>
              <w:t>Deletion safety and successor verification are now operational risks, not hypothetical governance questions.</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EF3F8"/>
          </w:tcPr>
          <w:p>
            <w:pPr>
              <w:spacing w:after="40"/>
            </w:pPr>
            <w:r>
              <w:rPr>
                <w:b/>
                <w:sz w:val="20"/>
              </w:rPr>
              <w:t>Do not chase the old commit graph</w:t>
              <w:br/>
            </w:r>
            <w:r>
              <w:rPr>
                <w:sz w:val="18"/>
              </w:rPr>
              <w:t>The useful question is no longer “How many commits did the agents create?” It is “How many accepted capabilities reached the installed, verified, distributable state, and how much code/portfolio complexity was removed without semantic loss?”</w:t>
            </w:r>
          </w:p>
        </w:tc>
      </w:tr>
    </w:tbl>
    <w:p>
      <w:pPr>
        <w:spacing w:after="0"/>
      </w:pPr>
    </w:p>
    <w:p>
      <w:pPr>
        <w:pStyle w:val="Heading2"/>
      </w:pPr>
      <w:r>
        <w:t>1.1 What improved</w:t>
      </w:r>
    </w:p>
    <w:p>
      <w:pPr>
        <w:pStyle w:val="ListBullet"/>
      </w:pPr>
      <w:r>
        <w:t>Civis now has direct movement toward a macOS app bundle and a clean sandbox playthrough rather than only library/runtime work.</w:t>
      </w:r>
    </w:p>
    <w:p>
      <w:pPr>
        <w:pStyle w:val="ListBullet"/>
      </w:pPr>
      <w:r>
        <w:t>AgilePlus now has real desktop packaging work and a more honest self-assessment of its missing assurance layers.</w:t>
      </w:r>
    </w:p>
    <w:p>
      <w:pPr>
        <w:pStyle w:val="ListBullet"/>
      </w:pPr>
      <w:r>
        <w:t>Tracera added real local-stack E2E against seeded production-like state and continued internal simplification.</w:t>
      </w:r>
    </w:p>
    <w:p>
      <w:pPr>
        <w:pStyle w:val="ListBullet"/>
      </w:pPr>
      <w:r>
        <w:t>BytePort/NVMS work is actively moving duplicated NVMS responsibility into a canonical boundary and removing stale references.</w:t>
      </w:r>
    </w:p>
    <w:p>
      <w:pPr>
        <w:pStyle w:val="ListBullet"/>
      </w:pPr>
      <w:r>
        <w:t>jcode is demonstrating exactly the high-parallelism benefits you described: rapid feature work and frequent decomposition of oversized TUI modules.</w:t>
      </w:r>
    </w:p>
    <w:p>
      <w:pPr>
        <w:pStyle w:val="ListBullet"/>
      </w:pPr>
      <w:r>
        <w:t>Repository retirement has become concrete rather than theoretical; many repositories now carry explicit tombstone/archive naming or metadata.</w:t>
      </w:r>
    </w:p>
    <w:p>
      <w:pPr>
        <w:pStyle w:val="Heading2"/>
      </w:pPr>
      <w:r>
        <w:t>1.2 What got more dangerous</w:t>
      </w:r>
    </w:p>
    <w:p>
      <w:pPr>
        <w:pStyle w:val="ListBullet"/>
      </w:pPr>
      <w:r>
        <w:t>The much higher parallel write rate makes stale current-state assumptions and overlapping agents more damaging.</w:t>
      </w:r>
    </w:p>
    <w:p>
      <w:pPr>
        <w:pStyle w:val="ListBullet"/>
      </w:pPr>
      <w:r>
        <w:t>Repository lifecycle state is inconsistent: name prefixes such as zz-/zz-archive and the GitHub archived flag do not map one-to-one.</w:t>
      </w:r>
    </w:p>
    <w:p>
      <w:pPr>
        <w:pStyle w:val="ListBullet"/>
      </w:pPr>
      <w:r>
        <w:t>Some very recently active repositories are already archived, while other “archive”-named repositories remain writable. A name is not a lifecycle authority.</w:t>
      </w:r>
    </w:p>
    <w:p>
      <w:pPr>
        <w:pStyle w:val="ListBullet"/>
      </w:pPr>
      <w:r>
        <w:t>High merge counts can hide low closure because code can move, be repackaged, or be cleaned up without producing a product you can actually install and use.</w:t>
      </w:r>
    </w:p>
    <w:p>
      <w:pPr>
        <w:pStyle w:val="ListBullet"/>
      </w:pPr>
      <w:r>
        <w:t>jcode’s concurrency benefit also creates integration hazards; its own recent history contains decomposition work followed by immediate fixes for broken concurrent edits or partially wired UI operations.</w:t>
      </w:r>
    </w:p>
    <w:p>
      <w:pPr>
        <w:pStyle w:val="Heading1"/>
      </w:pPr>
      <w:r>
        <w:t>2. Define CVP: the installed-current-horizon finish line</w:t>
      </w:r>
    </w:p>
    <w:p>
      <w:r>
        <w:t>MVP is the wrong term for what you are asking agents to do. You are not asking them to cut the idea down to the smallest hypothesis. You are asking them to freeze the currently accepted implementation horizon, stop broadening it, and make that current horizon actually usable. This audit calls that a Current Viable Product (CVP).</w:t>
      </w:r>
    </w:p>
    <w:tbl>
      <w:tblPr>
        <w:tblW w:type="auto" w:w="0"/>
        <w:jc w:val="center"/>
        <w:tblLayout w:type="autofit"/>
        <w:tblLook w:firstColumn="1" w:firstRow="1" w:lastColumn="0" w:lastRow="0" w:noHBand="0" w:noVBand="1" w:val="04A0"/>
      </w:tblPr>
      <w:tblGrid>
        <w:gridCol w:w="10166"/>
      </w:tblGrid>
      <w:tr>
        <w:tc>
          <w:tcPr>
            <w:tcW w:type="dxa" w:w="10166"/>
            <w:shd w:fill="E2F0D9"/>
          </w:tcPr>
          <w:p>
            <w:pPr>
              <w:spacing w:after="40"/>
            </w:pPr>
            <w:r>
              <w:rPr>
                <w:b/>
                <w:sz w:val="20"/>
              </w:rPr>
              <w:t>CVP definition</w:t>
              <w:br/>
            </w:r>
            <w:r>
              <w:rPr>
                <w:sz w:val="18"/>
              </w:rPr>
              <w:t>A CVP is the smallest deployable, installable, coherent, supportable, and sufficiently polished product that faithfully implements the currently accepted feature horizon. It may omit future roadmap features, but it may not hide already-accepted current behavior behind stubs, dead code, mocks, local-only setup, broken packaging, or unfinished UI.</w:t>
            </w:r>
          </w:p>
        </w:tc>
      </w:tr>
    </w:tbl>
    <w:p>
      <w:pPr>
        <w:spacing w:after="0"/>
      </w:pP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584"/>
            <w:shd w:fill="D9E2F3"/>
            <w:vAlign w:val="center"/>
          </w:tcPr>
          <w:p>
            <w:pPr>
              <w:spacing w:after="0"/>
            </w:pPr>
            <w:r/>
            <w:r>
              <w:rPr>
                <w:b/>
                <w:sz w:val="15"/>
              </w:rPr>
              <w:t>Stage</w:t>
            </w:r>
          </w:p>
        </w:tc>
        <w:tc>
          <w:tcPr>
            <w:tcW w:type="dxa" w:w="4752"/>
            <w:shd w:fill="D9E2F3"/>
            <w:vAlign w:val="center"/>
          </w:tcPr>
          <w:p>
            <w:pPr>
              <w:spacing w:after="0"/>
            </w:pPr>
            <w:r/>
            <w:r>
              <w:rPr>
                <w:b/>
                <w:sz w:val="15"/>
              </w:rPr>
              <w:t>Required outcome</w:t>
            </w:r>
          </w:p>
        </w:tc>
        <w:tc>
          <w:tcPr>
            <w:tcW w:type="dxa" w:w="4320"/>
            <w:shd w:fill="D9E2F3"/>
            <w:vAlign w:val="center"/>
          </w:tcPr>
          <w:p>
            <w:pPr>
              <w:spacing w:after="0"/>
            </w:pPr>
            <w:r/>
            <w:r>
              <w:rPr>
                <w:b/>
                <w:sz w:val="15"/>
              </w:rPr>
              <w:t>Failure examples</w:t>
            </w:r>
          </w:p>
        </w:tc>
      </w:tr>
      <w:tr>
        <w:tc>
          <w:tcPr>
            <w:tcW w:type="dxa" w:w="1584"/>
            <w:vAlign w:val="top"/>
          </w:tcPr>
          <w:p>
            <w:pPr>
              <w:spacing w:after="0"/>
            </w:pPr>
            <w:r/>
            <w:r>
              <w:rPr>
                <w:b w:val="0"/>
                <w:sz w:val="15"/>
              </w:rPr>
              <w:t>C0 - Horizon freeze</w:t>
            </w:r>
          </w:p>
        </w:tc>
        <w:tc>
          <w:tcPr>
            <w:tcW w:type="dxa" w:w="4752"/>
            <w:vAlign w:val="top"/>
          </w:tcPr>
          <w:p>
            <w:pPr>
              <w:spacing w:after="0"/>
            </w:pPr>
            <w:r/>
            <w:r>
              <w:rPr>
                <w:b w:val="0"/>
                <w:sz w:val="15"/>
              </w:rPr>
              <w:t>Current accepted capabilities, non-goals, applets, platforms, and release target are explicit. New breadth is gated.</w:t>
            </w:r>
          </w:p>
        </w:tc>
        <w:tc>
          <w:tcPr>
            <w:tcW w:type="dxa" w:w="4320"/>
            <w:vAlign w:val="top"/>
          </w:tcPr>
          <w:p>
            <w:pPr>
              <w:spacing w:after="0"/>
            </w:pPr>
            <w:r/>
            <w:r>
              <w:rPr>
                <w:b w:val="0"/>
                <w:sz w:val="15"/>
              </w:rPr>
              <w:t>Agent keeps adding features while install path, persistence, or tests remain broken.</w:t>
            </w:r>
          </w:p>
        </w:tc>
      </w:tr>
      <w:tr>
        <w:tc>
          <w:tcPr>
            <w:tcW w:type="dxa" w:w="1584"/>
            <w:vAlign w:val="top"/>
          </w:tcPr>
          <w:p>
            <w:pPr>
              <w:spacing w:after="0"/>
            </w:pPr>
            <w:r/>
            <w:r>
              <w:rPr>
                <w:b w:val="0"/>
                <w:sz w:val="15"/>
              </w:rPr>
              <w:t>C1 - Clean build</w:t>
            </w:r>
          </w:p>
        </w:tc>
        <w:tc>
          <w:tcPr>
            <w:tcW w:type="dxa" w:w="4752"/>
            <w:vAlign w:val="top"/>
          </w:tcPr>
          <w:p>
            <w:pPr>
              <w:spacing w:after="0"/>
            </w:pPr>
            <w:r/>
            <w:r>
              <w:rPr>
                <w:b w:val="0"/>
                <w:sz w:val="15"/>
              </w:rPr>
              <w:t>Fresh checkout builds from declared inputs without sibling-repo magic, dirty files, or operator machine assumptions.</w:t>
            </w:r>
          </w:p>
        </w:tc>
        <w:tc>
          <w:tcPr>
            <w:tcW w:type="dxa" w:w="4320"/>
            <w:vAlign w:val="top"/>
          </w:tcPr>
          <w:p>
            <w:pPr>
              <w:spacing w:after="0"/>
            </w:pPr>
            <w:r/>
            <w:r>
              <w:rPr>
                <w:b w:val="0"/>
                <w:sz w:val="15"/>
              </w:rPr>
              <w:t>Works only from developer worktree; missing path deps; generated files required but absent.</w:t>
            </w:r>
          </w:p>
        </w:tc>
      </w:tr>
      <w:tr>
        <w:tc>
          <w:tcPr>
            <w:tcW w:type="dxa" w:w="1584"/>
            <w:vAlign w:val="top"/>
          </w:tcPr>
          <w:p>
            <w:pPr>
              <w:spacing w:after="0"/>
            </w:pPr>
            <w:r/>
            <w:r>
              <w:rPr>
                <w:b w:val="0"/>
                <w:sz w:val="15"/>
              </w:rPr>
              <w:t>C2 - Installable</w:t>
            </w:r>
          </w:p>
        </w:tc>
        <w:tc>
          <w:tcPr>
            <w:tcW w:type="dxa" w:w="4752"/>
            <w:vAlign w:val="top"/>
          </w:tcPr>
          <w:p>
            <w:pPr>
              <w:spacing w:after="0"/>
            </w:pPr>
            <w:r/>
            <w:r>
              <w:rPr>
                <w:b w:val="0"/>
                <w:sz w:val="15"/>
              </w:rPr>
              <w:t>Role-appropriate package installs on a clean target. macOS GUI means a real .app discoverable by LaunchServices/Spotlight.</w:t>
            </w:r>
          </w:p>
        </w:tc>
        <w:tc>
          <w:tcPr>
            <w:tcW w:type="dxa" w:w="4320"/>
            <w:vAlign w:val="top"/>
          </w:tcPr>
          <w:p>
            <w:pPr>
              <w:spacing w:after="0"/>
            </w:pPr>
            <w:r/>
            <w:r>
              <w:rPr>
                <w:b w:val="0"/>
                <w:sz w:val="15"/>
              </w:rPr>
              <w:t>Binary exists but app bundle is malformed; assets depend on repo cwd; dev toolchain required.</w:t>
            </w:r>
          </w:p>
        </w:tc>
      </w:tr>
      <w:tr>
        <w:tc>
          <w:tcPr>
            <w:tcW w:type="dxa" w:w="1584"/>
            <w:vAlign w:val="top"/>
          </w:tcPr>
          <w:p>
            <w:pPr>
              <w:spacing w:after="0"/>
            </w:pPr>
            <w:r/>
            <w:r>
              <w:rPr>
                <w:b w:val="0"/>
                <w:sz w:val="15"/>
              </w:rPr>
              <w:t>C3 - Useful journey</w:t>
            </w:r>
          </w:p>
        </w:tc>
        <w:tc>
          <w:tcPr>
            <w:tcW w:type="dxa" w:w="4752"/>
            <w:vAlign w:val="top"/>
          </w:tcPr>
          <w:p>
            <w:pPr>
              <w:spacing w:after="0"/>
            </w:pPr>
            <w:r/>
            <w:r>
              <w:rPr>
                <w:b w:val="0"/>
                <w:sz w:val="15"/>
              </w:rPr>
              <w:t>At least one full intended user task succeeds from installed artifact using real state and real adapters.</w:t>
            </w:r>
          </w:p>
        </w:tc>
        <w:tc>
          <w:tcPr>
            <w:tcW w:type="dxa" w:w="4320"/>
            <w:vAlign w:val="top"/>
          </w:tcPr>
          <w:p>
            <w:pPr>
              <w:spacing w:after="0"/>
            </w:pPr>
            <w:r/>
            <w:r>
              <w:rPr>
                <w:b w:val="0"/>
                <w:sz w:val="15"/>
              </w:rPr>
              <w:t>Only unit tests; demo path bypasses persistence/auth; UI opens but core action fails.</w:t>
            </w:r>
          </w:p>
        </w:tc>
      </w:tr>
      <w:tr>
        <w:tc>
          <w:tcPr>
            <w:tcW w:type="dxa" w:w="1584"/>
            <w:vAlign w:val="top"/>
          </w:tcPr>
          <w:p>
            <w:pPr>
              <w:spacing w:after="0"/>
            </w:pPr>
            <w:r/>
            <w:r>
              <w:rPr>
                <w:b w:val="0"/>
                <w:sz w:val="15"/>
              </w:rPr>
              <w:t>C4 - Durable</w:t>
            </w:r>
          </w:p>
        </w:tc>
        <w:tc>
          <w:tcPr>
            <w:tcW w:type="dxa" w:w="4752"/>
            <w:vAlign w:val="top"/>
          </w:tcPr>
          <w:p>
            <w:pPr>
              <w:spacing w:after="0"/>
            </w:pPr>
            <w:r/>
            <w:r>
              <w:rPr>
                <w:b w:val="0"/>
                <w:sz w:val="15"/>
              </w:rPr>
              <w:t>State survives restart; failures recover; upgrade/rollback/uninstall paths are known; no silent data loss.</w:t>
            </w:r>
          </w:p>
        </w:tc>
        <w:tc>
          <w:tcPr>
            <w:tcW w:type="dxa" w:w="4320"/>
            <w:vAlign w:val="top"/>
          </w:tcPr>
          <w:p>
            <w:pPr>
              <w:spacing w:after="0"/>
            </w:pPr>
            <w:r/>
            <w:r>
              <w:rPr>
                <w:b w:val="0"/>
                <w:sz w:val="15"/>
              </w:rPr>
              <w:t>Save works only in-process; crash corrupts state; migration has no rollback.</w:t>
            </w:r>
          </w:p>
        </w:tc>
      </w:tr>
      <w:tr>
        <w:tc>
          <w:tcPr>
            <w:tcW w:type="dxa" w:w="1584"/>
            <w:vAlign w:val="top"/>
          </w:tcPr>
          <w:p>
            <w:pPr>
              <w:spacing w:after="0"/>
            </w:pPr>
            <w:r/>
            <w:r>
              <w:rPr>
                <w:b w:val="0"/>
                <w:sz w:val="15"/>
              </w:rPr>
              <w:t>C5 - Polished</w:t>
            </w:r>
          </w:p>
        </w:tc>
        <w:tc>
          <w:tcPr>
            <w:tcW w:type="dxa" w:w="4752"/>
            <w:vAlign w:val="top"/>
          </w:tcPr>
          <w:p>
            <w:pPr>
              <w:spacing w:after="0"/>
            </w:pPr>
            <w:r/>
            <w:r>
              <w:rPr>
                <w:b w:val="0"/>
                <w:sz w:val="15"/>
              </w:rPr>
              <w:t>First-run, empty, loading, success, error, settings, keyboard/accessibility and visual states are intentionally designed.</w:t>
            </w:r>
          </w:p>
        </w:tc>
        <w:tc>
          <w:tcPr>
            <w:tcW w:type="dxa" w:w="4320"/>
            <w:vAlign w:val="top"/>
          </w:tcPr>
          <w:p>
            <w:pPr>
              <w:spacing w:after="0"/>
            </w:pPr>
            <w:r/>
            <w:r>
              <w:rPr>
                <w:b w:val="0"/>
                <w:sz w:val="15"/>
              </w:rPr>
              <w:t>Ugly debug chrome, clipped text, fake buttons, inconsistent spacing, incomplete screens.</w:t>
            </w:r>
          </w:p>
        </w:tc>
      </w:tr>
      <w:tr>
        <w:tc>
          <w:tcPr>
            <w:tcW w:type="dxa" w:w="1584"/>
            <w:vAlign w:val="top"/>
          </w:tcPr>
          <w:p>
            <w:pPr>
              <w:spacing w:after="0"/>
            </w:pPr>
            <w:r/>
            <w:r>
              <w:rPr>
                <w:b w:val="0"/>
                <w:sz w:val="15"/>
              </w:rPr>
              <w:t>C6 - Qualified / distributable</w:t>
            </w:r>
          </w:p>
        </w:tc>
        <w:tc>
          <w:tcPr>
            <w:tcW w:type="dxa" w:w="4752"/>
            <w:vAlign w:val="top"/>
          </w:tcPr>
          <w:p>
            <w:pPr>
              <w:spacing w:after="0"/>
            </w:pPr>
            <w:r/>
            <w:r>
              <w:rPr>
                <w:b w:val="0"/>
                <w:sz w:val="15"/>
              </w:rPr>
              <w:t>Required QA layers pass at accepted floors, journey evidence is captured, docs/release/provenance are complete, and artifact identity is tied to the tested SHA.</w:t>
            </w:r>
          </w:p>
        </w:tc>
        <w:tc>
          <w:tcPr>
            <w:tcW w:type="dxa" w:w="4320"/>
            <w:vAlign w:val="top"/>
          </w:tcPr>
          <w:p>
            <w:pPr>
              <w:spacing w:after="0"/>
            </w:pPr>
            <w:r/>
            <w:r>
              <w:rPr>
                <w:b w:val="0"/>
                <w:sz w:val="15"/>
              </w:rPr>
              <w:t>Passing PR checks but no tested installer; screenshot comes from dev build; release differs from tested artifact.</w:t>
            </w:r>
          </w:p>
        </w:tc>
      </w:tr>
    </w:tbl>
    <w:p>
      <w:pPr>
        <w:spacing w:after="0"/>
      </w:pPr>
    </w:p>
    <w:p>
      <w:pPr>
        <w:pStyle w:val="Heading2"/>
      </w:pPr>
      <w:r>
        <w:t>2.1 CVP is role-specific</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D9E2F3"/>
            <w:vAlign w:val="center"/>
          </w:tcPr>
          <w:p>
            <w:pPr>
              <w:spacing w:after="0"/>
            </w:pPr>
            <w:r/>
            <w:r>
              <w:rPr>
                <w:b/>
                <w:sz w:val="16"/>
              </w:rPr>
              <w:t>Role</w:t>
            </w:r>
          </w:p>
        </w:tc>
        <w:tc>
          <w:tcPr>
            <w:tcW w:type="dxa" w:w="8496"/>
            <w:shd w:fill="D9E2F3"/>
            <w:vAlign w:val="center"/>
          </w:tcPr>
          <w:p>
            <w:pPr>
              <w:spacing w:after="0"/>
            </w:pPr>
            <w:r/>
            <w:r>
              <w:rPr>
                <w:b/>
                <w:sz w:val="16"/>
              </w:rPr>
              <w:t>CVP artifact</w:t>
            </w:r>
          </w:p>
        </w:tc>
      </w:tr>
      <w:tr>
        <w:tc>
          <w:tcPr>
            <w:tcW w:type="dxa" w:w="2160"/>
            <w:vAlign w:val="top"/>
          </w:tcPr>
          <w:p>
            <w:pPr>
              <w:spacing w:after="0"/>
            </w:pPr>
            <w:r/>
            <w:r>
              <w:rPr>
                <w:b w:val="0"/>
                <w:sz w:val="16"/>
              </w:rPr>
              <w:t>Native/macOS GUI</w:t>
            </w:r>
          </w:p>
        </w:tc>
        <w:tc>
          <w:tcPr>
            <w:tcW w:type="dxa" w:w="8496"/>
            <w:vAlign w:val="top"/>
          </w:tcPr>
          <w:p>
            <w:pPr>
              <w:spacing w:after="0"/>
            </w:pPr>
            <w:r/>
            <w:r>
              <w:rPr>
                <w:b w:val="0"/>
                <w:sz w:val="16"/>
              </w:rPr>
              <w:t>Installed .app; DMG/ZIP as appropriate; correct bundle identifier, icon, storage paths and launch behavior.</w:t>
            </w:r>
          </w:p>
        </w:tc>
      </w:tr>
      <w:tr>
        <w:tc>
          <w:tcPr>
            <w:tcW w:type="dxa" w:w="2160"/>
            <w:vAlign w:val="top"/>
          </w:tcPr>
          <w:p>
            <w:pPr>
              <w:spacing w:after="0"/>
            </w:pPr>
            <w:r/>
            <w:r>
              <w:rPr>
                <w:b w:val="0"/>
                <w:sz w:val="16"/>
              </w:rPr>
              <w:t>Tauri desktop</w:t>
            </w:r>
          </w:p>
        </w:tc>
        <w:tc>
          <w:tcPr>
            <w:tcW w:type="dxa" w:w="8496"/>
            <w:vAlign w:val="top"/>
          </w:tcPr>
          <w:p>
            <w:pPr>
              <w:spacing w:after="0"/>
            </w:pPr>
            <w:r/>
            <w:r>
              <w:rPr>
                <w:b w:val="0"/>
                <w:sz w:val="16"/>
              </w:rPr>
              <w:t>Signed/ad-hoc local .app for internal CVP plus production signing/notarization path; frontend/backend lifecycle must be coherent.</w:t>
            </w:r>
          </w:p>
        </w:tc>
      </w:tr>
      <w:tr>
        <w:tc>
          <w:tcPr>
            <w:tcW w:type="dxa" w:w="2160"/>
            <w:vAlign w:val="top"/>
          </w:tcPr>
          <w:p>
            <w:pPr>
              <w:spacing w:after="0"/>
            </w:pPr>
            <w:r/>
            <w:r>
              <w:rPr>
                <w:b w:val="0"/>
                <w:sz w:val="16"/>
              </w:rPr>
              <w:t>CLI</w:t>
            </w:r>
          </w:p>
        </w:tc>
        <w:tc>
          <w:tcPr>
            <w:tcW w:type="dxa" w:w="8496"/>
            <w:vAlign w:val="top"/>
          </w:tcPr>
          <w:p>
            <w:pPr>
              <w:spacing w:after="0"/>
            </w:pPr>
            <w:r/>
            <w:r>
              <w:rPr>
                <w:b w:val="0"/>
                <w:sz w:val="16"/>
              </w:rPr>
              <w:t>Installable binary/package, shell completion/help, real terminal journey recorded through VHS, clean machine-readable output mode.</w:t>
            </w:r>
          </w:p>
        </w:tc>
      </w:tr>
      <w:tr>
        <w:tc>
          <w:tcPr>
            <w:tcW w:type="dxa" w:w="2160"/>
            <w:vAlign w:val="top"/>
          </w:tcPr>
          <w:p>
            <w:pPr>
              <w:spacing w:after="0"/>
            </w:pPr>
            <w:r/>
            <w:r>
              <w:rPr>
                <w:b w:val="0"/>
                <w:sz w:val="16"/>
              </w:rPr>
              <w:t>Library/SDK</w:t>
            </w:r>
          </w:p>
        </w:tc>
        <w:tc>
          <w:tcPr>
            <w:tcW w:type="dxa" w:w="8496"/>
            <w:vAlign w:val="top"/>
          </w:tcPr>
          <w:p>
            <w:pPr>
              <w:spacing w:after="0"/>
            </w:pPr>
            <w:r/>
            <w:r>
              <w:rPr>
                <w:b w:val="0"/>
                <w:sz w:val="16"/>
              </w:rPr>
              <w:t>Published or locally consumable package plus clean external consumer project and API/compatibility evidence.</w:t>
            </w:r>
          </w:p>
        </w:tc>
      </w:tr>
      <w:tr>
        <w:tc>
          <w:tcPr>
            <w:tcW w:type="dxa" w:w="2160"/>
            <w:vAlign w:val="top"/>
          </w:tcPr>
          <w:p>
            <w:pPr>
              <w:spacing w:after="0"/>
            </w:pPr>
            <w:r/>
            <w:r>
              <w:rPr>
                <w:b w:val="0"/>
                <w:sz w:val="16"/>
              </w:rPr>
              <w:t>Service</w:t>
            </w:r>
          </w:p>
        </w:tc>
        <w:tc>
          <w:tcPr>
            <w:tcW w:type="dxa" w:w="8496"/>
            <w:vAlign w:val="top"/>
          </w:tcPr>
          <w:p>
            <w:pPr>
              <w:spacing w:after="0"/>
            </w:pPr>
            <w:r/>
            <w:r>
              <w:rPr>
                <w:b w:val="0"/>
                <w:sz w:val="16"/>
              </w:rPr>
              <w:t>Deployable process/image with configuration, health, storage/migrations, shutdown/recovery, authentication and real client journey.</w:t>
            </w:r>
          </w:p>
        </w:tc>
      </w:tr>
      <w:tr>
        <w:tc>
          <w:tcPr>
            <w:tcW w:type="dxa" w:w="2160"/>
            <w:vAlign w:val="top"/>
          </w:tcPr>
          <w:p>
            <w:pPr>
              <w:spacing w:after="0"/>
            </w:pPr>
            <w:r/>
            <w:r>
              <w:rPr>
                <w:b w:val="0"/>
                <w:sz w:val="16"/>
              </w:rPr>
              <w:t>Harness/lab</w:t>
            </w:r>
          </w:p>
        </w:tc>
        <w:tc>
          <w:tcPr>
            <w:tcW w:type="dxa" w:w="8496"/>
            <w:vAlign w:val="top"/>
          </w:tcPr>
          <w:p>
            <w:pPr>
              <w:spacing w:after="0"/>
            </w:pPr>
            <w:r/>
            <w:r>
              <w:rPr>
                <w:b w:val="0"/>
                <w:sz w:val="16"/>
              </w:rPr>
              <w:t>Reproducible runner, pinned environment, one real benchmark/test corpus, output/evidence contract, and clean invocation from outside the source tree.</w:t>
            </w:r>
          </w:p>
        </w:tc>
      </w:tr>
      <w:tr>
        <w:tc>
          <w:tcPr>
            <w:tcW w:type="dxa" w:w="2160"/>
            <w:vAlign w:val="top"/>
          </w:tcPr>
          <w:p>
            <w:pPr>
              <w:spacing w:after="0"/>
            </w:pPr>
            <w:r/>
            <w:r>
              <w:rPr>
                <w:b w:val="0"/>
                <w:sz w:val="16"/>
              </w:rPr>
              <w:t>Historical donor/tombstone</w:t>
            </w:r>
          </w:p>
        </w:tc>
        <w:tc>
          <w:tcPr>
            <w:tcW w:type="dxa" w:w="8496"/>
            <w:vAlign w:val="top"/>
          </w:tcPr>
          <w:p>
            <w:pPr>
              <w:spacing w:after="0"/>
            </w:pPr>
            <w:r/>
            <w:r>
              <w:rPr>
                <w:b w:val="0"/>
                <w:sz w:val="16"/>
              </w:rPr>
              <w:t>No new product CVP. Completion means verified preservation, successor parity, consumer migration, restore proof and truthful terminal lifecycle.</w:t>
            </w:r>
          </w:p>
        </w:tc>
      </w:tr>
    </w:tbl>
    <w:p>
      <w:pPr>
        <w:spacing w:after="0"/>
      </w:pPr>
    </w:p>
    <w:p>
      <w:pPr>
        <w:pStyle w:val="Heading1"/>
      </w:pPr>
      <w:r>
        <w:t>3. Civis deep pass</w:t>
      </w:r>
    </w:p>
    <w:p>
      <w:r>
        <w:t>Civis is the clearest repository where the new direction is working. Since the prior pass it has moved beyond runtime integration into the things that matter for your “put it in Spotlight and let me judge it” workflow: packaging, sandbox E2E, state durability, user-facing polish and cross-platform build work.</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72"/>
            <w:shd w:fill="D9E2F3"/>
            <w:vAlign w:val="center"/>
          </w:tcPr>
          <w:p>
            <w:pPr>
              <w:spacing w:after="0"/>
            </w:pPr>
            <w:r/>
            <w:r>
              <w:rPr>
                <w:b/>
                <w:sz w:val="15"/>
              </w:rPr>
              <w:t>Area</w:t>
            </w:r>
          </w:p>
        </w:tc>
        <w:tc>
          <w:tcPr>
            <w:tcW w:type="dxa" w:w="5184"/>
            <w:shd w:fill="D9E2F3"/>
            <w:vAlign w:val="center"/>
          </w:tcPr>
          <w:p>
            <w:pPr>
              <w:spacing w:after="0"/>
            </w:pPr>
            <w:r/>
            <w:r>
              <w:rPr>
                <w:b/>
                <w:sz w:val="15"/>
              </w:rPr>
              <w:t>Current observed movement</w:t>
            </w:r>
          </w:p>
        </w:tc>
        <w:tc>
          <w:tcPr>
            <w:tcW w:type="dxa" w:w="3456"/>
            <w:shd w:fill="D9E2F3"/>
            <w:vAlign w:val="center"/>
          </w:tcPr>
          <w:p>
            <w:pPr>
              <w:spacing w:after="0"/>
            </w:pPr>
            <w:r/>
            <w:r>
              <w:rPr>
                <w:b/>
                <w:sz w:val="15"/>
              </w:rPr>
              <w:t>Assessment</w:t>
            </w:r>
          </w:p>
        </w:tc>
      </w:tr>
      <w:tr>
        <w:tc>
          <w:tcPr>
            <w:tcW w:type="dxa" w:w="1872"/>
            <w:vAlign w:val="top"/>
          </w:tcPr>
          <w:p>
            <w:pPr>
              <w:spacing w:after="0"/>
            </w:pPr>
            <w:r/>
            <w:r>
              <w:rPr>
                <w:b w:val="0"/>
                <w:sz w:val="15"/>
              </w:rPr>
              <w:t>macOS packaging</w:t>
            </w:r>
          </w:p>
        </w:tc>
        <w:tc>
          <w:tcPr>
            <w:tcW w:type="dxa" w:w="5184"/>
            <w:vAlign w:val="top"/>
          </w:tcPr>
          <w:p>
            <w:pPr>
              <w:spacing w:after="0"/>
            </w:pPr>
            <w:r/>
            <w:r>
              <w:rPr>
                <w:b w:val="0"/>
                <w:sz w:val="15"/>
              </w:rPr>
              <w:t>Current main adds a build-macos-app job that runs scripts/build-macos-app.sh and uploads Civis.app.</w:t>
            </w:r>
          </w:p>
        </w:tc>
        <w:tc>
          <w:tcPr>
            <w:tcW w:type="dxa" w:w="3456"/>
            <w:vAlign w:val="top"/>
          </w:tcPr>
          <w:p>
            <w:pPr>
              <w:spacing w:after="0"/>
            </w:pPr>
            <w:r/>
            <w:r>
              <w:rPr>
                <w:b w:val="0"/>
                <w:sz w:val="15"/>
              </w:rPr>
              <w:t>Strong CVP movement; still needs installed-artifact acceptance and release identity.</w:t>
            </w:r>
          </w:p>
        </w:tc>
      </w:tr>
      <w:tr>
        <w:tc>
          <w:tcPr>
            <w:tcW w:type="dxa" w:w="1872"/>
            <w:vAlign w:val="top"/>
          </w:tcPr>
          <w:p>
            <w:pPr>
              <w:spacing w:after="0"/>
            </w:pPr>
            <w:r/>
            <w:r>
              <w:rPr>
                <w:b w:val="0"/>
                <w:sz w:val="15"/>
              </w:rPr>
              <w:t>Cross-platform</w:t>
            </w:r>
          </w:p>
        </w:tc>
        <w:tc>
          <w:tcPr>
            <w:tcW w:type="dxa" w:w="5184"/>
            <w:vAlign w:val="top"/>
          </w:tcPr>
          <w:p>
            <w:pPr>
              <w:spacing w:after="0"/>
            </w:pPr>
            <w:r/>
            <w:r>
              <w:rPr>
                <w:b w:val="0"/>
                <w:sz w:val="15"/>
              </w:rPr>
              <w:t>Current build workflow now contains Windows, macOS and Linux civ-standalone jobs.</w:t>
            </w:r>
          </w:p>
        </w:tc>
        <w:tc>
          <w:tcPr>
            <w:tcW w:type="dxa" w:w="3456"/>
            <w:vAlign w:val="top"/>
          </w:tcPr>
          <w:p>
            <w:pPr>
              <w:spacing w:after="0"/>
            </w:pPr>
            <w:r/>
            <w:r>
              <w:rPr>
                <w:b w:val="0"/>
                <w:sz w:val="15"/>
              </w:rPr>
              <w:t>Good packaging breadth; artifact behavior must be tested, not just compiled.</w:t>
            </w:r>
          </w:p>
        </w:tc>
      </w:tr>
      <w:tr>
        <w:tc>
          <w:tcPr>
            <w:tcW w:type="dxa" w:w="1872"/>
            <w:vAlign w:val="top"/>
          </w:tcPr>
          <w:p>
            <w:pPr>
              <w:spacing w:after="0"/>
            </w:pPr>
            <w:r/>
            <w:r>
              <w:rPr>
                <w:b w:val="0"/>
                <w:sz w:val="15"/>
              </w:rPr>
              <w:t>E2E</w:t>
            </w:r>
          </w:p>
        </w:tc>
        <w:tc>
          <w:tcPr>
            <w:tcW w:type="dxa" w:w="5184"/>
            <w:vAlign w:val="top"/>
          </w:tcPr>
          <w:p>
            <w:pPr>
              <w:spacing w:after="0"/>
            </w:pPr>
            <w:r/>
            <w:r>
              <w:rPr>
                <w:b w:val="0"/>
                <w:sz w:val="15"/>
              </w:rPr>
              <w:t>Nightly sandbox job and --app smoke mode were added.</w:t>
            </w:r>
          </w:p>
        </w:tc>
        <w:tc>
          <w:tcPr>
            <w:tcW w:type="dxa" w:w="3456"/>
            <w:vAlign w:val="top"/>
          </w:tcPr>
          <w:p>
            <w:pPr>
              <w:spacing w:after="0"/>
            </w:pPr>
            <w:r/>
            <w:r>
              <w:rPr>
                <w:b w:val="0"/>
                <w:sz w:val="15"/>
              </w:rPr>
              <w:t>Correct direction; real native app journey and failure-state coverage remain important.</w:t>
            </w:r>
          </w:p>
        </w:tc>
      </w:tr>
      <w:tr>
        <w:tc>
          <w:tcPr>
            <w:tcW w:type="dxa" w:w="1872"/>
            <w:vAlign w:val="top"/>
          </w:tcPr>
          <w:p>
            <w:pPr>
              <w:spacing w:after="0"/>
            </w:pPr>
            <w:r/>
            <w:r>
              <w:rPr>
                <w:b w:val="0"/>
                <w:sz w:val="15"/>
              </w:rPr>
              <w:t>Persistence</w:t>
            </w:r>
          </w:p>
        </w:tc>
        <w:tc>
          <w:tcPr>
            <w:tcW w:type="dxa" w:w="5184"/>
            <w:vAlign w:val="top"/>
          </w:tcPr>
          <w:p>
            <w:pPr>
              <w:spacing w:after="0"/>
            </w:pPr>
            <w:r/>
            <w:r>
              <w:rPr>
                <w:b w:val="0"/>
                <w:sz w:val="15"/>
              </w:rPr>
              <w:t>Recent commits repair diplomacy, language/faction and institution/build-site/economic-focus round-trips.</w:t>
            </w:r>
          </w:p>
        </w:tc>
        <w:tc>
          <w:tcPr>
            <w:tcW w:type="dxa" w:w="3456"/>
            <w:vAlign w:val="top"/>
          </w:tcPr>
          <w:p>
            <w:pPr>
              <w:spacing w:after="0"/>
            </w:pPr>
            <w:r/>
            <w:r>
              <w:rPr>
                <w:b w:val="0"/>
                <w:sz w:val="15"/>
              </w:rPr>
              <w:t>Important durability work; should be consolidated into one restart/save/load journey.</w:t>
            </w:r>
          </w:p>
        </w:tc>
      </w:tr>
      <w:tr>
        <w:tc>
          <w:tcPr>
            <w:tcW w:type="dxa" w:w="1872"/>
            <w:vAlign w:val="top"/>
          </w:tcPr>
          <w:p>
            <w:pPr>
              <w:spacing w:after="0"/>
            </w:pPr>
            <w:r/>
            <w:r>
              <w:rPr>
                <w:b w:val="0"/>
                <w:sz w:val="15"/>
              </w:rPr>
              <w:t>Visual polish</w:t>
            </w:r>
          </w:p>
        </w:tc>
        <w:tc>
          <w:tcPr>
            <w:tcW w:type="dxa" w:w="5184"/>
            <w:vAlign w:val="top"/>
          </w:tcPr>
          <w:p>
            <w:pPr>
              <w:spacing w:after="0"/>
            </w:pPr>
            <w:r/>
            <w:r>
              <w:rPr>
                <w:b w:val="0"/>
                <w:sz w:val="15"/>
              </w:rPr>
              <w:t>Recent work includes command overlay, minimap, faction HUD, feed/notification polish and a 3D quality acceptance gate.</w:t>
            </w:r>
          </w:p>
        </w:tc>
        <w:tc>
          <w:tcPr>
            <w:tcW w:type="dxa" w:w="3456"/>
            <w:vAlign w:val="top"/>
          </w:tcPr>
          <w:p>
            <w:pPr>
              <w:spacing w:after="0"/>
            </w:pPr>
            <w:r/>
            <w:r>
              <w:rPr>
                <w:b w:val="0"/>
                <w:sz w:val="15"/>
              </w:rPr>
              <w:t>Meaningful, but aesthetics require installed-app visual review in addition to automated checks.</w:t>
            </w:r>
          </w:p>
        </w:tc>
      </w:tr>
      <w:tr>
        <w:tc>
          <w:tcPr>
            <w:tcW w:type="dxa" w:w="1872"/>
            <w:vAlign w:val="top"/>
          </w:tcPr>
          <w:p>
            <w:pPr>
              <w:spacing w:after="0"/>
            </w:pPr>
            <w:r/>
            <w:r>
              <w:rPr>
                <w:b w:val="0"/>
                <w:sz w:val="15"/>
              </w:rPr>
              <w:t>Mutation / assurance</w:t>
            </w:r>
          </w:p>
        </w:tc>
        <w:tc>
          <w:tcPr>
            <w:tcW w:type="dxa" w:w="5184"/>
            <w:vAlign w:val="top"/>
          </w:tcPr>
          <w:p>
            <w:pPr>
              <w:spacing w:after="0"/>
            </w:pPr>
            <w:r/>
            <w:r>
              <w:rPr>
                <w:b w:val="0"/>
                <w:sz w:val="15"/>
              </w:rPr>
              <w:t>A mutation ratchet is reported around a 65% CI-measured floor.</w:t>
            </w:r>
          </w:p>
        </w:tc>
        <w:tc>
          <w:tcPr>
            <w:tcW w:type="dxa" w:w="3456"/>
            <w:vAlign w:val="top"/>
          </w:tcPr>
          <w:p>
            <w:pPr>
              <w:spacing w:after="0"/>
            </w:pPr>
            <w:r/>
            <w:r>
              <w:rPr>
                <w:b w:val="0"/>
                <w:sz w:val="15"/>
              </w:rPr>
              <w:t>Transitional only; below your 85%+ independent assurance requirement.</w:t>
            </w:r>
          </w:p>
        </w:tc>
      </w:tr>
      <w:tr>
        <w:tc>
          <w:tcPr>
            <w:tcW w:type="dxa" w:w="1872"/>
            <w:vAlign w:val="top"/>
          </w:tcPr>
          <w:p>
            <w:pPr>
              <w:spacing w:after="0"/>
            </w:pPr>
            <w:r/>
            <w:r>
              <w:rPr>
                <w:b w:val="0"/>
                <w:sz w:val="15"/>
              </w:rPr>
              <w:t>Current Actions</w:t>
            </w:r>
          </w:p>
        </w:tc>
        <w:tc>
          <w:tcPr>
            <w:tcW w:type="dxa" w:w="5184"/>
            <w:vAlign w:val="top"/>
          </w:tcPr>
          <w:p>
            <w:pPr>
              <w:spacing w:after="0"/>
            </w:pPr>
            <w:r/>
            <w:r>
              <w:rPr>
                <w:b w:val="0"/>
                <w:sz w:val="15"/>
              </w:rPr>
              <w:t>At the sampled main head, GitHub reports 20 Actions runs: 14 successful and 6 failing.</w:t>
            </w:r>
          </w:p>
        </w:tc>
        <w:tc>
          <w:tcPr>
            <w:tcW w:type="dxa" w:w="3456"/>
            <w:vAlign w:val="top"/>
          </w:tcPr>
          <w:p>
            <w:pPr>
              <w:spacing w:after="0"/>
            </w:pPr>
            <w:r/>
            <w:r>
              <w:rPr>
                <w:b w:val="0"/>
                <w:sz w:val="15"/>
              </w:rPr>
              <w:t>Not globally clean. Failures need classification into required, environmental/advisory, or real defect.</w:t>
            </w:r>
          </w:p>
        </w:tc>
      </w:tr>
      <w:tr>
        <w:tc>
          <w:tcPr>
            <w:tcW w:type="dxa" w:w="1872"/>
            <w:vAlign w:val="top"/>
          </w:tcPr>
          <w:p>
            <w:pPr>
              <w:spacing w:after="0"/>
            </w:pPr>
            <w:r/>
            <w:r>
              <w:rPr>
                <w:b w:val="0"/>
                <w:sz w:val="15"/>
              </w:rPr>
              <w:t>Release</w:t>
            </w:r>
          </w:p>
        </w:tc>
        <w:tc>
          <w:tcPr>
            <w:tcW w:type="dxa" w:w="5184"/>
            <w:vAlign w:val="top"/>
          </w:tcPr>
          <w:p>
            <w:pPr>
              <w:spacing w:after="0"/>
            </w:pPr>
            <w:r/>
            <w:r>
              <w:rPr>
                <w:b w:val="0"/>
                <w:sz w:val="15"/>
              </w:rPr>
              <w:t>Published v0.5.0 contains CLI assets; the current .app work is newer.</w:t>
            </w:r>
          </w:p>
        </w:tc>
        <w:tc>
          <w:tcPr>
            <w:tcW w:type="dxa" w:w="3456"/>
            <w:vAlign w:val="top"/>
          </w:tcPr>
          <w:p>
            <w:pPr>
              <w:spacing w:after="0"/>
            </w:pPr>
            <w:r/>
            <w:r>
              <w:rPr>
                <w:b w:val="0"/>
                <w:sz w:val="15"/>
              </w:rPr>
              <w:t>Current app bundle is not yet proven as the released, installed CVP.</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FF2CC"/>
          </w:tcPr>
          <w:p>
            <w:pPr>
              <w:spacing w:after="40"/>
            </w:pPr>
            <w:r>
              <w:rPr>
                <w:b/>
                <w:sz w:val="20"/>
              </w:rPr>
              <w:t>Civis decision</w:t>
              <w:br/>
            </w:r>
            <w:r>
              <w:rPr>
                <w:sz w:val="18"/>
              </w:rPr>
              <w:t>Stop treating the next feature as the primary milestone. The next milestone should be an artifact digest for one Civis.app, installed from outside the repo, launched like third-party software, completing the full save/restart/user journey while phenotype-journeys captures the real UI and all required QA gates are attached to that exact artifact.</w:t>
            </w:r>
          </w:p>
        </w:tc>
      </w:tr>
    </w:tbl>
    <w:p>
      <w:pPr>
        <w:spacing w:after="0"/>
      </w:pPr>
    </w:p>
    <w:p>
      <w:pPr>
        <w:pStyle w:val="Heading2"/>
      </w:pPr>
      <w:r>
        <w:t>3.1 Civis CVP closure sequence</w:t>
      </w:r>
    </w:p>
    <w:p>
      <w:pPr>
        <w:pStyle w:val="ListNumber"/>
      </w:pPr>
      <w:r>
        <w:t>Freeze current CVP horizon. Only accept new implementation work if it closes an already-accepted capability, a defect, a packaging requirement, or a measured quality/polish gap.</w:t>
      </w:r>
    </w:p>
    <w:p>
      <w:pPr>
        <w:pStyle w:val="ListNumber"/>
      </w:pPr>
      <w:r>
        <w:t>Build Civis.app from a clean checkout/release candidate. Store commit SHA, Cargo.lock digest, app bundle digest and build environment identity.</w:t>
      </w:r>
    </w:p>
    <w:p>
      <w:pPr>
        <w:pStyle w:val="ListNumber"/>
      </w:pPr>
      <w:r>
        <w:t>Install to ~/Applications or /Applications without depending on the repository. Verify LaunchServices registration, Spotlight discovery, icon, bundle identifier and launch via Finder/open.</w:t>
      </w:r>
    </w:p>
    <w:p>
      <w:pPr>
        <w:pStyle w:val="ListNumber"/>
      </w:pPr>
      <w:r>
        <w:t>Verify resource lookup and writable state use Application Support/appropriate user directories rather than cwd or source-tree paths.</w:t>
      </w:r>
    </w:p>
    <w:p>
      <w:pPr>
        <w:pStyle w:val="ListNumber"/>
      </w:pPr>
      <w:r>
        <w:t>Run one deterministic journey: first launch -&gt; create/load world -&gt; perform representative simulation actions -&gt; save -&gt; quit -&gt; relaunch -&gt; verify persisted state -&gt; exercise reconnect/failure recovery.</w:t>
      </w:r>
    </w:p>
    <w:p>
      <w:pPr>
        <w:pStyle w:val="ListNumber"/>
      </w:pPr>
      <w:r>
        <w:t>Capture first-run, normal, selected-object, command palette, settings, empty/error/recovery and save/reload states through phenotype-journeys from the installed .app.</w:t>
      </w:r>
    </w:p>
    <w:p>
      <w:pPr>
        <w:pStyle w:val="ListNumber"/>
      </w:pPr>
      <w:r>
        <w:t>Run the full required QA matrix at the same candidate SHA: unit &gt;=85%, integration &gt;=85%, E2E &gt;=85%, mutation &gt;=85% where applicable, critical obligations 100%, plus supported-platform acceptance.</w:t>
      </w:r>
    </w:p>
    <w:p>
      <w:pPr>
        <w:pStyle w:val="ListNumber"/>
      </w:pPr>
      <w:r>
        <w:t>Classify all current failing Actions. Required failures block CVP. Advisory/external failures must be explicitly labeled and cannot masquerade as green.</w:t>
      </w:r>
    </w:p>
    <w:p>
      <w:pPr>
        <w:pStyle w:val="ListNumber"/>
      </w:pPr>
      <w:r>
        <w:t>Perform visual/taste review separately from automated screenshot diffs. Fix clipping, density, spacing, hierarchy, debug affordances, inconsistent interaction patterns and low-quality default states.</w:t>
      </w:r>
    </w:p>
    <w:p>
      <w:pPr>
        <w:pStyle w:val="ListNumber"/>
      </w:pPr>
      <w:r>
        <w:t>Only then produce a CVP release and install that release artifact again. The release artifact, not a developer-built app, is what earns the “installed” state.</w:t>
      </w:r>
    </w:p>
    <w:p>
      <w:pPr>
        <w:pStyle w:val="Heading2"/>
      </w:pPr>
      <w:r>
        <w:t>3.2 Civis acceptance record</w:t>
      </w:r>
    </w:p>
    <w:p>
      <w:pPr>
        <w:spacing w:before="80" w:after="120"/>
        <w:ind w:left="360" w:right="360"/>
        <w:shd w:fill="F2F2F2"/>
      </w:pPr>
      <w:r>
        <w:rPr>
          <w:rFonts w:ascii="Courier New" w:hAnsi="Courier New"/>
          <w:sz w:val="16"/>
        </w:rPr>
        <w:t>CVP: Civis / current-horizon desktop</w:t>
        <w:br/>
        <w:t>source_sha: &lt;candidate&gt;</w:t>
        <w:br/>
        <w:t>artifact_sha256: &lt;Civis.app archive/dmg digest&gt;</w:t>
        <w:br/>
        <w:t>installed_path: /Applications/Civis.app or ~/Applications/Civis.app</w:t>
        <w:br/>
        <w:t>bundle_id: &lt;verified&gt;</w:t>
        <w:br/>
        <w:t>spotlight_discoverable: true</w:t>
        <w:br/>
        <w:t>clean_machine_launch: PASS</w:t>
        <w:br/>
        <w:t>core_journey: PASS</w:t>
        <w:br/>
        <w:t>save_restart_roundtrip: PASS</w:t>
        <w:br/>
        <w:t>unit_coverage: &gt;= 85%</w:t>
        <w:br/>
        <w:t>integration_coverage: &gt;= 85%</w:t>
        <w:br/>
        <w:t>e2e_coverage: &gt;= 85%</w:t>
        <w:br/>
        <w:t>mutation_score: &gt;= 85% (eligible non-equivalent mutants)</w:t>
        <w:br/>
        <w:t>critical_obligations: 100%</w:t>
        <w:br/>
        <w:t>required_actions: PASS</w:t>
        <w:br/>
        <w:t>visual_review: ACCEPTED</w:t>
        <w:br/>
        <w:t>phenotype_journey_run: &lt;id&gt;</w:t>
        <w:br/>
        <w:t>release_asset_matches_tested_artifact: true</w:t>
      </w:r>
    </w:p>
    <w:p>
      <w:pPr>
        <w:pStyle w:val="Heading1"/>
      </w:pPr>
      <w:r>
        <w:t>4. Priority repository status and next closure targets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512"/>
            <w:shd w:fill="D9E2F3"/>
            <w:vAlign w:val="center"/>
          </w:tcPr>
          <w:p>
            <w:pPr>
              <w:spacing w:after="0"/>
            </w:pPr>
            <w:r/>
            <w:r>
              <w:rPr>
                <w:b/>
                <w:sz w:val="13"/>
              </w:rPr>
              <w:t>Area</w:t>
            </w:r>
          </w:p>
        </w:tc>
        <w:tc>
          <w:tcPr>
            <w:tcW w:type="dxa" w:w="3384"/>
            <w:shd w:fill="D9E2F3"/>
            <w:vAlign w:val="center"/>
          </w:tcPr>
          <w:p>
            <w:pPr>
              <w:spacing w:after="0"/>
            </w:pPr>
            <w:r/>
            <w:r>
              <w:rPr>
                <w:b/>
                <w:sz w:val="13"/>
              </w:rPr>
              <w:t>Observed movement since prior pass</w:t>
            </w:r>
          </w:p>
        </w:tc>
        <w:tc>
          <w:tcPr>
            <w:tcW w:type="dxa" w:w="3168"/>
            <w:shd w:fill="D9E2F3"/>
            <w:vAlign w:val="center"/>
          </w:tcPr>
          <w:p>
            <w:pPr>
              <w:spacing w:after="0"/>
            </w:pPr>
            <w:r/>
            <w:r>
              <w:rPr>
                <w:b/>
                <w:sz w:val="13"/>
              </w:rPr>
              <w:t>Current CVP diagnosis</w:t>
            </w:r>
          </w:p>
        </w:tc>
        <w:tc>
          <w:tcPr>
            <w:tcW w:type="dxa" w:w="3384"/>
            <w:shd w:fill="D9E2F3"/>
            <w:vAlign w:val="center"/>
          </w:tcPr>
          <w:p>
            <w:pPr>
              <w:spacing w:after="0"/>
            </w:pPr>
            <w:r/>
            <w:r>
              <w:rPr>
                <w:b/>
                <w:sz w:val="13"/>
              </w:rPr>
              <w:t>Next proof</w:t>
            </w:r>
          </w:p>
        </w:tc>
      </w:tr>
      <w:tr>
        <w:tc>
          <w:tcPr>
            <w:tcW w:type="dxa" w:w="1512"/>
            <w:vAlign w:val="top"/>
          </w:tcPr>
          <w:p>
            <w:pPr>
              <w:spacing w:after="0"/>
            </w:pPr>
            <w:r/>
            <w:r>
              <w:rPr>
                <w:b w:val="0"/>
                <w:sz w:val="13"/>
              </w:rPr>
              <w:t>AgilePlus</w:t>
            </w:r>
          </w:p>
        </w:tc>
        <w:tc>
          <w:tcPr>
            <w:tcW w:type="dxa" w:w="3384"/>
            <w:vAlign w:val="top"/>
          </w:tcPr>
          <w:p>
            <w:pPr>
              <w:spacing w:after="0"/>
            </w:pPr>
            <w:r/>
            <w:r>
              <w:rPr>
                <w:b w:val="0"/>
                <w:sz w:val="13"/>
              </w:rPr>
              <w:t>Desktop now reads the real project DB; universal .app/DMG packaging and release work landed. Its own assessment reports 1,356 tests passing but calls out no coverage measurement, no transport tests, no performance baseline and no full E2E.</w:t>
            </w:r>
          </w:p>
        </w:tc>
        <w:tc>
          <w:tcPr>
            <w:tcW w:type="dxa" w:w="3168"/>
            <w:vAlign w:val="top"/>
          </w:tcPr>
          <w:p>
            <w:pPr>
              <w:spacing w:after="0"/>
            </w:pPr>
            <w:r/>
            <w:r>
              <w:rPr>
                <w:b w:val="0"/>
                <w:sz w:val="13"/>
              </w:rPr>
              <w:t>Near packaging CVP, not qualified CVP. Self-assessment is usefully honest.</w:t>
            </w:r>
          </w:p>
        </w:tc>
        <w:tc>
          <w:tcPr>
            <w:tcW w:type="dxa" w:w="3384"/>
            <w:vAlign w:val="top"/>
          </w:tcPr>
          <w:p>
            <w:pPr>
              <w:spacing w:after="0"/>
            </w:pPr>
            <w:r/>
            <w:r>
              <w:rPr>
                <w:b w:val="0"/>
                <w:sz w:val="13"/>
              </w:rPr>
              <w:t>Install current app outside source tree; prove project discovery + read/write workflow, coverage, transport, perf and full E2E on the tested artifact.</w:t>
            </w:r>
          </w:p>
        </w:tc>
      </w:tr>
      <w:tr>
        <w:tc>
          <w:tcPr>
            <w:tcW w:type="dxa" w:w="1512"/>
            <w:vAlign w:val="top"/>
          </w:tcPr>
          <w:p>
            <w:pPr>
              <w:spacing w:after="0"/>
            </w:pPr>
            <w:r/>
            <w:r>
              <w:rPr>
                <w:b w:val="0"/>
                <w:sz w:val="13"/>
              </w:rPr>
              <w:t>sharecli</w:t>
            </w:r>
          </w:p>
        </w:tc>
        <w:tc>
          <w:tcPr>
            <w:tcW w:type="dxa" w:w="3384"/>
            <w:vAlign w:val="top"/>
          </w:tcPr>
          <w:p>
            <w:pPr>
              <w:spacing w:after="0"/>
            </w:pPr>
            <w:r/>
            <w:r>
              <w:rPr>
                <w:b w:val="0"/>
                <w:sz w:val="13"/>
              </w:rPr>
              <w:t>Agent/tool detection, tray/popover polish, responsive UI and large test/coverage pushes.</w:t>
            </w:r>
          </w:p>
        </w:tc>
        <w:tc>
          <w:tcPr>
            <w:tcW w:type="dxa" w:w="3168"/>
            <w:vAlign w:val="top"/>
          </w:tcPr>
          <w:p>
            <w:pPr>
              <w:spacing w:after="0"/>
            </w:pPr>
            <w:r/>
            <w:r>
              <w:rPr>
                <w:b w:val="0"/>
                <w:sz w:val="13"/>
              </w:rPr>
              <w:t>Quality is moving toward threshold; package/product acceptance remains the important next step.</w:t>
            </w:r>
          </w:p>
        </w:tc>
        <w:tc>
          <w:tcPr>
            <w:tcW w:type="dxa" w:w="3384"/>
            <w:vAlign w:val="top"/>
          </w:tcPr>
          <w:p>
            <w:pPr>
              <w:spacing w:after="0"/>
            </w:pPr>
            <w:r/>
            <w:r>
              <w:rPr>
                <w:b w:val="0"/>
                <w:sz w:val="13"/>
              </w:rPr>
              <w:t>Native coverage report at current head; packaged tray/CLI artifact; supervise a real workload, fail/restart/recover, and verify no foreground contention regression.</w:t>
            </w:r>
          </w:p>
        </w:tc>
      </w:tr>
      <w:tr>
        <w:tc>
          <w:tcPr>
            <w:tcW w:type="dxa" w:w="1512"/>
            <w:vAlign w:val="top"/>
          </w:tcPr>
          <w:p>
            <w:pPr>
              <w:spacing w:after="0"/>
            </w:pPr>
            <w:r/>
            <w:r>
              <w:rPr>
                <w:b w:val="0"/>
                <w:sz w:val="13"/>
              </w:rPr>
              <w:t>Tracera</w:t>
            </w:r>
          </w:p>
        </w:tc>
        <w:tc>
          <w:tcPr>
            <w:tcW w:type="dxa" w:w="3384"/>
            <w:vAlign w:val="top"/>
          </w:tcPr>
          <w:p>
            <w:pPr>
              <w:spacing w:after="0"/>
            </w:pPr>
            <w:r/>
            <w:r>
              <w:rPr>
                <w:b w:val="0"/>
                <w:sz w:val="13"/>
              </w:rPr>
              <w:t>Real seeded local-stack E2E, DB integration tests, frontend test prep, branch-protection repair and internal simplification.</w:t>
            </w:r>
          </w:p>
        </w:tc>
        <w:tc>
          <w:tcPr>
            <w:tcW w:type="dxa" w:w="3168"/>
            <w:vAlign w:val="top"/>
          </w:tcPr>
          <w:p>
            <w:pPr>
              <w:spacing w:after="0"/>
            </w:pPr>
            <w:r/>
            <w:r>
              <w:rPr>
                <w:b w:val="0"/>
                <w:sz w:val="13"/>
              </w:rPr>
              <w:t>Good correctness movement. Chat being down means remote state should become the handoff source rather than session memory.</w:t>
            </w:r>
          </w:p>
        </w:tc>
        <w:tc>
          <w:tcPr>
            <w:tcW w:type="dxa" w:w="3384"/>
            <w:vAlign w:val="top"/>
          </w:tcPr>
          <w:p>
            <w:pPr>
              <w:spacing w:after="0"/>
            </w:pPr>
            <w:r/>
            <w:r>
              <w:rPr>
                <w:b w:val="0"/>
                <w:sz w:val="13"/>
              </w:rPr>
              <w:t>Re-establish owner, pick one deployment mode, prove persistent datastore/auth/MCP/web journey, then package/deploy the same candidate.</w:t>
            </w:r>
          </w:p>
        </w:tc>
      </w:tr>
      <w:tr>
        <w:tc>
          <w:tcPr>
            <w:tcW w:type="dxa" w:w="1512"/>
            <w:vAlign w:val="top"/>
          </w:tcPr>
          <w:p>
            <w:pPr>
              <w:spacing w:after="0"/>
            </w:pPr>
            <w:r/>
            <w:r>
              <w:rPr>
                <w:b w:val="0"/>
                <w:sz w:val="13"/>
              </w:rPr>
              <w:t>PhenoFabric</w:t>
            </w:r>
          </w:p>
        </w:tc>
        <w:tc>
          <w:tcPr>
            <w:tcW w:type="dxa" w:w="3384"/>
            <w:vAlign w:val="top"/>
          </w:tcPr>
          <w:p>
            <w:pPr>
              <w:spacing w:after="0"/>
            </w:pPr>
            <w:r/>
            <w:r>
              <w:rPr>
                <w:b w:val="0"/>
                <w:sz w:val="13"/>
              </w:rPr>
              <w:t>Runtime module decomposition, benchmarks/fuzz scaffolding, auth/network CLI work, settings persistence and NVMS adapter repair.</w:t>
            </w:r>
          </w:p>
        </w:tc>
        <w:tc>
          <w:tcPr>
            <w:tcW w:type="dxa" w:w="3168"/>
            <w:vAlign w:val="top"/>
          </w:tcPr>
          <w:p>
            <w:pPr>
              <w:spacing w:after="0"/>
            </w:pPr>
            <w:r/>
            <w:r>
              <w:rPr>
                <w:b w:val="0"/>
                <w:sz w:val="13"/>
              </w:rPr>
              <w:t>More than a spec repo now, but still needs product composition proof.</w:t>
            </w:r>
          </w:p>
        </w:tc>
        <w:tc>
          <w:tcPr>
            <w:tcW w:type="dxa" w:w="3384"/>
            <w:vAlign w:val="top"/>
          </w:tcPr>
          <w:p>
            <w:pPr>
              <w:spacing w:after="0"/>
            </w:pPr>
            <w:r/>
            <w:r>
              <w:rPr>
                <w:b w:val="0"/>
                <w:sz w:val="13"/>
              </w:rPr>
              <w:t>One real two-node path: discovery/auth -&gt; route -&gt; surface/data operation -&gt; node failure -&gt; replan/recovery, with latency/resource evidence and packaged endpoints.</w:t>
            </w:r>
          </w:p>
        </w:tc>
      </w:tr>
      <w:tr>
        <w:tc>
          <w:tcPr>
            <w:tcW w:type="dxa" w:w="1512"/>
            <w:vAlign w:val="top"/>
          </w:tcPr>
          <w:p>
            <w:pPr>
              <w:spacing w:after="0"/>
            </w:pPr>
            <w:r/>
            <w:r>
              <w:rPr>
                <w:b w:val="0"/>
                <w:sz w:val="13"/>
              </w:rPr>
              <w:t>terminal-fabric</w:t>
            </w:r>
          </w:p>
        </w:tc>
        <w:tc>
          <w:tcPr>
            <w:tcW w:type="dxa" w:w="3384"/>
            <w:vAlign w:val="top"/>
          </w:tcPr>
          <w:p>
            <w:pPr>
              <w:spacing w:after="0"/>
            </w:pPr>
            <w:r/>
            <w:r>
              <w:rPr>
                <w:b w:val="0"/>
                <w:sz w:val="13"/>
              </w:rPr>
              <w:t>New private repo: Windows Terminal UIA multi-tab capture, web serving, pane cache, privacy fix, module decomposition.</w:t>
            </w:r>
          </w:p>
        </w:tc>
        <w:tc>
          <w:tcPr>
            <w:tcW w:type="dxa" w:w="3168"/>
            <w:vAlign w:val="top"/>
          </w:tcPr>
          <w:p>
            <w:pPr>
              <w:spacing w:after="0"/>
            </w:pPr>
            <w:r/>
            <w:r>
              <w:rPr>
                <w:b w:val="0"/>
                <w:sz w:val="13"/>
              </w:rPr>
              <w:t>Useful observability/control substrate. Treat terminal content as sensitive by default.</w:t>
            </w:r>
          </w:p>
        </w:tc>
        <w:tc>
          <w:tcPr>
            <w:tcW w:type="dxa" w:w="3384"/>
            <w:vAlign w:val="top"/>
          </w:tcPr>
          <w:p>
            <w:pPr>
              <w:spacing w:after="0"/>
            </w:pPr>
            <w:r/>
            <w:r>
              <w:rPr>
                <w:b w:val="0"/>
                <w:sz w:val="13"/>
              </w:rPr>
              <w:t>Installable local service/agent, auth and redaction policy, restart persistence, multi-terminal capture journey, resource budget.</w:t>
            </w:r>
          </w:p>
        </w:tc>
      </w:tr>
      <w:tr>
        <w:tc>
          <w:tcPr>
            <w:tcW w:type="dxa" w:w="1512"/>
            <w:vAlign w:val="top"/>
          </w:tcPr>
          <w:p>
            <w:pPr>
              <w:spacing w:after="0"/>
            </w:pPr>
            <w:r/>
            <w:r>
              <w:rPr>
                <w:b w:val="0"/>
                <w:sz w:val="13"/>
              </w:rPr>
              <w:t>jcode</w:t>
            </w:r>
          </w:p>
        </w:tc>
        <w:tc>
          <w:tcPr>
            <w:tcW w:type="dxa" w:w="3384"/>
            <w:vAlign w:val="top"/>
          </w:tcPr>
          <w:p>
            <w:pPr>
              <w:spacing w:after="0"/>
            </w:pPr>
            <w:r/>
            <w:r>
              <w:rPr>
                <w:b w:val="0"/>
                <w:sz w:val="13"/>
              </w:rPr>
              <w:t>Very high activity: swarm ops, DAG/filter/rename UI, terminal/shell integration, protocol metrics, module splits and persistent fork-depth guard.</w:t>
            </w:r>
          </w:p>
        </w:tc>
        <w:tc>
          <w:tcPr>
            <w:tcW w:type="dxa" w:w="3168"/>
            <w:vAlign w:val="top"/>
          </w:tcPr>
          <w:p>
            <w:pPr>
              <w:spacing w:after="0"/>
            </w:pPr>
            <w:r/>
            <w:r>
              <w:rPr>
                <w:b w:val="0"/>
                <w:sz w:val="13"/>
              </w:rPr>
              <w:t>Powerful harness with integration churn. Recent history also contains quick follow-up repairs after concurrent edits/partially wired operations.</w:t>
            </w:r>
          </w:p>
        </w:tc>
        <w:tc>
          <w:tcPr>
            <w:tcW w:type="dxa" w:w="3384"/>
            <w:vAlign w:val="top"/>
          </w:tcPr>
          <w:p>
            <w:pPr>
              <w:spacing w:after="0"/>
            </w:pPr>
            <w:r/>
            <w:r>
              <w:rPr>
                <w:b w:val="0"/>
                <w:sz w:val="13"/>
              </w:rPr>
              <w:t>Keep high-concurrency work, but restrict destructive fleet/repo lifecycle operations behind transactional APIs and a preview/lease model.</w:t>
            </w:r>
          </w:p>
        </w:tc>
      </w:tr>
      <w:tr>
        <w:tc>
          <w:tcPr>
            <w:tcW w:type="dxa" w:w="1512"/>
            <w:vAlign w:val="top"/>
          </w:tcPr>
          <w:p>
            <w:pPr>
              <w:spacing w:after="0"/>
            </w:pPr>
            <w:r/>
            <w:r>
              <w:rPr>
                <w:b w:val="0"/>
                <w:sz w:val="13"/>
              </w:rPr>
              <w:t>BytePort + nanovms</w:t>
            </w:r>
          </w:p>
        </w:tc>
        <w:tc>
          <w:tcPr>
            <w:tcW w:type="dxa" w:w="3384"/>
            <w:vAlign w:val="top"/>
          </w:tcPr>
          <w:p>
            <w:pPr>
              <w:spacing w:after="0"/>
            </w:pPr>
            <w:r/>
            <w:r>
              <w:rPr>
                <w:b w:val="0"/>
                <w:sz w:val="13"/>
              </w:rPr>
              <w:t>NVMS implementation removed from BytePort after repoint; CI stale references removed; FFI responsibility migrated into nanovms; boundary ADRs updated.</w:t>
            </w:r>
          </w:p>
        </w:tc>
        <w:tc>
          <w:tcPr>
            <w:tcW w:type="dxa" w:w="3168"/>
            <w:vAlign w:val="top"/>
          </w:tcPr>
          <w:p>
            <w:pPr>
              <w:spacing w:after="0"/>
            </w:pPr>
            <w:r/>
            <w:r>
              <w:rPr>
                <w:b w:val="0"/>
                <w:sz w:val="13"/>
              </w:rPr>
              <w:t>Exactly the desired semantic-compression direction if consumer parity is real.</w:t>
            </w:r>
          </w:p>
        </w:tc>
        <w:tc>
          <w:tcPr>
            <w:tcW w:type="dxa" w:w="3384"/>
            <w:vAlign w:val="top"/>
          </w:tcPr>
          <w:p>
            <w:pPr>
              <w:spacing w:after="0"/>
            </w:pPr>
            <w:r/>
            <w:r>
              <w:rPr>
                <w:b w:val="0"/>
                <w:sz w:val="13"/>
              </w:rPr>
              <w:t>Consumer graph + clean build + BytePort/NVMS end-to-end after deletion; restore test; eliminate remaining duplicate implementation only after parity.</w:t>
            </w:r>
          </w:p>
        </w:tc>
      </w:tr>
      <w:tr>
        <w:tc>
          <w:tcPr>
            <w:tcW w:type="dxa" w:w="1512"/>
            <w:vAlign w:val="top"/>
          </w:tcPr>
          <w:p>
            <w:pPr>
              <w:spacing w:after="0"/>
            </w:pPr>
            <w:r/>
            <w:r>
              <w:rPr>
                <w:b w:val="0"/>
                <w:sz w:val="13"/>
              </w:rPr>
              <w:t>Portage</w:t>
            </w:r>
          </w:p>
        </w:tc>
        <w:tc>
          <w:tcPr>
            <w:tcW w:type="dxa" w:w="3384"/>
            <w:vAlign w:val="top"/>
          </w:tcPr>
          <w:p>
            <w:pPr>
              <w:spacing w:after="0"/>
            </w:pPr>
            <w:r/>
            <w:r>
              <w:rPr>
                <w:b w:val="0"/>
                <w:sz w:val="13"/>
              </w:rPr>
              <w:t>Recent work is mostly blocking-gate repair, lint cleanup and CI conflict repair.</w:t>
            </w:r>
          </w:p>
        </w:tc>
        <w:tc>
          <w:tcPr>
            <w:tcW w:type="dxa" w:w="3168"/>
            <w:vAlign w:val="top"/>
          </w:tcPr>
          <w:p>
            <w:pPr>
              <w:spacing w:after="0"/>
            </w:pPr>
            <w:r/>
            <w:r>
              <w:rPr>
                <w:b w:val="0"/>
                <w:sz w:val="13"/>
              </w:rPr>
              <w:t>Maintenance has dominated product proof.</w:t>
            </w:r>
          </w:p>
        </w:tc>
        <w:tc>
          <w:tcPr>
            <w:tcW w:type="dxa" w:w="3384"/>
            <w:vAlign w:val="top"/>
          </w:tcPr>
          <w:p>
            <w:pPr>
              <w:spacing w:after="0"/>
            </w:pPr>
            <w:r/>
            <w:r>
              <w:rPr>
                <w:b w:val="0"/>
                <w:sz w:val="13"/>
              </w:rPr>
              <w:t>Run one real adapter/evaluation job from clean install; measure output and failure handling; then decide which remaining gate work is actually CVP-blocking.</w:t>
            </w:r>
          </w:p>
        </w:tc>
      </w:tr>
      <w:tr>
        <w:tc>
          <w:tcPr>
            <w:tcW w:type="dxa" w:w="1512"/>
            <w:vAlign w:val="top"/>
          </w:tcPr>
          <w:p>
            <w:pPr>
              <w:spacing w:after="0"/>
            </w:pPr>
            <w:r/>
            <w:r>
              <w:rPr>
                <w:b w:val="0"/>
                <w:sz w:val="13"/>
              </w:rPr>
              <w:t>PhenoLab</w:t>
            </w:r>
          </w:p>
        </w:tc>
        <w:tc>
          <w:tcPr>
            <w:tcW w:type="dxa" w:w="3384"/>
            <w:vAlign w:val="top"/>
          </w:tcPr>
          <w:p>
            <w:pPr>
              <w:spacing w:after="0"/>
            </w:pPr>
            <w:r/>
            <w:r>
              <w:rPr>
                <w:b w:val="0"/>
                <w:sz w:val="13"/>
              </w:rPr>
              <w:t>vLLM serve/config work, stress demo, attestations and Tracera absorption semantics.</w:t>
            </w:r>
          </w:p>
        </w:tc>
        <w:tc>
          <w:tcPr>
            <w:tcW w:type="dxa" w:w="3168"/>
            <w:vAlign w:val="top"/>
          </w:tcPr>
          <w:p>
            <w:pPr>
              <w:spacing w:after="0"/>
            </w:pPr>
            <w:r/>
            <w:r>
              <w:rPr>
                <w:b w:val="0"/>
                <w:sz w:val="13"/>
              </w:rPr>
              <w:t>Lab CVP should be reproducibility, not a GUI app. Environmental failures still appear in recent history.</w:t>
            </w:r>
          </w:p>
        </w:tc>
        <w:tc>
          <w:tcPr>
            <w:tcW w:type="dxa" w:w="3384"/>
            <w:vAlign w:val="top"/>
          </w:tcPr>
          <w:p>
            <w:pPr>
              <w:spacing w:after="0"/>
            </w:pPr>
            <w:r/>
            <w:r>
              <w:rPr>
                <w:b w:val="0"/>
                <w:sz w:val="13"/>
              </w:rPr>
              <w:t>One pinned benchmark bundle reproducible on a clean runner with results/provenance; no skipped contract checks counted as delivery.</w:t>
            </w:r>
          </w:p>
        </w:tc>
      </w:tr>
      <w:tr>
        <w:tc>
          <w:tcPr>
            <w:tcW w:type="dxa" w:w="1512"/>
            <w:vAlign w:val="top"/>
          </w:tcPr>
          <w:p>
            <w:pPr>
              <w:spacing w:after="0"/>
            </w:pPr>
            <w:r/>
            <w:r>
              <w:rPr>
                <w:b w:val="0"/>
                <w:sz w:val="13"/>
              </w:rPr>
              <w:t>hwLedger</w:t>
            </w:r>
          </w:p>
        </w:tc>
        <w:tc>
          <w:tcPr>
            <w:tcW w:type="dxa" w:w="3384"/>
            <w:vAlign w:val="top"/>
          </w:tcPr>
          <w:p>
            <w:pPr>
              <w:spacing w:after="0"/>
            </w:pPr>
            <w:r/>
            <w:r>
              <w:rPr>
                <w:b w:val="0"/>
                <w:sz w:val="13"/>
              </w:rPr>
              <w:t>Recent commits mostly make quality gates genuinely blocking and repair workflow formatting.</w:t>
            </w:r>
          </w:p>
        </w:tc>
        <w:tc>
          <w:tcPr>
            <w:tcW w:type="dxa" w:w="3168"/>
            <w:vAlign w:val="top"/>
          </w:tcPr>
          <w:p>
            <w:pPr>
              <w:spacing w:after="0"/>
            </w:pPr>
            <w:r/>
            <w:r>
              <w:rPr>
                <w:b w:val="0"/>
                <w:sz w:val="13"/>
              </w:rPr>
              <w:t>Good QE cleanup, little recent product proof visible.</w:t>
            </w:r>
          </w:p>
        </w:tc>
        <w:tc>
          <w:tcPr>
            <w:tcW w:type="dxa" w:w="3384"/>
            <w:vAlign w:val="top"/>
          </w:tcPr>
          <w:p>
            <w:pPr>
              <w:spacing w:after="0"/>
            </w:pPr>
            <w:r/>
            <w:r>
              <w:rPr>
                <w:b w:val="0"/>
                <w:sz w:val="13"/>
              </w:rPr>
              <w:t>Install/run hardware probe, persist/query inventory, exercise at least two adapters/hardware classes and failure path, then package.</w:t>
            </w:r>
          </w:p>
        </w:tc>
      </w:tr>
      <w:tr>
        <w:tc>
          <w:tcPr>
            <w:tcW w:type="dxa" w:w="1512"/>
            <w:vAlign w:val="top"/>
          </w:tcPr>
          <w:p>
            <w:pPr>
              <w:spacing w:after="0"/>
            </w:pPr>
            <w:r/>
            <w:r>
              <w:rPr>
                <w:b w:val="0"/>
                <w:sz w:val="13"/>
              </w:rPr>
              <w:t>PhenoMLX / hfscope</w:t>
            </w:r>
          </w:p>
        </w:tc>
        <w:tc>
          <w:tcPr>
            <w:tcW w:type="dxa" w:w="3384"/>
            <w:vAlign w:val="top"/>
          </w:tcPr>
          <w:p>
            <w:pPr>
              <w:spacing w:after="0"/>
            </w:pPr>
            <w:r/>
            <w:r>
              <w:rPr>
                <w:b w:val="0"/>
                <w:sz w:val="13"/>
              </w:rPr>
              <w:t>Both are now archive-labelled/archived; hfscope had feature work as recently as Sep 11. PhenoMLX previously had signed/notarized Apple work.</w:t>
            </w:r>
          </w:p>
        </w:tc>
        <w:tc>
          <w:tcPr>
            <w:tcW w:type="dxa" w:w="3168"/>
            <w:vAlign w:val="top"/>
          </w:tcPr>
          <w:p>
            <w:pPr>
              <w:spacing w:after="0"/>
            </w:pPr>
            <w:r/>
            <w:r>
              <w:rPr>
                <w:b w:val="0"/>
                <w:sz w:val="13"/>
              </w:rPr>
              <w:t>High-risk lifecycle mismatch with the AI-area chat you described.</w:t>
            </w:r>
          </w:p>
        </w:tc>
        <w:tc>
          <w:tcPr>
            <w:tcW w:type="dxa" w:w="3384"/>
            <w:vAlign w:val="top"/>
          </w:tcPr>
          <w:p>
            <w:pPr>
              <w:spacing w:after="0"/>
            </w:pPr>
            <w:r/>
            <w:r>
              <w:rPr>
                <w:b w:val="0"/>
                <w:sz w:val="13"/>
              </w:rPr>
              <w:t>Do not delete. Verify active sessions/consumers/successors and absorption parity; retain tombstone until no active work remains and restore drill passes.</w:t>
            </w:r>
          </w:p>
        </w:tc>
      </w:tr>
      <w:tr>
        <w:tc>
          <w:tcPr>
            <w:tcW w:type="dxa" w:w="1512"/>
            <w:vAlign w:val="top"/>
          </w:tcPr>
          <w:p>
            <w:pPr>
              <w:spacing w:after="0"/>
            </w:pPr>
            <w:r/>
            <w:r>
              <w:rPr>
                <w:b w:val="0"/>
                <w:sz w:val="13"/>
              </w:rPr>
              <w:t>phenotype-sdks</w:t>
            </w:r>
          </w:p>
        </w:tc>
        <w:tc>
          <w:tcPr>
            <w:tcW w:type="dxa" w:w="3384"/>
            <w:vAlign w:val="top"/>
          </w:tcPr>
          <w:p>
            <w:pPr>
              <w:spacing w:after="0"/>
            </w:pPr>
            <w:r/>
            <w:r>
              <w:rPr>
                <w:b w:val="0"/>
                <w:sz w:val="13"/>
              </w:rPr>
              <w:t>New consolidation repo imported SDK/observability content.</w:t>
            </w:r>
          </w:p>
        </w:tc>
        <w:tc>
          <w:tcPr>
            <w:tcW w:type="dxa" w:w="3168"/>
            <w:vAlign w:val="top"/>
          </w:tcPr>
          <w:p>
            <w:pPr>
              <w:spacing w:after="0"/>
            </w:pPr>
            <w:r/>
            <w:r>
              <w:rPr>
                <w:b w:val="0"/>
                <w:sz w:val="13"/>
              </w:rPr>
              <w:t>Potentially good consolidation, but “SDK” must not become another generic attic.</w:t>
            </w:r>
          </w:p>
        </w:tc>
        <w:tc>
          <w:tcPr>
            <w:tcW w:type="dxa" w:w="3384"/>
            <w:vAlign w:val="top"/>
          </w:tcPr>
          <w:p>
            <w:pPr>
              <w:spacing w:after="0"/>
            </w:pPr>
            <w:r/>
            <w:r>
              <w:rPr>
                <w:b w:val="0"/>
                <w:sz w:val="13"/>
              </w:rPr>
              <w:t>Define package boundaries and consumers; distinguish SDK surface from runtime observability service/operations ownership.</w:t>
            </w:r>
          </w:p>
        </w:tc>
      </w:tr>
      <w:tr>
        <w:tc>
          <w:tcPr>
            <w:tcW w:type="dxa" w:w="1512"/>
            <w:vAlign w:val="top"/>
          </w:tcPr>
          <w:p>
            <w:pPr>
              <w:spacing w:after="0"/>
            </w:pPr>
            <w:r/>
            <w:r>
              <w:rPr>
                <w:b w:val="0"/>
                <w:sz w:val="13"/>
              </w:rPr>
              <w:t>koosha-phenotype</w:t>
            </w:r>
          </w:p>
        </w:tc>
        <w:tc>
          <w:tcPr>
            <w:tcW w:type="dxa" w:w="3384"/>
            <w:vAlign w:val="top"/>
          </w:tcPr>
          <w:p>
            <w:pPr>
              <w:spacing w:after="0"/>
            </w:pPr>
            <w:r/>
            <w:r>
              <w:rPr>
                <w:b w:val="0"/>
                <w:sz w:val="13"/>
              </w:rPr>
              <w:t>Vercel build/performance work, image compression, JS minification and large CLS improvement are visible.</w:t>
            </w:r>
          </w:p>
        </w:tc>
        <w:tc>
          <w:tcPr>
            <w:tcW w:type="dxa" w:w="3168"/>
            <w:vAlign w:val="top"/>
          </w:tcPr>
          <w:p>
            <w:pPr>
              <w:spacing w:after="0"/>
            </w:pPr>
            <w:r/>
            <w:r>
              <w:rPr>
                <w:b w:val="0"/>
                <w:sz w:val="13"/>
              </w:rPr>
              <w:t>Healthy web-delivery focus; likely separate from product runtimes.</w:t>
            </w:r>
          </w:p>
        </w:tc>
        <w:tc>
          <w:tcPr>
            <w:tcW w:type="dxa" w:w="3384"/>
            <w:vAlign w:val="top"/>
          </w:tcPr>
          <w:p>
            <w:pPr>
              <w:spacing w:after="0"/>
            </w:pPr>
            <w:r/>
            <w:r>
              <w:rPr>
                <w:b w:val="0"/>
                <w:sz w:val="13"/>
              </w:rPr>
              <w:t>Deploy current build, run Lighthouse/visual/accessibility on production URL, verify no Playwright/build-only hacks leak into runtime.</w:t>
            </w:r>
          </w:p>
        </w:tc>
      </w:tr>
    </w:tbl>
    <w:p>
      <w:pPr>
        <w:spacing w:after="0"/>
      </w:pPr>
    </w:p>
    <w:p>
      <w:pPr>
        <w:pStyle w:val="Heading1"/>
      </w:pPr>
      <w:r>
        <w:t>5. Soft deletion, tombstoning, and restore safety</w:t>
      </w:r>
    </w:p>
    <w:p>
      <w:r>
        <w:t>The current retirement wave is now large enough that repository deletion must be treated as a data-migration and provenance operation, not a cleanup command. The user-specified “never delete a fork-network member by default” rule is sound and should be stricter than agent discretion.</w:t>
      </w:r>
    </w:p>
    <w:tbl>
      <w:tblPr>
        <w:tblW w:type="auto" w:w="0"/>
        <w:jc w:val="center"/>
        <w:tblLayout w:type="autofit"/>
        <w:tblLook w:firstColumn="1" w:firstRow="1" w:lastColumn="0" w:lastRow="0" w:noHBand="0" w:noVBand="1" w:val="04A0"/>
      </w:tblPr>
      <w:tblGrid>
        <w:gridCol w:w="10166"/>
      </w:tblGrid>
      <w:tr>
        <w:tc>
          <w:tcPr>
            <w:tcW w:type="dxa" w:w="10166"/>
            <w:shd w:fill="FCE4D6"/>
          </w:tcPr>
          <w:p>
            <w:pPr>
              <w:spacing w:after="40"/>
            </w:pPr>
            <w:r>
              <w:rPr>
                <w:b/>
                <w:sz w:val="20"/>
              </w:rPr>
              <w:t>Hard rule</w:t>
              <w:br/>
            </w:r>
            <w:r>
              <w:rPr>
                <w:sz w:val="18"/>
              </w:rPr>
              <w:t>No agent or subagent gets direct authority to permanently delete a repository that participates in a fork network. Default outcome is tombstone + preserved repository + retention. Permanent deletion is a separately authorized lifecycle transition after evidence and retention gates.</w:t>
            </w:r>
          </w:p>
        </w:tc>
      </w:tr>
    </w:tbl>
    <w:p>
      <w:pPr>
        <w:spacing w:after="0"/>
      </w:pP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D9E2F3"/>
            <w:vAlign w:val="center"/>
          </w:tcPr>
          <w:p>
            <w:pPr>
              <w:spacing w:after="0"/>
            </w:pPr>
            <w:r/>
            <w:r>
              <w:rPr>
                <w:b/>
                <w:sz w:val="15"/>
              </w:rPr>
              <w:t>State</w:t>
            </w:r>
          </w:p>
        </w:tc>
        <w:tc>
          <w:tcPr>
            <w:tcW w:type="dxa" w:w="5472"/>
            <w:shd w:fill="D9E2F3"/>
            <w:vAlign w:val="center"/>
          </w:tcPr>
          <w:p>
            <w:pPr>
              <w:spacing w:after="0"/>
            </w:pPr>
            <w:r/>
            <w:r>
              <w:rPr>
                <w:b/>
                <w:sz w:val="15"/>
              </w:rPr>
              <w:t>Allowed actions</w:t>
            </w:r>
          </w:p>
        </w:tc>
        <w:tc>
          <w:tcPr>
            <w:tcW w:type="dxa" w:w="3744"/>
            <w:shd w:fill="D9E2F3"/>
            <w:vAlign w:val="center"/>
          </w:tcPr>
          <w:p>
            <w:pPr>
              <w:spacing w:after="0"/>
            </w:pPr>
            <w:r/>
            <w:r>
              <w:rPr>
                <w:b/>
                <w:sz w:val="15"/>
              </w:rPr>
              <w:t>Exit gate</w:t>
            </w:r>
          </w:p>
        </w:tc>
      </w:tr>
      <w:tr>
        <w:tc>
          <w:tcPr>
            <w:tcW w:type="dxa" w:w="1728"/>
            <w:vAlign w:val="top"/>
          </w:tcPr>
          <w:p>
            <w:pPr>
              <w:spacing w:after="0"/>
            </w:pPr>
            <w:r/>
            <w:r>
              <w:rPr>
                <w:b w:val="0"/>
                <w:sz w:val="15"/>
              </w:rPr>
              <w:t>ACTIVE</w:t>
            </w:r>
          </w:p>
        </w:tc>
        <w:tc>
          <w:tcPr>
            <w:tcW w:type="dxa" w:w="5472"/>
            <w:vAlign w:val="top"/>
          </w:tcPr>
          <w:p>
            <w:pPr>
              <w:spacing w:after="0"/>
            </w:pPr>
            <w:r/>
            <w:r>
              <w:rPr>
                <w:b w:val="0"/>
                <w:sz w:val="15"/>
              </w:rPr>
              <w:t>Normal development/release.</w:t>
            </w:r>
          </w:p>
        </w:tc>
        <w:tc>
          <w:tcPr>
            <w:tcW w:type="dxa" w:w="3744"/>
            <w:vAlign w:val="top"/>
          </w:tcPr>
          <w:p>
            <w:pPr>
              <w:spacing w:after="0"/>
            </w:pPr>
            <w:r/>
            <w:r>
              <w:rPr>
                <w:b w:val="0"/>
                <w:sz w:val="15"/>
              </w:rPr>
              <w:t>Accepted disposition exists.</w:t>
            </w:r>
          </w:p>
        </w:tc>
      </w:tr>
      <w:tr>
        <w:tc>
          <w:tcPr>
            <w:tcW w:type="dxa" w:w="1728"/>
            <w:vAlign w:val="top"/>
          </w:tcPr>
          <w:p>
            <w:pPr>
              <w:spacing w:after="0"/>
            </w:pPr>
            <w:r/>
            <w:r>
              <w:rPr>
                <w:b w:val="0"/>
                <w:sz w:val="15"/>
              </w:rPr>
              <w:t>RETIRING</w:t>
            </w:r>
          </w:p>
        </w:tc>
        <w:tc>
          <w:tcPr>
            <w:tcW w:type="dxa" w:w="5472"/>
            <w:vAlign w:val="top"/>
          </w:tcPr>
          <w:p>
            <w:pPr>
              <w:spacing w:after="0"/>
            </w:pPr>
            <w:r/>
            <w:r>
              <w:rPr>
                <w:b w:val="0"/>
                <w:sz w:val="15"/>
              </w:rPr>
              <w:t>Freeze new feature breadth; inventory refs/releases/issues/packages/consumers; build successor map.</w:t>
            </w:r>
          </w:p>
        </w:tc>
        <w:tc>
          <w:tcPr>
            <w:tcW w:type="dxa" w:w="3744"/>
            <w:vAlign w:val="top"/>
          </w:tcPr>
          <w:p>
            <w:pPr>
              <w:spacing w:after="0"/>
            </w:pPr>
            <w:r/>
            <w:r>
              <w:rPr>
                <w:b w:val="0"/>
                <w:sz w:val="15"/>
              </w:rPr>
              <w:t>Preservation + successor plan complete.</w:t>
            </w:r>
          </w:p>
        </w:tc>
      </w:tr>
      <w:tr>
        <w:tc>
          <w:tcPr>
            <w:tcW w:type="dxa" w:w="1728"/>
            <w:vAlign w:val="top"/>
          </w:tcPr>
          <w:p>
            <w:pPr>
              <w:spacing w:after="0"/>
            </w:pPr>
            <w:r/>
            <w:r>
              <w:rPr>
                <w:b w:val="0"/>
                <w:sz w:val="15"/>
              </w:rPr>
              <w:t>TOMBSTONED</w:t>
            </w:r>
          </w:p>
        </w:tc>
        <w:tc>
          <w:tcPr>
            <w:tcW w:type="dxa" w:w="5472"/>
            <w:vAlign w:val="top"/>
          </w:tcPr>
          <w:p>
            <w:pPr>
              <w:spacing w:after="0"/>
            </w:pPr>
            <w:r/>
            <w:r>
              <w:rPr>
                <w:b w:val="0"/>
                <w:sz w:val="15"/>
              </w:rPr>
              <w:t>Rename/prefix as desired, prominent pointer, disable routine automation, preserve refs/history. Do not delete.</w:t>
            </w:r>
          </w:p>
        </w:tc>
        <w:tc>
          <w:tcPr>
            <w:tcW w:type="dxa" w:w="3744"/>
            <w:vAlign w:val="top"/>
          </w:tcPr>
          <w:p>
            <w:pPr>
              <w:spacing w:after="0"/>
            </w:pPr>
            <w:r/>
            <w:r>
              <w:rPr>
                <w:b w:val="0"/>
                <w:sz w:val="15"/>
              </w:rPr>
              <w:t>Successor parity + consumer migration + restoration artifact verified.</w:t>
            </w:r>
          </w:p>
        </w:tc>
      </w:tr>
      <w:tr>
        <w:tc>
          <w:tcPr>
            <w:tcW w:type="dxa" w:w="1728"/>
            <w:vAlign w:val="top"/>
          </w:tcPr>
          <w:p>
            <w:pPr>
              <w:spacing w:after="0"/>
            </w:pPr>
            <w:r/>
            <w:r>
              <w:rPr>
                <w:b w:val="0"/>
                <w:sz w:val="15"/>
              </w:rPr>
              <w:t>QUARANTINED</w:t>
            </w:r>
          </w:p>
        </w:tc>
        <w:tc>
          <w:tcPr>
            <w:tcW w:type="dxa" w:w="5472"/>
            <w:vAlign w:val="top"/>
          </w:tcPr>
          <w:p>
            <w:pPr>
              <w:spacing w:after="0"/>
            </w:pPr>
            <w:r/>
            <w:r>
              <w:rPr>
                <w:b w:val="0"/>
                <w:sz w:val="15"/>
              </w:rPr>
              <w:t>Optional GitHub archive/read-only after checking active worktrees/agents and release consumers.</w:t>
            </w:r>
          </w:p>
        </w:tc>
        <w:tc>
          <w:tcPr>
            <w:tcW w:type="dxa" w:w="3744"/>
            <w:vAlign w:val="top"/>
          </w:tcPr>
          <w:p>
            <w:pPr>
              <w:spacing w:after="0"/>
            </w:pPr>
            <w:r/>
            <w:r>
              <w:rPr>
                <w:b w:val="0"/>
                <w:sz w:val="15"/>
              </w:rPr>
              <w:t>Retention window elapsed with no restore event.</w:t>
            </w:r>
          </w:p>
        </w:tc>
      </w:tr>
      <w:tr>
        <w:tc>
          <w:tcPr>
            <w:tcW w:type="dxa" w:w="1728"/>
            <w:vAlign w:val="top"/>
          </w:tcPr>
          <w:p>
            <w:pPr>
              <w:spacing w:after="0"/>
            </w:pPr>
            <w:r/>
            <w:r>
              <w:rPr>
                <w:b w:val="0"/>
                <w:sz w:val="15"/>
              </w:rPr>
              <w:t>DELETE_ELIGIBLE</w:t>
            </w:r>
          </w:p>
        </w:tc>
        <w:tc>
          <w:tcPr>
            <w:tcW w:type="dxa" w:w="5472"/>
            <w:vAlign w:val="top"/>
          </w:tcPr>
          <w:p>
            <w:pPr>
              <w:spacing w:after="0"/>
            </w:pPr>
            <w:r/>
            <w:r>
              <w:rPr>
                <w:b w:val="0"/>
                <w:sz w:val="15"/>
              </w:rPr>
              <w:t>Non-fork-network only; no active consumer/session; restore drill passed; human/operator approval recorded.</w:t>
            </w:r>
          </w:p>
        </w:tc>
        <w:tc>
          <w:tcPr>
            <w:tcW w:type="dxa" w:w="3744"/>
            <w:vAlign w:val="top"/>
          </w:tcPr>
          <w:p>
            <w:pPr>
              <w:spacing w:after="0"/>
            </w:pPr>
            <w:r/>
            <w:r>
              <w:rPr>
                <w:b w:val="0"/>
                <w:sz w:val="15"/>
              </w:rPr>
              <w:t>Explicit delete action by restricted lifecycle operator.</w:t>
            </w:r>
          </w:p>
        </w:tc>
      </w:tr>
      <w:tr>
        <w:tc>
          <w:tcPr>
            <w:tcW w:type="dxa" w:w="1728"/>
            <w:vAlign w:val="top"/>
          </w:tcPr>
          <w:p>
            <w:pPr>
              <w:spacing w:after="0"/>
            </w:pPr>
            <w:r/>
            <w:r>
              <w:rPr>
                <w:b w:val="0"/>
                <w:sz w:val="15"/>
              </w:rPr>
              <w:t>DELETED</w:t>
            </w:r>
          </w:p>
        </w:tc>
        <w:tc>
          <w:tcPr>
            <w:tcW w:type="dxa" w:w="5472"/>
            <w:vAlign w:val="top"/>
          </w:tcPr>
          <w:p>
            <w:pPr>
              <w:spacing w:after="0"/>
            </w:pPr>
            <w:r/>
            <w:r>
              <w:rPr>
                <w:b w:val="0"/>
                <w:sz w:val="15"/>
              </w:rPr>
              <w:t>Only after all previous gates; external provenance/bundle remains independently verifiable.</w:t>
            </w:r>
          </w:p>
        </w:tc>
        <w:tc>
          <w:tcPr>
            <w:tcW w:type="dxa" w:w="3744"/>
            <w:vAlign w:val="top"/>
          </w:tcPr>
          <w:p>
            <w:pPr>
              <w:spacing w:after="0"/>
            </w:pPr>
            <w:r/>
            <w:r>
              <w:rPr>
                <w:b w:val="0"/>
                <w:sz w:val="15"/>
              </w:rPr>
              <w:t>N/A</w:t>
            </w:r>
          </w:p>
        </w:tc>
      </w:tr>
    </w:tbl>
    <w:p>
      <w:pPr>
        <w:spacing w:after="0"/>
      </w:pPr>
    </w:p>
    <w:p>
      <w:pPr>
        <w:pStyle w:val="Heading2"/>
      </w:pPr>
      <w:r>
        <w:t>5.1 Default retention</w:t>
      </w:r>
    </w:p>
    <w:p>
      <w:r>
        <w:t>Use 60 days as the default tombstone/quarantine period for this cleanup wave. A shorter period is an exception requiring explicit operator approval; fork-network repositories default to indefinite non-deletion unless a later human decision establishes that deletion is actually useful.</w:t>
      </w:r>
    </w:p>
    <w:p>
      <w:pPr>
        <w:pStyle w:val="Heading2"/>
      </w:pPr>
      <w:r>
        <w:t>5.2 Retirement manifest - required per repository</w:t>
      </w:r>
    </w:p>
    <w:p>
      <w:pPr>
        <w:pStyle w:val="ListBullet"/>
      </w:pPr>
      <w:r>
        <w:t>GitHub repository numeric ID, original and current name, visibility, default branch, archived flag and fork/network relationship.</w:t>
      </w:r>
    </w:p>
    <w:p>
      <w:pPr>
        <w:pStyle w:val="ListBullet"/>
      </w:pPr>
      <w:r>
        <w:t>All relevant refs/tags/releases/packages plus preservation bundle/hash and the exact object IDs needed to reconstruct history.</w:t>
      </w:r>
    </w:p>
    <w:p>
      <w:pPr>
        <w:pStyle w:val="ListBullet"/>
      </w:pPr>
      <w:r>
        <w:t>Open issues/PRs/discussions and any operational data not contained in Git itself.</w:t>
      </w:r>
    </w:p>
    <w:p>
      <w:pPr>
        <w:pStyle w:val="ListBullet"/>
      </w:pPr>
      <w:r>
        <w:t>Successor repository and source-&gt;target path/commit mapping for every absorbed capability.</w:t>
      </w:r>
    </w:p>
    <w:p>
      <w:pPr>
        <w:pStyle w:val="ListBullet"/>
      </w:pPr>
      <w:r>
        <w:t>Consumer scan: code imports, package consumers, CI references, deployment references, docs links, submodules and active agent/session ownership.</w:t>
      </w:r>
    </w:p>
    <w:p>
      <w:pPr>
        <w:pStyle w:val="ListBullet"/>
      </w:pPr>
      <w:r>
        <w:t>Parity evidence: source capability inventory versus successor implementation/tests/artifacts.</w:t>
      </w:r>
    </w:p>
    <w:p>
      <w:pPr>
        <w:pStyle w:val="ListBullet"/>
      </w:pPr>
      <w:r>
        <w:t>Restore procedure and an actual restore drill before permanent deletion eligibility.</w:t>
      </w:r>
    </w:p>
    <w:p>
      <w:pPr>
        <w:pStyle w:val="ListBullet"/>
      </w:pPr>
      <w:r>
        <w:t>Retention-until timestamp, lifecycle approver, exceptions and reason.</w:t>
      </w:r>
    </w:p>
    <w:p>
      <w:pPr>
        <w:pStyle w:val="Heading2"/>
      </w:pPr>
      <w:r>
        <w:t>5.3 Current estate warning</w:t>
      </w:r>
    </w:p>
    <w:p>
      <w:r>
        <w:t>The current account demonstrates why names cannot carry lifecycle semantics. Some repositories have zz-archive-style names while remaining writable/unarchived; some archived repositories do not follow that naming pattern; and some tombstone-prefixed repositories are still active transition surfaces. Lifecycle state must live in a machine-readable record keyed by repository ID, with the name as a presentation convention only.</w:t>
      </w:r>
    </w:p>
    <w:p>
      <w:pPr>
        <w:pStyle w:val="Heading1"/>
      </w:pPr>
      <w:r>
        <w:t>6. Semantic compression: squish code without losing behavior</w:t>
      </w:r>
    </w:p>
    <w:p>
      <w:r>
        <w:t>The “squish the water out” model is directionally correct, but the safe objective is semantic compression rather than line-count reduction. The system should become easier to understand, modify, test and compose while preserving every accepted behavior and quality property.</w:t>
      </w:r>
    </w:p>
    <w:tbl>
      <w:tblPr>
        <w:tblW w:type="auto" w:w="0"/>
        <w:jc w:val="center"/>
        <w:tblLayout w:type="autofit"/>
        <w:tblLook w:firstColumn="1" w:firstRow="1" w:lastColumn="0" w:lastRow="0" w:noHBand="0" w:noVBand="1" w:val="04A0"/>
      </w:tblPr>
      <w:tblGrid>
        <w:gridCol w:w="10166"/>
      </w:tblGrid>
      <w:tr>
        <w:tc>
          <w:tcPr>
            <w:tcW w:type="dxa" w:w="10166"/>
            <w:shd w:fill="E2F0D9"/>
          </w:tcPr>
          <w:p>
            <w:pPr>
              <w:spacing w:after="40"/>
            </w:pPr>
            <w:r>
              <w:rPr>
                <w:b/>
                <w:sz w:val="20"/>
              </w:rPr>
              <w:t>Semantic compression principle</w:t>
              <w:br/>
            </w:r>
            <w:r>
              <w:rPr>
                <w:sz w:val="18"/>
              </w:rPr>
              <w:t>Remove representational redundancy, accidental abstractions, dead paths, duplicate implementations, duplicate repositories, hand-written boilerplate and needless indirection. Preserve accepted semantics, contracts, failure behavior, performance bounds, user experience, compatibility and provenance.</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D9E2F3"/>
            <w:vAlign w:val="center"/>
          </w:tcPr>
          <w:p>
            <w:pPr>
              <w:spacing w:after="0"/>
            </w:pPr>
            <w:r/>
            <w:r>
              <w:rPr>
                <w:b/>
                <w:sz w:val="16"/>
              </w:rPr>
              <w:t>Finding</w:t>
            </w:r>
          </w:p>
        </w:tc>
        <w:tc>
          <w:tcPr>
            <w:tcW w:type="dxa" w:w="7632"/>
            <w:shd w:fill="D9E2F3"/>
            <w:vAlign w:val="center"/>
          </w:tcPr>
          <w:p>
            <w:pPr>
              <w:spacing w:after="0"/>
            </w:pPr>
            <w:r/>
            <w:r>
              <w:rPr>
                <w:b/>
                <w:sz w:val="16"/>
              </w:rPr>
              <w:t>Disposition</w:t>
            </w:r>
          </w:p>
        </w:tc>
      </w:tr>
      <w:tr>
        <w:tc>
          <w:tcPr>
            <w:tcW w:type="dxa" w:w="3024"/>
            <w:vAlign w:val="top"/>
          </w:tcPr>
          <w:p>
            <w:pPr>
              <w:spacing w:after="0"/>
            </w:pPr>
            <w:r/>
            <w:r>
              <w:rPr>
                <w:b w:val="0"/>
                <w:sz w:val="16"/>
              </w:rPr>
              <w:t>Duplicate behavior with one canonical implementation already verified</w:t>
            </w:r>
          </w:p>
        </w:tc>
        <w:tc>
          <w:tcPr>
            <w:tcW w:type="dxa" w:w="7632"/>
            <w:vAlign w:val="top"/>
          </w:tcPr>
          <w:p>
            <w:pPr>
              <w:spacing w:after="0"/>
            </w:pPr>
            <w:r/>
            <w:r>
              <w:rPr>
                <w:b w:val="0"/>
                <w:sz w:val="16"/>
              </w:rPr>
              <w:t>Delete duplicate implementation after consumer migration; preserve provenance and compatibility adapter only where needed.</w:t>
            </w:r>
          </w:p>
        </w:tc>
      </w:tr>
      <w:tr>
        <w:tc>
          <w:tcPr>
            <w:tcW w:type="dxa" w:w="3024"/>
            <w:vAlign w:val="top"/>
          </w:tcPr>
          <w:p>
            <w:pPr>
              <w:spacing w:after="0"/>
            </w:pPr>
            <w:r/>
            <w:r>
              <w:rPr>
                <w:b w:val="0"/>
                <w:sz w:val="16"/>
              </w:rPr>
              <w:t>Dead code for capability still in current CVP intent</w:t>
            </w:r>
          </w:p>
        </w:tc>
        <w:tc>
          <w:tcPr>
            <w:tcW w:type="dxa" w:w="7632"/>
            <w:vAlign w:val="top"/>
          </w:tcPr>
          <w:p>
            <w:pPr>
              <w:spacing w:after="0"/>
            </w:pPr>
            <w:r/>
            <w:r>
              <w:rPr>
                <w:b w:val="0"/>
                <w:sz w:val="16"/>
              </w:rPr>
              <w:t>Do not leave dead. Either reconnect/implement it now or formally remove it from the accepted CVP through an explicit decision.</w:t>
            </w:r>
          </w:p>
        </w:tc>
      </w:tr>
      <w:tr>
        <w:tc>
          <w:tcPr>
            <w:tcW w:type="dxa" w:w="3024"/>
            <w:vAlign w:val="top"/>
          </w:tcPr>
          <w:p>
            <w:pPr>
              <w:spacing w:after="0"/>
            </w:pPr>
            <w:r/>
            <w:r>
              <w:rPr>
                <w:b w:val="0"/>
                <w:sz w:val="16"/>
              </w:rPr>
              <w:t>Dead code for later roadmap capability</w:t>
            </w:r>
          </w:p>
        </w:tc>
        <w:tc>
          <w:tcPr>
            <w:tcW w:type="dxa" w:w="7632"/>
            <w:vAlign w:val="top"/>
          </w:tcPr>
          <w:p>
            <w:pPr>
              <w:spacing w:after="0"/>
            </w:pPr>
            <w:r/>
            <w:r>
              <w:rPr>
                <w:b w:val="0"/>
                <w:sz w:val="16"/>
              </w:rPr>
              <w:t>Move the intent/spec/research/evidence out of executable source; remove unreachable implementation. Re-implement when the roadmap gate opens.</w:t>
            </w:r>
          </w:p>
        </w:tc>
      </w:tr>
      <w:tr>
        <w:tc>
          <w:tcPr>
            <w:tcW w:type="dxa" w:w="3024"/>
            <w:vAlign w:val="top"/>
          </w:tcPr>
          <w:p>
            <w:pPr>
              <w:spacing w:after="0"/>
            </w:pPr>
            <w:r/>
            <w:r>
              <w:rPr>
                <w:b w:val="0"/>
                <w:sz w:val="16"/>
              </w:rPr>
              <w:t>Superseded implementation</w:t>
            </w:r>
          </w:p>
        </w:tc>
        <w:tc>
          <w:tcPr>
            <w:tcW w:type="dxa" w:w="7632"/>
            <w:vAlign w:val="top"/>
          </w:tcPr>
          <w:p>
            <w:pPr>
              <w:spacing w:after="0"/>
            </w:pPr>
            <w:r/>
            <w:r>
              <w:rPr>
                <w:b w:val="0"/>
                <w:sz w:val="16"/>
              </w:rPr>
              <w:t>Delete from active tree; keep commit/tag/history and migration record.</w:t>
            </w:r>
          </w:p>
        </w:tc>
      </w:tr>
      <w:tr>
        <w:tc>
          <w:tcPr>
            <w:tcW w:type="dxa" w:w="3024"/>
            <w:vAlign w:val="top"/>
          </w:tcPr>
          <w:p>
            <w:pPr>
              <w:spacing w:after="0"/>
            </w:pPr>
            <w:r/>
            <w:r>
              <w:rPr>
                <w:b w:val="0"/>
                <w:sz w:val="16"/>
              </w:rPr>
              <w:t>Unknown/orphan code</w:t>
            </w:r>
          </w:p>
        </w:tc>
        <w:tc>
          <w:tcPr>
            <w:tcW w:type="dxa" w:w="7632"/>
            <w:vAlign w:val="top"/>
          </w:tcPr>
          <w:p>
            <w:pPr>
              <w:spacing w:after="0"/>
            </w:pPr>
            <w:r/>
            <w:r>
              <w:rPr>
                <w:b w:val="0"/>
                <w:sz w:val="16"/>
              </w:rPr>
              <w:t>Characterize with call graph, tests, blame/intent/history and consumer search before deletion.</w:t>
            </w:r>
          </w:p>
        </w:tc>
      </w:tr>
      <w:tr>
        <w:tc>
          <w:tcPr>
            <w:tcW w:type="dxa" w:w="3024"/>
            <w:vAlign w:val="top"/>
          </w:tcPr>
          <w:p>
            <w:pPr>
              <w:spacing w:after="0"/>
            </w:pPr>
            <w:r/>
            <w:r>
              <w:rPr>
                <w:b w:val="0"/>
                <w:sz w:val="16"/>
              </w:rPr>
              <w:t>Generated/vendor code</w:t>
            </w:r>
          </w:p>
        </w:tc>
        <w:tc>
          <w:tcPr>
            <w:tcW w:type="dxa" w:w="7632"/>
            <w:vAlign w:val="top"/>
          </w:tcPr>
          <w:p>
            <w:pPr>
              <w:spacing w:after="0"/>
            </w:pPr>
            <w:r/>
            <w:r>
              <w:rPr>
                <w:b w:val="0"/>
                <w:sz w:val="16"/>
              </w:rPr>
              <w:t>Exclude from cognitive-size metrics; regenerate from canonical source or vendor intentionally with provenance.</w:t>
            </w:r>
          </w:p>
        </w:tc>
      </w:tr>
      <w:tr>
        <w:tc>
          <w:tcPr>
            <w:tcW w:type="dxa" w:w="3024"/>
            <w:vAlign w:val="top"/>
          </w:tcPr>
          <w:p>
            <w:pPr>
              <w:spacing w:after="0"/>
            </w:pPr>
            <w:r/>
            <w:r>
              <w:rPr>
                <w:b w:val="0"/>
                <w:sz w:val="16"/>
              </w:rPr>
              <w:t>Huge module with mixed responsibilities</w:t>
            </w:r>
          </w:p>
        </w:tc>
        <w:tc>
          <w:tcPr>
            <w:tcW w:type="dxa" w:w="7632"/>
            <w:vAlign w:val="top"/>
          </w:tcPr>
          <w:p>
            <w:pPr>
              <w:spacing w:after="0"/>
            </w:pPr>
            <w:r/>
            <w:r>
              <w:rPr>
                <w:b w:val="0"/>
                <w:sz w:val="16"/>
              </w:rPr>
              <w:t>Split by stable domain/port/adapter boundaries, not arbitrary file-size targets. File-size limits can be a lint signal, never the architecture itself.</w:t>
            </w:r>
          </w:p>
        </w:tc>
      </w:tr>
    </w:tbl>
    <w:p>
      <w:pPr>
        <w:spacing w:after="0"/>
      </w:pPr>
    </w:p>
    <w:p>
      <w:pPr>
        <w:pStyle w:val="Heading2"/>
      </w:pPr>
      <w:r>
        <w:t>6.1 Required before/after measures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608"/>
            <w:shd w:fill="D9E2F3"/>
            <w:vAlign w:val="center"/>
          </w:tcPr>
          <w:p>
            <w:pPr>
              <w:spacing w:after="0"/>
            </w:pPr>
            <w:r/>
            <w:r>
              <w:rPr>
                <w:b/>
                <w:sz w:val="16"/>
              </w:rPr>
              <w:t>Measure</w:t>
            </w:r>
          </w:p>
        </w:tc>
        <w:tc>
          <w:tcPr>
            <w:tcW w:type="dxa" w:w="6048"/>
            <w:shd w:fill="D9E2F3"/>
            <w:vAlign w:val="center"/>
          </w:tcPr>
          <w:p>
            <w:pPr>
              <w:spacing w:after="0"/>
            </w:pPr>
            <w:r/>
            <w:r>
              <w:rPr>
                <w:b/>
                <w:sz w:val="16"/>
              </w:rPr>
              <w:t>Desired direction</w:t>
            </w:r>
          </w:p>
        </w:tc>
      </w:tr>
      <w:tr>
        <w:tc>
          <w:tcPr>
            <w:tcW w:type="dxa" w:w="4608"/>
            <w:vAlign w:val="top"/>
          </w:tcPr>
          <w:p>
            <w:pPr>
              <w:spacing w:after="0"/>
            </w:pPr>
            <w:r/>
            <w:r>
              <w:rPr>
                <w:b w:val="0"/>
                <w:sz w:val="16"/>
              </w:rPr>
              <w:t>Hand-authored LOC and token count</w:t>
            </w:r>
          </w:p>
        </w:tc>
        <w:tc>
          <w:tcPr>
            <w:tcW w:type="dxa" w:w="6048"/>
            <w:vAlign w:val="top"/>
          </w:tcPr>
          <w:p>
            <w:pPr>
              <w:spacing w:after="0"/>
            </w:pPr>
            <w:r/>
            <w:r>
              <w:rPr>
                <w:b w:val="0"/>
                <w:sz w:val="16"/>
              </w:rPr>
              <w:t>Down where semantics are unchanged.</w:t>
            </w:r>
          </w:p>
        </w:tc>
      </w:tr>
      <w:tr>
        <w:tc>
          <w:tcPr>
            <w:tcW w:type="dxa" w:w="4608"/>
            <w:vAlign w:val="top"/>
          </w:tcPr>
          <w:p>
            <w:pPr>
              <w:spacing w:after="0"/>
            </w:pPr>
            <w:r/>
            <w:r>
              <w:rPr>
                <w:b w:val="0"/>
                <w:sz w:val="16"/>
              </w:rPr>
              <w:t>Number of public concepts/types/commands user must understand</w:t>
            </w:r>
          </w:p>
        </w:tc>
        <w:tc>
          <w:tcPr>
            <w:tcW w:type="dxa" w:w="6048"/>
            <w:vAlign w:val="top"/>
          </w:tcPr>
          <w:p>
            <w:pPr>
              <w:spacing w:after="0"/>
            </w:pPr>
            <w:r/>
            <w:r>
              <w:rPr>
                <w:b w:val="0"/>
                <w:sz w:val="16"/>
              </w:rPr>
              <w:t>Down or stable.</w:t>
            </w:r>
          </w:p>
        </w:tc>
      </w:tr>
      <w:tr>
        <w:tc>
          <w:tcPr>
            <w:tcW w:type="dxa" w:w="4608"/>
            <w:vAlign w:val="top"/>
          </w:tcPr>
          <w:p>
            <w:pPr>
              <w:spacing w:after="0"/>
            </w:pPr>
            <w:r/>
            <w:r>
              <w:rPr>
                <w:b w:val="0"/>
                <w:sz w:val="16"/>
              </w:rPr>
              <w:t>Duplicate capability implementations</w:t>
            </w:r>
          </w:p>
        </w:tc>
        <w:tc>
          <w:tcPr>
            <w:tcW w:type="dxa" w:w="6048"/>
            <w:vAlign w:val="top"/>
          </w:tcPr>
          <w:p>
            <w:pPr>
              <w:spacing w:after="0"/>
            </w:pPr>
            <w:r/>
            <w:r>
              <w:rPr>
                <w:b w:val="0"/>
                <w:sz w:val="16"/>
              </w:rPr>
              <w:t>Down toward one authority per semantic responsibility.</w:t>
            </w:r>
          </w:p>
        </w:tc>
      </w:tr>
      <w:tr>
        <w:tc>
          <w:tcPr>
            <w:tcW w:type="dxa" w:w="4608"/>
            <w:vAlign w:val="top"/>
          </w:tcPr>
          <w:p>
            <w:pPr>
              <w:spacing w:after="0"/>
            </w:pPr>
            <w:r/>
            <w:r>
              <w:rPr>
                <w:b w:val="0"/>
                <w:sz w:val="16"/>
              </w:rPr>
              <w:t>Dependency edges and cycles</w:t>
            </w:r>
          </w:p>
        </w:tc>
        <w:tc>
          <w:tcPr>
            <w:tcW w:type="dxa" w:w="6048"/>
            <w:vAlign w:val="top"/>
          </w:tcPr>
          <w:p>
            <w:pPr>
              <w:spacing w:after="0"/>
            </w:pPr>
            <w:r/>
            <w:r>
              <w:rPr>
                <w:b w:val="0"/>
                <w:sz w:val="16"/>
              </w:rPr>
              <w:t>Down; cycles ideally zero across bounded contexts.</w:t>
            </w:r>
          </w:p>
        </w:tc>
      </w:tr>
      <w:tr>
        <w:tc>
          <w:tcPr>
            <w:tcW w:type="dxa" w:w="4608"/>
            <w:vAlign w:val="top"/>
          </w:tcPr>
          <w:p>
            <w:pPr>
              <w:spacing w:after="0"/>
            </w:pPr>
            <w:r/>
            <w:r>
              <w:rPr>
                <w:b w:val="0"/>
                <w:sz w:val="16"/>
              </w:rPr>
              <w:t>Largest module cognitive load</w:t>
            </w:r>
          </w:p>
        </w:tc>
        <w:tc>
          <w:tcPr>
            <w:tcW w:type="dxa" w:w="6048"/>
            <w:vAlign w:val="top"/>
          </w:tcPr>
          <w:p>
            <w:pPr>
              <w:spacing w:after="0"/>
            </w:pPr>
            <w:r/>
            <w:r>
              <w:rPr>
                <w:b w:val="0"/>
                <w:sz w:val="16"/>
              </w:rPr>
              <w:t>Down through domain decomposition.</w:t>
            </w:r>
          </w:p>
        </w:tc>
      </w:tr>
      <w:tr>
        <w:tc>
          <w:tcPr>
            <w:tcW w:type="dxa" w:w="4608"/>
            <w:vAlign w:val="top"/>
          </w:tcPr>
          <w:p>
            <w:pPr>
              <w:spacing w:after="0"/>
            </w:pPr>
            <w:r/>
            <w:r>
              <w:rPr>
                <w:b w:val="0"/>
                <w:sz w:val="16"/>
              </w:rPr>
              <w:t>Behavioral/contract coverage</w:t>
            </w:r>
          </w:p>
        </w:tc>
        <w:tc>
          <w:tcPr>
            <w:tcW w:type="dxa" w:w="6048"/>
            <w:vAlign w:val="top"/>
          </w:tcPr>
          <w:p>
            <w:pPr>
              <w:spacing w:after="0"/>
            </w:pPr>
            <w:r/>
            <w:r>
              <w:rPr>
                <w:b w:val="0"/>
                <w:sz w:val="16"/>
              </w:rPr>
              <w:t>Stable or up; critical obligations remain complete.</w:t>
            </w:r>
          </w:p>
        </w:tc>
      </w:tr>
      <w:tr>
        <w:tc>
          <w:tcPr>
            <w:tcW w:type="dxa" w:w="4608"/>
            <w:vAlign w:val="top"/>
          </w:tcPr>
          <w:p>
            <w:pPr>
              <w:spacing w:after="0"/>
            </w:pPr>
            <w:r/>
            <w:r>
              <w:rPr>
                <w:b w:val="0"/>
                <w:sz w:val="16"/>
              </w:rPr>
              <w:t>Unit/integration/E2E/mutation quality</w:t>
            </w:r>
          </w:p>
        </w:tc>
        <w:tc>
          <w:tcPr>
            <w:tcW w:type="dxa" w:w="6048"/>
            <w:vAlign w:val="top"/>
          </w:tcPr>
          <w:p>
            <w:pPr>
              <w:spacing w:after="0"/>
            </w:pPr>
            <w:r/>
            <w:r>
              <w:rPr>
                <w:b w:val="0"/>
                <w:sz w:val="16"/>
              </w:rPr>
              <w:t>Stable or up; never traded for shorter code.</w:t>
            </w:r>
          </w:p>
        </w:tc>
      </w:tr>
      <w:tr>
        <w:tc>
          <w:tcPr>
            <w:tcW w:type="dxa" w:w="4608"/>
            <w:vAlign w:val="top"/>
          </w:tcPr>
          <w:p>
            <w:pPr>
              <w:spacing w:after="0"/>
            </w:pPr>
            <w:r/>
            <w:r>
              <w:rPr>
                <w:b w:val="0"/>
                <w:sz w:val="16"/>
              </w:rPr>
              <w:t>Binary size/startup/memory/latency</w:t>
            </w:r>
          </w:p>
        </w:tc>
        <w:tc>
          <w:tcPr>
            <w:tcW w:type="dxa" w:w="6048"/>
            <w:vAlign w:val="top"/>
          </w:tcPr>
          <w:p>
            <w:pPr>
              <w:spacing w:after="0"/>
            </w:pPr>
            <w:r/>
            <w:r>
              <w:rPr>
                <w:b w:val="0"/>
                <w:sz w:val="16"/>
              </w:rPr>
              <w:t>Must not regress outside declared tolerances.</w:t>
            </w:r>
          </w:p>
        </w:tc>
      </w:tr>
      <w:tr>
        <w:tc>
          <w:tcPr>
            <w:tcW w:type="dxa" w:w="4608"/>
            <w:vAlign w:val="top"/>
          </w:tcPr>
          <w:p>
            <w:pPr>
              <w:spacing w:after="0"/>
            </w:pPr>
            <w:r/>
            <w:r>
              <w:rPr>
                <w:b w:val="0"/>
                <w:sz w:val="16"/>
              </w:rPr>
              <w:t>Build/release complexity</w:t>
            </w:r>
          </w:p>
        </w:tc>
        <w:tc>
          <w:tcPr>
            <w:tcW w:type="dxa" w:w="6048"/>
            <w:vAlign w:val="top"/>
          </w:tcPr>
          <w:p>
            <w:pPr>
              <w:spacing w:after="0"/>
            </w:pPr>
            <w:r/>
            <w:r>
              <w:rPr>
                <w:b w:val="0"/>
                <w:sz w:val="16"/>
              </w:rPr>
              <w:t>Down where possible.</w:t>
            </w:r>
          </w:p>
        </w:tc>
      </w:tr>
    </w:tbl>
    <w:p>
      <w:pPr>
        <w:spacing w:after="0"/>
      </w:pPr>
    </w:p>
    <w:p>
      <w:pPr>
        <w:pStyle w:val="Heading2"/>
      </w:pPr>
      <w:r>
        <w:t>6.2 Compression pass per repository</w:t>
      </w:r>
    </w:p>
    <w:p>
      <w:pPr>
        <w:ind w:left="216" w:hanging="216"/>
      </w:pPr>
      <w:r>
        <w:t>1.  Freeze current behavior contract and collect independent characterization tests before structural deletion.</w:t>
      </w:r>
    </w:p>
    <w:p>
      <w:pPr>
        <w:ind w:left="216" w:hanging="216"/>
      </w:pPr>
      <w:r>
        <w:t>2.  Build duplicate clusters by symbols, APIs, behavior, schemas, tests and history - not filename similarity alone.</w:t>
      </w:r>
    </w:p>
    <w:p>
      <w:pPr>
        <w:ind w:left="216" w:hanging="216"/>
      </w:pPr>
      <w:r>
        <w:t>3.  Collapse duplicate code into the nearest correct domain owner; add a compatibility facade only when real consumers need it.</w:t>
      </w:r>
    </w:p>
    <w:p>
      <w:pPr>
        <w:ind w:left="216" w:hanging="216"/>
      </w:pPr>
      <w:r>
        <w:t>4.  Remove unreachable current-horizon code only after deciding whether it is missing implementation or obsolete semantics.</w:t>
      </w:r>
    </w:p>
    <w:p>
      <w:pPr>
        <w:ind w:left="216" w:hanging="216"/>
      </w:pPr>
      <w:r>
        <w:t>5.  Reduce dependency fan-out and public exports. Internal implementation detail should remain internal.</w:t>
      </w:r>
    </w:p>
    <w:p>
      <w:pPr>
        <w:ind w:left="216" w:hanging="216"/>
      </w:pPr>
      <w:r>
        <w:t>6.  Split modules only along domain/port/adapter or applet boundaries. Avoid “one file per idea” fragmentation.</w:t>
      </w:r>
    </w:p>
    <w:p>
      <w:pPr>
        <w:ind w:left="216" w:hanging="216"/>
      </w:pPr>
      <w:r>
        <w:t>7.  Run semantic equivalence: same contract tests, negative tests, benchmarks and journey outputs before/after.</w:t>
      </w:r>
    </w:p>
    <w:p>
      <w:pPr>
        <w:ind w:left="216" w:hanging="216"/>
      </w:pPr>
      <w:r>
        <w:t>8.  Record net simplification and any intentionally changed semantics in ADR/spec traceability.</w:t>
      </w:r>
    </w:p>
    <w:p>
      <w:pPr>
        <w:pStyle w:val="Heading1"/>
      </w:pPr>
      <w:r>
        <w:t>7. Recursive applets and federated hexagonal composition</w:t>
      </w:r>
    </w:p>
    <w:p>
      <w:r>
        <w:t>The recursive applet idea is a useful refinement of the current hexagonal direction. The key is to make “applet” a compositional runtime/software boundary, not automatically a repository boundary.</w:t>
      </w:r>
    </w:p>
    <w:p>
      <w:pPr>
        <w:spacing w:before="80" w:after="120"/>
        <w:ind w:left="360" w:right="360"/>
        <w:shd w:fill="F2F2F2"/>
      </w:pPr>
      <w:r>
        <w:rPr>
          <w:rFonts w:ascii="Courier New" w:hAnsi="Courier New"/>
          <w:sz w:val="16"/>
        </w:rPr>
        <w:t>Phenotype platform / workspace applet</w:t>
        <w:br/>
        <w:t xml:space="preserve">  ├─ product applet</w:t>
        <w:br/>
        <w:t xml:space="preserve">  │   ├─ feature applet</w:t>
        <w:br/>
        <w:t xml:space="preserve">  │   │   ├─ domain core</w:t>
        <w:br/>
        <w:t xml:space="preserve">  │   │   ├─ ports</w:t>
        <w:br/>
        <w:t xml:space="preserve">  │   │   ├─ adapters</w:t>
        <w:br/>
        <w:t xml:space="preserve">  │   │   └─ child applets</w:t>
        <w:br/>
        <w:t xml:space="preserve">  │   └─ service/backend applets</w:t>
        <w:br/>
        <w:t xml:space="preserve">  └─ shared/federated applets</w:t>
        <w:br/>
        <w:br/>
        <w:t>Any composite may expose a reduced set of child capabilities as its own ports.</w:t>
        <w:br/>
        <w:t>A composite is therefore also an applet at the next level.</w:t>
      </w:r>
    </w:p>
    <w:p>
      <w:pPr>
        <w:pStyle w:val="Heading2"/>
      </w:pPr>
      <w:r>
        <w:t>7.1 Applet contract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D9E2F3"/>
            <w:vAlign w:val="center"/>
          </w:tcPr>
          <w:p>
            <w:pPr>
              <w:spacing w:after="0"/>
            </w:pPr>
            <w:r/>
            <w:r>
              <w:rPr>
                <w:b/>
                <w:sz w:val="16"/>
              </w:rPr>
              <w:t>Field</w:t>
            </w:r>
          </w:p>
        </w:tc>
        <w:tc>
          <w:tcPr>
            <w:tcW w:type="dxa" w:w="8568"/>
            <w:shd w:fill="D9E2F3"/>
            <w:vAlign w:val="center"/>
          </w:tcPr>
          <w:p>
            <w:pPr>
              <w:spacing w:after="0"/>
            </w:pPr>
            <w:r/>
            <w:r>
              <w:rPr>
                <w:b/>
                <w:sz w:val="16"/>
              </w:rPr>
              <w:t>Purpose</w:t>
            </w:r>
          </w:p>
        </w:tc>
      </w:tr>
      <w:tr>
        <w:tc>
          <w:tcPr>
            <w:tcW w:type="dxa" w:w="2088"/>
            <w:vAlign w:val="top"/>
          </w:tcPr>
          <w:p>
            <w:pPr>
              <w:spacing w:after="0"/>
            </w:pPr>
            <w:r/>
            <w:r>
              <w:rPr>
                <w:b w:val="0"/>
                <w:sz w:val="16"/>
              </w:rPr>
              <w:t>identity/version</w:t>
            </w:r>
          </w:p>
        </w:tc>
        <w:tc>
          <w:tcPr>
            <w:tcW w:type="dxa" w:w="8568"/>
            <w:vAlign w:val="top"/>
          </w:tcPr>
          <w:p>
            <w:pPr>
              <w:spacing w:after="0"/>
            </w:pPr>
            <w:r/>
            <w:r>
              <w:rPr>
                <w:b w:val="0"/>
                <w:sz w:val="16"/>
              </w:rPr>
              <w:t>Stable applet identity, compatibility version and provenance.</w:t>
            </w:r>
          </w:p>
        </w:tc>
      </w:tr>
      <w:tr>
        <w:tc>
          <w:tcPr>
            <w:tcW w:type="dxa" w:w="2088"/>
            <w:vAlign w:val="top"/>
          </w:tcPr>
          <w:p>
            <w:pPr>
              <w:spacing w:after="0"/>
            </w:pPr>
            <w:r/>
            <w:r>
              <w:rPr>
                <w:b w:val="0"/>
                <w:sz w:val="16"/>
              </w:rPr>
              <w:t>capabilities</w:t>
            </w:r>
          </w:p>
        </w:tc>
        <w:tc>
          <w:tcPr>
            <w:tcW w:type="dxa" w:w="8568"/>
            <w:vAlign w:val="top"/>
          </w:tcPr>
          <w:p>
            <w:pPr>
              <w:spacing w:after="0"/>
            </w:pPr>
            <w:r/>
            <w:r>
              <w:rPr>
                <w:b w:val="0"/>
                <w:sz w:val="16"/>
              </w:rPr>
              <w:t>What semantic operations the applet offers; capability IDs are more important than package names.</w:t>
            </w:r>
          </w:p>
        </w:tc>
      </w:tr>
      <w:tr>
        <w:tc>
          <w:tcPr>
            <w:tcW w:type="dxa" w:w="2088"/>
            <w:vAlign w:val="top"/>
          </w:tcPr>
          <w:p>
            <w:pPr>
              <w:spacing w:after="0"/>
            </w:pPr>
            <w:r/>
            <w:r>
              <w:rPr>
                <w:b w:val="0"/>
                <w:sz w:val="16"/>
              </w:rPr>
              <w:t>ports</w:t>
            </w:r>
          </w:p>
        </w:tc>
        <w:tc>
          <w:tcPr>
            <w:tcW w:type="dxa" w:w="8568"/>
            <w:vAlign w:val="top"/>
          </w:tcPr>
          <w:p>
            <w:pPr>
              <w:spacing w:after="0"/>
            </w:pPr>
            <w:r/>
            <w:r>
              <w:rPr>
                <w:b w:val="0"/>
                <w:sz w:val="16"/>
              </w:rPr>
              <w:t>Typed commands, queries, events, streams, files, UI surfaces and resource interfaces.</w:t>
            </w:r>
          </w:p>
        </w:tc>
      </w:tr>
      <w:tr>
        <w:tc>
          <w:tcPr>
            <w:tcW w:type="dxa" w:w="2088"/>
            <w:vAlign w:val="top"/>
          </w:tcPr>
          <w:p>
            <w:pPr>
              <w:spacing w:after="0"/>
            </w:pPr>
            <w:r/>
            <w:r>
              <w:rPr>
                <w:b w:val="0"/>
                <w:sz w:val="16"/>
              </w:rPr>
              <w:t>adapters</w:t>
            </w:r>
          </w:p>
        </w:tc>
        <w:tc>
          <w:tcPr>
            <w:tcW w:type="dxa" w:w="8568"/>
            <w:vAlign w:val="top"/>
          </w:tcPr>
          <w:p>
            <w:pPr>
              <w:spacing w:after="0"/>
            </w:pPr>
            <w:r/>
            <w:r>
              <w:rPr>
                <w:b w:val="0"/>
                <w:sz w:val="16"/>
              </w:rPr>
              <w:t>OS, database, provider, hardware, transport and presentation implementations.</w:t>
            </w:r>
          </w:p>
        </w:tc>
      </w:tr>
      <w:tr>
        <w:tc>
          <w:tcPr>
            <w:tcW w:type="dxa" w:w="2088"/>
            <w:vAlign w:val="top"/>
          </w:tcPr>
          <w:p>
            <w:pPr>
              <w:spacing w:after="0"/>
            </w:pPr>
            <w:r/>
            <w:r>
              <w:rPr>
                <w:b w:val="0"/>
                <w:sz w:val="16"/>
              </w:rPr>
              <w:t>state</w:t>
            </w:r>
          </w:p>
        </w:tc>
        <w:tc>
          <w:tcPr>
            <w:tcW w:type="dxa" w:w="8568"/>
            <w:vAlign w:val="top"/>
          </w:tcPr>
          <w:p>
            <w:pPr>
              <w:spacing w:after="0"/>
            </w:pPr>
            <w:r/>
            <w:r>
              <w:rPr>
                <w:b w:val="0"/>
                <w:sz w:val="16"/>
              </w:rPr>
              <w:t>Owned durable/ephemeral state, schema/version, migration and consistency rules.</w:t>
            </w:r>
          </w:p>
        </w:tc>
      </w:tr>
      <w:tr>
        <w:tc>
          <w:tcPr>
            <w:tcW w:type="dxa" w:w="2088"/>
            <w:vAlign w:val="top"/>
          </w:tcPr>
          <w:p>
            <w:pPr>
              <w:spacing w:after="0"/>
            </w:pPr>
            <w:r/>
            <w:r>
              <w:rPr>
                <w:b w:val="0"/>
                <w:sz w:val="16"/>
              </w:rPr>
              <w:t>permissions</w:t>
            </w:r>
          </w:p>
        </w:tc>
        <w:tc>
          <w:tcPr>
            <w:tcW w:type="dxa" w:w="8568"/>
            <w:vAlign w:val="top"/>
          </w:tcPr>
          <w:p>
            <w:pPr>
              <w:spacing w:after="0"/>
            </w:pPr>
            <w:r/>
            <w:r>
              <w:rPr>
                <w:b w:val="0"/>
                <w:sz w:val="16"/>
              </w:rPr>
              <w:t>Least-privilege capability grants and destructive-operation restrictions.</w:t>
            </w:r>
          </w:p>
        </w:tc>
      </w:tr>
      <w:tr>
        <w:tc>
          <w:tcPr>
            <w:tcW w:type="dxa" w:w="2088"/>
            <w:vAlign w:val="top"/>
          </w:tcPr>
          <w:p>
            <w:pPr>
              <w:spacing w:after="0"/>
            </w:pPr>
            <w:r/>
            <w:r>
              <w:rPr>
                <w:b w:val="0"/>
                <w:sz w:val="16"/>
              </w:rPr>
              <w:t>resources</w:t>
            </w:r>
          </w:p>
        </w:tc>
        <w:tc>
          <w:tcPr>
            <w:tcW w:type="dxa" w:w="8568"/>
            <w:vAlign w:val="top"/>
          </w:tcPr>
          <w:p>
            <w:pPr>
              <w:spacing w:after="0"/>
            </w:pPr>
            <w:r/>
            <w:r>
              <w:rPr>
                <w:b w:val="0"/>
                <w:sz w:val="16"/>
              </w:rPr>
              <w:t>CPU/GPU/memory/storage/network/real-time constraints; feeds PhenoFabric scheduling where applicable.</w:t>
            </w:r>
          </w:p>
        </w:tc>
      </w:tr>
      <w:tr>
        <w:tc>
          <w:tcPr>
            <w:tcW w:type="dxa" w:w="2088"/>
            <w:vAlign w:val="top"/>
          </w:tcPr>
          <w:p>
            <w:pPr>
              <w:spacing w:after="0"/>
            </w:pPr>
            <w:r/>
            <w:r>
              <w:rPr>
                <w:b w:val="0"/>
                <w:sz w:val="16"/>
              </w:rPr>
              <w:t>children</w:t>
            </w:r>
          </w:p>
        </w:tc>
        <w:tc>
          <w:tcPr>
            <w:tcW w:type="dxa" w:w="8568"/>
            <w:vAlign w:val="top"/>
          </w:tcPr>
          <w:p>
            <w:pPr>
              <w:spacing w:after="0"/>
            </w:pPr>
            <w:r/>
            <w:r>
              <w:rPr>
                <w:b w:val="0"/>
                <w:sz w:val="16"/>
              </w:rPr>
              <w:t>Optional child applets and federation policy.</w:t>
            </w:r>
          </w:p>
        </w:tc>
      </w:tr>
      <w:tr>
        <w:tc>
          <w:tcPr>
            <w:tcW w:type="dxa" w:w="2088"/>
            <w:vAlign w:val="top"/>
          </w:tcPr>
          <w:p>
            <w:pPr>
              <w:spacing w:after="0"/>
            </w:pPr>
            <w:r/>
            <w:r>
              <w:rPr>
                <w:b w:val="0"/>
                <w:sz w:val="16"/>
              </w:rPr>
              <w:t>health/lifecycle</w:t>
            </w:r>
          </w:p>
        </w:tc>
        <w:tc>
          <w:tcPr>
            <w:tcW w:type="dxa" w:w="8568"/>
            <w:vAlign w:val="top"/>
          </w:tcPr>
          <w:p>
            <w:pPr>
              <w:spacing w:after="0"/>
            </w:pPr>
            <w:r/>
            <w:r>
              <w:rPr>
                <w:b w:val="0"/>
                <w:sz w:val="16"/>
              </w:rPr>
              <w:t>Startup readiness, degradation, failure/restart semantics, update/rollback.</w:t>
            </w:r>
          </w:p>
        </w:tc>
      </w:tr>
      <w:tr>
        <w:tc>
          <w:tcPr>
            <w:tcW w:type="dxa" w:w="2088"/>
            <w:vAlign w:val="top"/>
          </w:tcPr>
          <w:p>
            <w:pPr>
              <w:spacing w:after="0"/>
            </w:pPr>
            <w:r/>
            <w:r>
              <w:rPr>
                <w:b w:val="0"/>
                <w:sz w:val="16"/>
              </w:rPr>
              <w:t>surfaces</w:t>
            </w:r>
          </w:p>
        </w:tc>
        <w:tc>
          <w:tcPr>
            <w:tcW w:type="dxa" w:w="8568"/>
            <w:vAlign w:val="top"/>
          </w:tcPr>
          <w:p>
            <w:pPr>
              <w:spacing w:after="0"/>
            </w:pPr>
            <w:r/>
            <w:r>
              <w:rPr>
                <w:b w:val="0"/>
                <w:sz w:val="16"/>
              </w:rPr>
              <w:t>Optional UI/CLI/API/audio/video/terminal surfaces exposed to users or other applets.</w:t>
            </w:r>
          </w:p>
        </w:tc>
      </w:tr>
    </w:tbl>
    <w:p>
      <w:pPr>
        <w:spacing w:after="0"/>
      </w:pPr>
    </w:p>
    <w:p>
      <w:pPr>
        <w:pStyle w:val="Heading2"/>
      </w:pPr>
      <w:r>
        <w:t>7.2 Composition rules</w:t>
      </w:r>
    </w:p>
    <w:p>
      <w:pPr>
        <w:pStyle w:val="ListBullet"/>
      </w:pPr>
      <w:r>
        <w:t>An applet may be embedded in-process, run as a process/service, live in a VM/container, or execute on another node. Location is an adapter/deployment concern, not its semantic identity.</w:t>
      </w:r>
    </w:p>
    <w:p>
      <w:pPr>
        <w:pStyle w:val="ListBullet"/>
      </w:pPr>
      <w:r>
        <w:t>A parent sees a child through declared capabilities/ports, not internal modules. This preserves hexagonal boundaries at every recursive level.</w:t>
      </w:r>
    </w:p>
    <w:p>
      <w:pPr>
        <w:pStyle w:val="ListBullet"/>
      </w:pPr>
      <w:r>
        <w:t>Federation is dynamic only when lifecycle/state/security constraints permit it. “Optional module” must not mean “unchecked plugin can mutate everything.”</w:t>
      </w:r>
    </w:p>
    <w:p>
      <w:pPr>
        <w:pStyle w:val="ListBullet"/>
      </w:pPr>
      <w:r>
        <w:t>Composite applets re-export only intentional capabilities. Do not leak every child API upward.</w:t>
      </w:r>
    </w:p>
    <w:p>
      <w:pPr>
        <w:pStyle w:val="ListBullet"/>
      </w:pPr>
      <w:r>
        <w:t>A product CVP is a named composition profile of applets plus adapters and policy. This allows one codebase to produce small or rich product assemblies without semantic forks.</w:t>
      </w:r>
    </w:p>
    <w:p>
      <w:pPr>
        <w:pStyle w:val="ListBullet"/>
      </w:pPr>
      <w:r>
        <w:t>Repository extraction is justified by independent release/consumer/security/lifecycle boundaries, not merely because an applet exists.</w:t>
      </w:r>
    </w:p>
    <w:p>
      <w:pPr>
        <w:pStyle w:val="Heading2"/>
      </w:pPr>
      <w:r>
        <w:t>7.3 Why this helps simplification</w:t>
      </w:r>
    </w:p>
    <w:p>
      <w:r>
        <w:t>Recursive applets give the code-compression work a destination. Instead of retaining multiple “maybe useful later” implementations, preserve the capability contract, select one current implementation, and make optionality explicit in the composition profile. This converts hidden dead code into either a live applet, a documented future capability, or removed implementation.</w:t>
      </w:r>
    </w:p>
    <w:p>
      <w:pPr>
        <w:pStyle w:val="Heading1"/>
      </w:pPr>
      <w:r>
        <w:t>8. Packaging, installability, polish, and third-party-like acceptance</w:t>
      </w:r>
    </w:p>
    <w:p>
      <w:r>
        <w:t>Your “put the .app in Spotlight” requirement should become a formal product gate. It is one of the best ways to force agents out of repo-centric thinking and into product-centric thinking.</w:t>
      </w:r>
    </w:p>
    <w:p>
      <w:pPr>
        <w:pStyle w:val="Heading2"/>
      </w:pPr>
      <w:r>
        <w:t>8.1 macOS Spotlight CVP gate</w:t>
      </w:r>
    </w:p>
    <w:p>
      <w:pPr>
        <w:pStyle w:val="ListBullet"/>
      </w:pPr>
      <w:r>
        <w:t>Bundle installs outside the repository and launches with no developer shell, cwd, node_modules, Cargo target directory or sibling checkout dependency.</w:t>
      </w:r>
    </w:p>
    <w:p>
      <w:pPr>
        <w:pStyle w:val="ListBullet"/>
      </w:pPr>
      <w:r>
        <w:t>CFBundleIdentifier, display name, semantic version/build version, icon, Info.plist and architecture are valid.</w:t>
      </w:r>
    </w:p>
    <w:p>
      <w:pPr>
        <w:pStyle w:val="ListBullet"/>
      </w:pPr>
      <w:r>
        <w:t>Application data, caches and logs use platform-appropriate directories; nothing durable is written inside the application bundle.</w:t>
      </w:r>
    </w:p>
    <w:p>
      <w:pPr>
        <w:pStyle w:val="ListBullet"/>
      </w:pPr>
      <w:r>
        <w:t>LaunchServices registers the app; Spotlight can find it; `open -b &lt;bundle-id&gt;` or Finder launch works.</w:t>
      </w:r>
    </w:p>
    <w:p>
      <w:pPr>
        <w:pStyle w:val="ListBullet"/>
      </w:pPr>
      <w:r>
        <w:t>First launch handles permissions and missing configuration intentionally; no silent terminal-only error path.</w:t>
      </w:r>
    </w:p>
    <w:p>
      <w:pPr>
        <w:pStyle w:val="ListBullet"/>
      </w:pPr>
      <w:r>
        <w:t>Quit/relaunch and window/state restoration behave deliberately; menu/keyboard conventions feel native enough for the product category.</w:t>
      </w:r>
    </w:p>
    <w:p>
      <w:pPr>
        <w:pStyle w:val="ListBullet"/>
      </w:pPr>
      <w:r>
        <w:t>The artifact under review is the same digest that passed E2E and visual capture.</w:t>
      </w:r>
    </w:p>
    <w:p>
      <w:pPr>
        <w:pStyle w:val="ListBullet"/>
      </w:pPr>
      <w:r>
        <w:t>For external/public release, code signing/notarization/update channel requirements are satisfied; internal CVP may use an explicitly labelled local/ad-hoc path.</w:t>
      </w:r>
    </w:p>
    <w:p>
      <w:pPr>
        <w:pStyle w:val="Heading2"/>
      </w:pPr>
      <w:r>
        <w:t>8.2 “Ugly app” prevention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D9E2F3"/>
            <w:vAlign w:val="center"/>
          </w:tcPr>
          <w:p>
            <w:pPr>
              <w:spacing w:after="0"/>
            </w:pPr>
            <w:r/>
            <w:r>
              <w:rPr>
                <w:b/>
                <w:sz w:val="16"/>
              </w:rPr>
              <w:t>Layer</w:t>
            </w:r>
          </w:p>
        </w:tc>
        <w:tc>
          <w:tcPr>
            <w:tcW w:type="dxa" w:w="8496"/>
            <w:shd w:fill="D9E2F3"/>
            <w:vAlign w:val="center"/>
          </w:tcPr>
          <w:p>
            <w:pPr>
              <w:spacing w:after="0"/>
            </w:pPr>
            <w:r/>
            <w:r>
              <w:rPr>
                <w:b/>
                <w:sz w:val="16"/>
              </w:rPr>
              <w:t>Mandatory review</w:t>
            </w:r>
          </w:p>
        </w:tc>
      </w:tr>
      <w:tr>
        <w:tc>
          <w:tcPr>
            <w:tcW w:type="dxa" w:w="2160"/>
            <w:vAlign w:val="top"/>
          </w:tcPr>
          <w:p>
            <w:pPr>
              <w:spacing w:after="0"/>
            </w:pPr>
            <w:r/>
            <w:r>
              <w:rPr>
                <w:b w:val="0"/>
                <w:sz w:val="16"/>
              </w:rPr>
              <w:t>Information architecture</w:t>
            </w:r>
          </w:p>
        </w:tc>
        <w:tc>
          <w:tcPr>
            <w:tcW w:type="dxa" w:w="8496"/>
            <w:vAlign w:val="top"/>
          </w:tcPr>
          <w:p>
            <w:pPr>
              <w:spacing w:after="0"/>
            </w:pPr>
            <w:r/>
            <w:r>
              <w:rPr>
                <w:b w:val="0"/>
                <w:sz w:val="16"/>
              </w:rPr>
              <w:t>Clear primary task, visible state, no unexplained debug/engineering concepts, no duplicate controls.</w:t>
            </w:r>
          </w:p>
        </w:tc>
      </w:tr>
      <w:tr>
        <w:tc>
          <w:tcPr>
            <w:tcW w:type="dxa" w:w="2160"/>
            <w:vAlign w:val="top"/>
          </w:tcPr>
          <w:p>
            <w:pPr>
              <w:spacing w:after="0"/>
            </w:pPr>
            <w:r/>
            <w:r>
              <w:rPr>
                <w:b w:val="0"/>
                <w:sz w:val="16"/>
              </w:rPr>
              <w:t>Layout</w:t>
            </w:r>
          </w:p>
        </w:tc>
        <w:tc>
          <w:tcPr>
            <w:tcW w:type="dxa" w:w="8496"/>
            <w:vAlign w:val="top"/>
          </w:tcPr>
          <w:p>
            <w:pPr>
              <w:spacing w:after="0"/>
            </w:pPr>
            <w:r/>
            <w:r>
              <w:rPr>
                <w:b w:val="0"/>
                <w:sz w:val="16"/>
              </w:rPr>
              <w:t>Spacing scale, alignment, density, clipping, window resizing, min/max sizes, panel hierarchy.</w:t>
            </w:r>
          </w:p>
        </w:tc>
      </w:tr>
      <w:tr>
        <w:tc>
          <w:tcPr>
            <w:tcW w:type="dxa" w:w="2160"/>
            <w:vAlign w:val="top"/>
          </w:tcPr>
          <w:p>
            <w:pPr>
              <w:spacing w:after="0"/>
            </w:pPr>
            <w:r/>
            <w:r>
              <w:rPr>
                <w:b w:val="0"/>
                <w:sz w:val="16"/>
              </w:rPr>
              <w:t>Typography/color</w:t>
            </w:r>
          </w:p>
        </w:tc>
        <w:tc>
          <w:tcPr>
            <w:tcW w:type="dxa" w:w="8496"/>
            <w:vAlign w:val="top"/>
          </w:tcPr>
          <w:p>
            <w:pPr>
              <w:spacing w:after="0"/>
            </w:pPr>
            <w:r/>
            <w:r>
              <w:rPr>
                <w:b w:val="0"/>
                <w:sz w:val="16"/>
              </w:rPr>
              <w:t>Consistent roles, contrast, semantic status colors, dark/light behavior if supported, no accidental default styles.</w:t>
            </w:r>
          </w:p>
        </w:tc>
      </w:tr>
      <w:tr>
        <w:tc>
          <w:tcPr>
            <w:tcW w:type="dxa" w:w="2160"/>
            <w:vAlign w:val="top"/>
          </w:tcPr>
          <w:p>
            <w:pPr>
              <w:spacing w:after="0"/>
            </w:pPr>
            <w:r/>
            <w:r>
              <w:rPr>
                <w:b w:val="0"/>
                <w:sz w:val="16"/>
              </w:rPr>
              <w:t>Interaction</w:t>
            </w:r>
          </w:p>
        </w:tc>
        <w:tc>
          <w:tcPr>
            <w:tcW w:type="dxa" w:w="8496"/>
            <w:vAlign w:val="top"/>
          </w:tcPr>
          <w:p>
            <w:pPr>
              <w:spacing w:after="0"/>
            </w:pPr>
            <w:r/>
            <w:r>
              <w:rPr>
                <w:b w:val="0"/>
                <w:sz w:val="16"/>
              </w:rPr>
              <w:t>Keyboard focus, shortcuts, hover/selected/disabled states, destructive confirmation, progress, cancellation, undo where appropriate.</w:t>
            </w:r>
          </w:p>
        </w:tc>
      </w:tr>
      <w:tr>
        <w:tc>
          <w:tcPr>
            <w:tcW w:type="dxa" w:w="2160"/>
            <w:vAlign w:val="top"/>
          </w:tcPr>
          <w:p>
            <w:pPr>
              <w:spacing w:after="0"/>
            </w:pPr>
            <w:r/>
            <w:r>
              <w:rPr>
                <w:b w:val="0"/>
                <w:sz w:val="16"/>
              </w:rPr>
              <w:t>System integration</w:t>
            </w:r>
          </w:p>
        </w:tc>
        <w:tc>
          <w:tcPr>
            <w:tcW w:type="dxa" w:w="8496"/>
            <w:vAlign w:val="top"/>
          </w:tcPr>
          <w:p>
            <w:pPr>
              <w:spacing w:after="0"/>
            </w:pPr>
            <w:r/>
            <w:r>
              <w:rPr>
                <w:b w:val="0"/>
                <w:sz w:val="16"/>
              </w:rPr>
              <w:t>Menu bar, tray/dock behavior, notifications, file open/save, clipboard, deep links, platform permissions as applicable.</w:t>
            </w:r>
          </w:p>
        </w:tc>
      </w:tr>
      <w:tr>
        <w:tc>
          <w:tcPr>
            <w:tcW w:type="dxa" w:w="2160"/>
            <w:vAlign w:val="top"/>
          </w:tcPr>
          <w:p>
            <w:pPr>
              <w:spacing w:after="0"/>
            </w:pPr>
            <w:r/>
            <w:r>
              <w:rPr>
                <w:b w:val="0"/>
                <w:sz w:val="16"/>
              </w:rPr>
              <w:t>State coverage</w:t>
            </w:r>
          </w:p>
        </w:tc>
        <w:tc>
          <w:tcPr>
            <w:tcW w:type="dxa" w:w="8496"/>
            <w:vAlign w:val="top"/>
          </w:tcPr>
          <w:p>
            <w:pPr>
              <w:spacing w:after="0"/>
            </w:pPr>
            <w:r/>
            <w:r>
              <w:rPr>
                <w:b w:val="0"/>
                <w:sz w:val="16"/>
              </w:rPr>
              <w:t>First-run, empty, loading, normal, partial, error, offline/degraded, recovery and upgraded/migrated state.</w:t>
            </w:r>
          </w:p>
        </w:tc>
      </w:tr>
      <w:tr>
        <w:tc>
          <w:tcPr>
            <w:tcW w:type="dxa" w:w="2160"/>
            <w:vAlign w:val="top"/>
          </w:tcPr>
          <w:p>
            <w:pPr>
              <w:spacing w:after="0"/>
            </w:pPr>
            <w:r/>
            <w:r>
              <w:rPr>
                <w:b w:val="0"/>
                <w:sz w:val="16"/>
              </w:rPr>
              <w:t>Performance feel</w:t>
            </w:r>
          </w:p>
        </w:tc>
        <w:tc>
          <w:tcPr>
            <w:tcW w:type="dxa" w:w="8496"/>
            <w:vAlign w:val="top"/>
          </w:tcPr>
          <w:p>
            <w:pPr>
              <w:spacing w:after="0"/>
            </w:pPr>
            <w:r/>
            <w:r>
              <w:rPr>
                <w:b w:val="0"/>
                <w:sz w:val="16"/>
              </w:rPr>
              <w:t>Startup, input latency, scrolling/rendering, background CPU/GPU, no perceptible stalls under intended workloads.</w:t>
            </w:r>
          </w:p>
        </w:tc>
      </w:tr>
    </w:tbl>
    <w:p>
      <w:pPr>
        <w:spacing w:after="0"/>
      </w:pPr>
    </w:p>
    <w:p>
      <w:pPr>
        <w:pStyle w:val="Heading2"/>
      </w:pPr>
      <w:r>
        <w:t>8.3 phenotype-journeys evidence</w:t>
      </w:r>
    </w:p>
    <w:p>
      <w:r>
        <w:t>Every GUI CVP should be exercised from the installed artifact in a private/isolated native environment. Record raw screenshots/video, actions, artifact SHA, OS/display profile and assertions. Store raw evidence separately from edited marketing assets. A beautiful screenshot from a dev-only path cannot substitute for installed-product evidence.</w:t>
      </w:r>
    </w:p>
    <w:p>
      <w:pPr>
        <w:pStyle w:val="Heading1"/>
      </w:pPr>
      <w:r>
        <w:t>9. QA/QE, journey evidence, and coverage requirements</w:t>
      </w:r>
    </w:p>
    <w:tbl>
      <w:tblPr>
        <w:tblW w:type="auto" w:w="0"/>
        <w:jc w:val="center"/>
        <w:tblLayout w:type="autofit"/>
        <w:tblLook w:firstColumn="1" w:firstRow="1" w:lastColumn="0" w:lastRow="0" w:noHBand="0" w:noVBand="1" w:val="04A0"/>
      </w:tblPr>
      <w:tblGrid>
        <w:gridCol w:w="10166"/>
      </w:tblGrid>
      <w:tr>
        <w:tc>
          <w:tcPr>
            <w:tcW w:type="dxa" w:w="10166"/>
            <w:shd w:fill="FFF2CC"/>
          </w:tcPr>
          <w:p>
            <w:pPr>
              <w:spacing w:after="40"/>
            </w:pPr>
            <w:r>
              <w:rPr>
                <w:b/>
                <w:sz w:val="20"/>
              </w:rPr>
              <w:t>Independent floors</w:t>
              <w:br/>
            </w:r>
            <w:r>
              <w:rPr>
                <w:sz w:val="18"/>
              </w:rPr>
              <w:t>For retained products, unit, integration, E2E and other applicable assurance families each target &gt;=85% against a fixed, reviewed denominator. Critical safety, data-integrity, security, packaging and promised-compatibility obligations are 100%. A combined 95% report cannot hide a 60% integration or E2E layer.</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D9E2F3"/>
            <w:vAlign w:val="center"/>
          </w:tcPr>
          <w:p>
            <w:pPr>
              <w:spacing w:after="0"/>
            </w:pPr>
            <w:r/>
            <w:r>
              <w:rPr>
                <w:b/>
                <w:sz w:val="16"/>
              </w:rPr>
              <w:t>Gate</w:t>
            </w:r>
          </w:p>
        </w:tc>
        <w:tc>
          <w:tcPr>
            <w:tcW w:type="dxa" w:w="8496"/>
            <w:shd w:fill="D9E2F3"/>
            <w:vAlign w:val="center"/>
          </w:tcPr>
          <w:p>
            <w:pPr>
              <w:spacing w:after="0"/>
            </w:pPr>
            <w:r/>
            <w:r>
              <w:rPr>
                <w:b/>
                <w:sz w:val="16"/>
              </w:rPr>
              <w:t>Minimum acceptance</w:t>
            </w:r>
          </w:p>
        </w:tc>
      </w:tr>
      <w:tr>
        <w:tc>
          <w:tcPr>
            <w:tcW w:type="dxa" w:w="2160"/>
            <w:vAlign w:val="top"/>
          </w:tcPr>
          <w:p>
            <w:pPr>
              <w:spacing w:after="0"/>
            </w:pPr>
            <w:r/>
            <w:r>
              <w:rPr>
                <w:b w:val="0"/>
                <w:sz w:val="16"/>
              </w:rPr>
              <w:t>Unit</w:t>
            </w:r>
          </w:p>
        </w:tc>
        <w:tc>
          <w:tcPr>
            <w:tcW w:type="dxa" w:w="8496"/>
            <w:vAlign w:val="top"/>
          </w:tcPr>
          <w:p>
            <w:pPr>
              <w:spacing w:after="0"/>
            </w:pPr>
            <w:r/>
            <w:r>
              <w:rPr>
                <w:b w:val="0"/>
                <w:sz w:val="16"/>
              </w:rPr>
              <w:t>&gt;=85% executable/branch/function coverage where measurable + &gt;=85% approved behavioral obligations; critical obligations 100%.</w:t>
            </w:r>
          </w:p>
        </w:tc>
      </w:tr>
      <w:tr>
        <w:tc>
          <w:tcPr>
            <w:tcW w:type="dxa" w:w="2160"/>
            <w:vAlign w:val="top"/>
          </w:tcPr>
          <w:p>
            <w:pPr>
              <w:spacing w:after="0"/>
            </w:pPr>
            <w:r/>
            <w:r>
              <w:rPr>
                <w:b w:val="0"/>
                <w:sz w:val="16"/>
              </w:rPr>
              <w:t>Integration</w:t>
            </w:r>
          </w:p>
        </w:tc>
        <w:tc>
          <w:tcPr>
            <w:tcW w:type="dxa" w:w="8496"/>
            <w:vAlign w:val="top"/>
          </w:tcPr>
          <w:p>
            <w:pPr>
              <w:spacing w:after="0"/>
            </w:pPr>
            <w:r/>
            <w:r>
              <w:rPr>
                <w:b w:val="0"/>
                <w:sz w:val="16"/>
              </w:rPr>
              <w:t>&gt;=85% boundary/protocol/storage/process/platform obligations and structural coverage under its own profile.</w:t>
            </w:r>
          </w:p>
        </w:tc>
      </w:tr>
      <w:tr>
        <w:tc>
          <w:tcPr>
            <w:tcW w:type="dxa" w:w="2160"/>
            <w:vAlign w:val="top"/>
          </w:tcPr>
          <w:p>
            <w:pPr>
              <w:spacing w:after="0"/>
            </w:pPr>
            <w:r/>
            <w:r>
              <w:rPr>
                <w:b w:val="0"/>
                <w:sz w:val="16"/>
              </w:rPr>
              <w:t>E2E</w:t>
            </w:r>
          </w:p>
        </w:tc>
        <w:tc>
          <w:tcPr>
            <w:tcW w:type="dxa" w:w="8496"/>
            <w:vAlign w:val="top"/>
          </w:tcPr>
          <w:p>
            <w:pPr>
              <w:spacing w:after="0"/>
            </w:pPr>
            <w:r/>
            <w:r>
              <w:rPr>
                <w:b w:val="0"/>
                <w:sz w:val="16"/>
              </w:rPr>
              <w:t>&gt;=85% declared user/consumer journeys and instrumented implementation under the E2E profile; critical journeys 100%.</w:t>
            </w:r>
          </w:p>
        </w:tc>
      </w:tr>
      <w:tr>
        <w:tc>
          <w:tcPr>
            <w:tcW w:type="dxa" w:w="2160"/>
            <w:vAlign w:val="top"/>
          </w:tcPr>
          <w:p>
            <w:pPr>
              <w:spacing w:after="0"/>
            </w:pPr>
            <w:r/>
            <w:r>
              <w:rPr>
                <w:b w:val="0"/>
                <w:sz w:val="16"/>
              </w:rPr>
              <w:t>Mutation</w:t>
            </w:r>
          </w:p>
        </w:tc>
        <w:tc>
          <w:tcPr>
            <w:tcW w:type="dxa" w:w="8496"/>
            <w:vAlign w:val="top"/>
          </w:tcPr>
          <w:p>
            <w:pPr>
              <w:spacing w:after="0"/>
            </w:pPr>
            <w:r/>
            <w:r>
              <w:rPr>
                <w:b w:val="0"/>
                <w:sz w:val="16"/>
              </w:rPr>
              <w:t>&gt;=85% killed/covered eligible non-equivalent mutants where mutation is applicable; surviving critical mutants block.</w:t>
            </w:r>
          </w:p>
        </w:tc>
      </w:tr>
      <w:tr>
        <w:tc>
          <w:tcPr>
            <w:tcW w:type="dxa" w:w="2160"/>
            <w:vAlign w:val="top"/>
          </w:tcPr>
          <w:p>
            <w:pPr>
              <w:spacing w:after="0"/>
            </w:pPr>
            <w:r/>
            <w:r>
              <w:rPr>
                <w:b w:val="0"/>
                <w:sz w:val="16"/>
              </w:rPr>
              <w:t>Fuzz/property</w:t>
            </w:r>
          </w:p>
        </w:tc>
        <w:tc>
          <w:tcPr>
            <w:tcW w:type="dxa" w:w="8496"/>
            <w:vAlign w:val="top"/>
          </w:tcPr>
          <w:p>
            <w:pPr>
              <w:spacing w:after="0"/>
            </w:pPr>
            <w:r/>
            <w:r>
              <w:rPr>
                <w:b w:val="0"/>
                <w:sz w:val="16"/>
              </w:rPr>
              <w:t>All critical parser/protocol/state-machine targets have explicit campaigns/invariants and no unresolved critical findings.</w:t>
            </w:r>
          </w:p>
        </w:tc>
      </w:tr>
      <w:tr>
        <w:tc>
          <w:tcPr>
            <w:tcW w:type="dxa" w:w="2160"/>
            <w:vAlign w:val="top"/>
          </w:tcPr>
          <w:p>
            <w:pPr>
              <w:spacing w:after="0"/>
            </w:pPr>
            <w:r/>
            <w:r>
              <w:rPr>
                <w:b w:val="0"/>
                <w:sz w:val="16"/>
              </w:rPr>
              <w:t>Performance</w:t>
            </w:r>
          </w:p>
        </w:tc>
        <w:tc>
          <w:tcPr>
            <w:tcW w:type="dxa" w:w="8496"/>
            <w:vAlign w:val="top"/>
          </w:tcPr>
          <w:p>
            <w:pPr>
              <w:spacing w:after="0"/>
            </w:pPr>
            <w:r/>
            <w:r>
              <w:rPr>
                <w:b w:val="0"/>
                <w:sz w:val="16"/>
              </w:rPr>
              <w:t>Representative cold/warm/loaded cases, p50/p95/p99 where meaningful, and no undeclared regression beyond budget.</w:t>
            </w:r>
          </w:p>
        </w:tc>
      </w:tr>
      <w:tr>
        <w:tc>
          <w:tcPr>
            <w:tcW w:type="dxa" w:w="2160"/>
            <w:vAlign w:val="top"/>
          </w:tcPr>
          <w:p>
            <w:pPr>
              <w:spacing w:after="0"/>
            </w:pPr>
            <w:r/>
            <w:r>
              <w:rPr>
                <w:b w:val="0"/>
                <w:sz w:val="16"/>
              </w:rPr>
              <w:t>Compatibility</w:t>
            </w:r>
          </w:p>
        </w:tc>
        <w:tc>
          <w:tcPr>
            <w:tcW w:type="dxa" w:w="8496"/>
            <w:vAlign w:val="top"/>
          </w:tcPr>
          <w:p>
            <w:pPr>
              <w:spacing w:after="0"/>
            </w:pPr>
            <w:r/>
            <w:r>
              <w:rPr>
                <w:b w:val="0"/>
                <w:sz w:val="16"/>
              </w:rPr>
              <w:t>Accepted OS/arch/dependency/configuration matrix; unknown/skipped is not pass.</w:t>
            </w:r>
          </w:p>
        </w:tc>
      </w:tr>
      <w:tr>
        <w:tc>
          <w:tcPr>
            <w:tcW w:type="dxa" w:w="2160"/>
            <w:vAlign w:val="top"/>
          </w:tcPr>
          <w:p>
            <w:pPr>
              <w:spacing w:after="0"/>
            </w:pPr>
            <w:r/>
            <w:r>
              <w:rPr>
                <w:b w:val="0"/>
                <w:sz w:val="16"/>
              </w:rPr>
              <w:t>Packaging</w:t>
            </w:r>
          </w:p>
        </w:tc>
        <w:tc>
          <w:tcPr>
            <w:tcW w:type="dxa" w:w="8496"/>
            <w:vAlign w:val="top"/>
          </w:tcPr>
          <w:p>
            <w:pPr>
              <w:spacing w:after="0"/>
            </w:pPr>
            <w:r/>
            <w:r>
              <w:rPr>
                <w:b w:val="0"/>
                <w:sz w:val="16"/>
              </w:rPr>
              <w:t>Clean-install and clean-upgrade/rollback E2E from the produced artifact.</w:t>
            </w:r>
          </w:p>
        </w:tc>
      </w:tr>
      <w:tr>
        <w:tc>
          <w:tcPr>
            <w:tcW w:type="dxa" w:w="2160"/>
            <w:vAlign w:val="top"/>
          </w:tcPr>
          <w:p>
            <w:pPr>
              <w:spacing w:after="0"/>
            </w:pPr>
            <w:r/>
            <w:r>
              <w:rPr>
                <w:b w:val="0"/>
                <w:sz w:val="16"/>
              </w:rPr>
              <w:t>Visual/accessibility</w:t>
            </w:r>
          </w:p>
        </w:tc>
        <w:tc>
          <w:tcPr>
            <w:tcW w:type="dxa" w:w="8496"/>
            <w:vAlign w:val="top"/>
          </w:tcPr>
          <w:p>
            <w:pPr>
              <w:spacing w:after="0"/>
            </w:pPr>
            <w:r/>
            <w:r>
              <w:rPr>
                <w:b w:val="0"/>
                <w:sz w:val="16"/>
              </w:rPr>
              <w:t>Automated checks plus human/device review for qualities automation cannot establish.</w:t>
            </w:r>
          </w:p>
        </w:tc>
      </w:tr>
    </w:tbl>
    <w:p>
      <w:pPr>
        <w:spacing w:after="0"/>
      </w:pPr>
    </w:p>
    <w:p>
      <w:pPr>
        <w:pStyle w:val="Heading2"/>
      </w:pPr>
      <w:r>
        <w:t>9.1 Important current gaps</w:t>
      </w:r>
    </w:p>
    <w:p>
      <w:pPr>
        <w:pStyle w:val="ListBullet"/>
      </w:pPr>
      <w:r>
        <w:t>Civis’s reported 65% mutation ratchet is useful as a transition mechanism but does not meet the 85% portfolio acceptance floor.</w:t>
      </w:r>
    </w:p>
    <w:p>
      <w:pPr>
        <w:pStyle w:val="ListBullet"/>
      </w:pPr>
      <w:r>
        <w:t>Civis current head has 14 successful and 6 failing Actions runs. Required failures must be resolved; advisory/environmental failures need explicit classification.</w:t>
      </w:r>
    </w:p>
    <w:p>
      <w:pPr>
        <w:pStyle w:val="ListBullet"/>
      </w:pPr>
      <w:r>
        <w:t>AgilePlus’s own recent assessment identifies missing coverage measurement, transport tests, performance baselines and full E2E. That is exactly the evidence needed before “desktop app complete.”</w:t>
      </w:r>
    </w:p>
    <w:p>
      <w:pPr>
        <w:pStyle w:val="ListBullet"/>
      </w:pPr>
      <w:r>
        <w:t>Test counts are not coverage. “3,676 tests pass” can coexist with major untested surfaces or weak oracles.</w:t>
      </w:r>
    </w:p>
    <w:p>
      <w:pPr>
        <w:pStyle w:val="ListBullet"/>
      </w:pPr>
      <w:r>
        <w:t>Any gate that skips because the implementation is absent is measuring development state, not satisfying the product contract.</w:t>
      </w:r>
    </w:p>
    <w:p>
      <w:pPr>
        <w:pStyle w:val="Heading1"/>
      </w:pPr>
      <w:r>
        <w:t>10. Portfolio operating model and metrics</w:t>
      </w:r>
    </w:p>
    <w:p>
      <w:r>
        <w:t>At the present throughput, PR/commit count should be demoted to telemetry. Optimize closure velocity and complexity reduction instead.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176"/>
            <w:shd w:fill="D9E2F3"/>
            <w:vAlign w:val="center"/>
          </w:tcPr>
          <w:p>
            <w:pPr>
              <w:spacing w:after="0"/>
            </w:pPr>
            <w:r/>
            <w:r>
              <w:rPr>
                <w:b/>
                <w:sz w:val="16"/>
              </w:rPr>
              <w:t>Metric</w:t>
            </w:r>
          </w:p>
        </w:tc>
        <w:tc>
          <w:tcPr>
            <w:tcW w:type="dxa" w:w="6480"/>
            <w:shd w:fill="D9E2F3"/>
            <w:vAlign w:val="center"/>
          </w:tcPr>
          <w:p>
            <w:pPr>
              <w:spacing w:after="0"/>
            </w:pPr>
            <w:r/>
            <w:r>
              <w:rPr>
                <w:b/>
                <w:sz w:val="16"/>
              </w:rPr>
              <w:t>Why it matters</w:t>
            </w:r>
          </w:p>
        </w:tc>
      </w:tr>
      <w:tr>
        <w:tc>
          <w:tcPr>
            <w:tcW w:type="dxa" w:w="4176"/>
            <w:vAlign w:val="top"/>
          </w:tcPr>
          <w:p>
            <w:pPr>
              <w:spacing w:after="0"/>
            </w:pPr>
            <w:r/>
            <w:r>
              <w:rPr>
                <w:b w:val="0"/>
                <w:sz w:val="16"/>
              </w:rPr>
              <w:t>Installed CVPs / week</w:t>
            </w:r>
          </w:p>
        </w:tc>
        <w:tc>
          <w:tcPr>
            <w:tcW w:type="dxa" w:w="6480"/>
            <w:vAlign w:val="top"/>
          </w:tcPr>
          <w:p>
            <w:pPr>
              <w:spacing w:after="0"/>
            </w:pPr>
            <w:r/>
            <w:r>
              <w:rPr>
                <w:b w:val="0"/>
                <w:sz w:val="16"/>
              </w:rPr>
              <w:t>Direct measure of products reaching the state where you can actually use them and give feedback.</w:t>
            </w:r>
          </w:p>
        </w:tc>
      </w:tr>
      <w:tr>
        <w:tc>
          <w:tcPr>
            <w:tcW w:type="dxa" w:w="4176"/>
            <w:vAlign w:val="top"/>
          </w:tcPr>
          <w:p>
            <w:pPr>
              <w:spacing w:after="0"/>
            </w:pPr>
            <w:r/>
            <w:r>
              <w:rPr>
                <w:b w:val="0"/>
                <w:sz w:val="16"/>
              </w:rPr>
              <w:t>Median time: CVP freeze -&gt; installed artifact</w:t>
            </w:r>
          </w:p>
        </w:tc>
        <w:tc>
          <w:tcPr>
            <w:tcW w:type="dxa" w:w="6480"/>
            <w:vAlign w:val="top"/>
          </w:tcPr>
          <w:p>
            <w:pPr>
              <w:spacing w:after="0"/>
            </w:pPr>
            <w:r/>
            <w:r>
              <w:rPr>
                <w:b w:val="0"/>
                <w:sz w:val="16"/>
              </w:rPr>
              <w:t>Measures ability to convert current code into product reality.</w:t>
            </w:r>
          </w:p>
        </w:tc>
      </w:tr>
      <w:tr>
        <w:tc>
          <w:tcPr>
            <w:tcW w:type="dxa" w:w="4176"/>
            <w:vAlign w:val="top"/>
          </w:tcPr>
          <w:p>
            <w:pPr>
              <w:spacing w:after="0"/>
            </w:pPr>
            <w:r/>
            <w:r>
              <w:rPr>
                <w:b w:val="0"/>
                <w:sz w:val="16"/>
              </w:rPr>
              <w:t>Capabilities moved to Verified/Released/Adopted</w:t>
            </w:r>
          </w:p>
        </w:tc>
        <w:tc>
          <w:tcPr>
            <w:tcW w:type="dxa" w:w="6480"/>
            <w:vAlign w:val="top"/>
          </w:tcPr>
          <w:p>
            <w:pPr>
              <w:spacing w:after="0"/>
            </w:pPr>
            <w:r/>
            <w:r>
              <w:rPr>
                <w:b w:val="0"/>
                <w:sz w:val="16"/>
              </w:rPr>
              <w:t>Separates implementation churn from real maturation.</w:t>
            </w:r>
          </w:p>
        </w:tc>
      </w:tr>
      <w:tr>
        <w:tc>
          <w:tcPr>
            <w:tcW w:type="dxa" w:w="4176"/>
            <w:vAlign w:val="top"/>
          </w:tcPr>
          <w:p>
            <w:pPr>
              <w:spacing w:after="0"/>
            </w:pPr>
            <w:r/>
            <w:r>
              <w:rPr>
                <w:b w:val="0"/>
                <w:sz w:val="16"/>
              </w:rPr>
              <w:t>Repository terminal dispositions verified</w:t>
            </w:r>
          </w:p>
        </w:tc>
        <w:tc>
          <w:tcPr>
            <w:tcW w:type="dxa" w:w="6480"/>
            <w:vAlign w:val="top"/>
          </w:tcPr>
          <w:p>
            <w:pPr>
              <w:spacing w:after="0"/>
            </w:pPr>
            <w:r/>
            <w:r>
              <w:rPr>
                <w:b w:val="0"/>
                <w:sz w:val="16"/>
              </w:rPr>
              <w:t>Tracks portfolio shaping without rewarding premature deletion.</w:t>
            </w:r>
          </w:p>
        </w:tc>
      </w:tr>
      <w:tr>
        <w:tc>
          <w:tcPr>
            <w:tcW w:type="dxa" w:w="4176"/>
            <w:vAlign w:val="top"/>
          </w:tcPr>
          <w:p>
            <w:pPr>
              <w:spacing w:after="0"/>
            </w:pPr>
            <w:r/>
            <w:r>
              <w:rPr>
                <w:b w:val="0"/>
                <w:sz w:val="16"/>
              </w:rPr>
              <w:t>Restore-loop count after retirement action</w:t>
            </w:r>
          </w:p>
        </w:tc>
        <w:tc>
          <w:tcPr>
            <w:tcW w:type="dxa" w:w="6480"/>
            <w:vAlign w:val="top"/>
          </w:tcPr>
          <w:p>
            <w:pPr>
              <w:spacing w:after="0"/>
            </w:pPr>
            <w:r/>
            <w:r>
              <w:rPr>
                <w:b w:val="0"/>
                <w:sz w:val="16"/>
              </w:rPr>
              <w:t>Direct defect metric for unsafe deletion/absorption. Should trend to zero.</w:t>
            </w:r>
          </w:p>
        </w:tc>
      </w:tr>
      <w:tr>
        <w:tc>
          <w:tcPr>
            <w:tcW w:type="dxa" w:w="4176"/>
            <w:vAlign w:val="top"/>
          </w:tcPr>
          <w:p>
            <w:pPr>
              <w:spacing w:after="0"/>
            </w:pPr>
            <w:r/>
            <w:r>
              <w:rPr>
                <w:b w:val="0"/>
                <w:sz w:val="16"/>
              </w:rPr>
              <w:t>Semantic compression: duplicate implementations removed with parity</w:t>
            </w:r>
          </w:p>
        </w:tc>
        <w:tc>
          <w:tcPr>
            <w:tcW w:type="dxa" w:w="6480"/>
            <w:vAlign w:val="top"/>
          </w:tcPr>
          <w:p>
            <w:pPr>
              <w:spacing w:after="0"/>
            </w:pPr>
            <w:r/>
            <w:r>
              <w:rPr>
                <w:b w:val="0"/>
                <w:sz w:val="16"/>
              </w:rPr>
              <w:t>Measures “squishing” without rewarding blind LOC deletion.</w:t>
            </w:r>
          </w:p>
        </w:tc>
      </w:tr>
      <w:tr>
        <w:tc>
          <w:tcPr>
            <w:tcW w:type="dxa" w:w="4176"/>
            <w:vAlign w:val="top"/>
          </w:tcPr>
          <w:p>
            <w:pPr>
              <w:spacing w:after="0"/>
            </w:pPr>
            <w:r/>
            <w:r>
              <w:rPr>
                <w:b w:val="0"/>
                <w:sz w:val="16"/>
              </w:rPr>
              <w:t>Open current-head required failures</w:t>
            </w:r>
          </w:p>
        </w:tc>
        <w:tc>
          <w:tcPr>
            <w:tcW w:type="dxa" w:w="6480"/>
            <w:vAlign w:val="top"/>
          </w:tcPr>
          <w:p>
            <w:pPr>
              <w:spacing w:after="0"/>
            </w:pPr>
            <w:r/>
            <w:r>
              <w:rPr>
                <w:b w:val="0"/>
                <w:sz w:val="16"/>
              </w:rPr>
              <w:t>Shows whether QA debt is falling.</w:t>
            </w:r>
          </w:p>
        </w:tc>
      </w:tr>
      <w:tr>
        <w:tc>
          <w:tcPr>
            <w:tcW w:type="dxa" w:w="4176"/>
            <w:vAlign w:val="top"/>
          </w:tcPr>
          <w:p>
            <w:pPr>
              <w:spacing w:after="0"/>
            </w:pPr>
            <w:r/>
            <w:r>
              <w:rPr>
                <w:b w:val="0"/>
                <w:sz w:val="16"/>
              </w:rPr>
              <w:t>Unintegrated branch age / dirty work age</w:t>
            </w:r>
          </w:p>
        </w:tc>
        <w:tc>
          <w:tcPr>
            <w:tcW w:type="dxa" w:w="6480"/>
            <w:vAlign w:val="top"/>
          </w:tcPr>
          <w:p>
            <w:pPr>
              <w:spacing w:after="0"/>
            </w:pPr>
            <w:r/>
            <w:r>
              <w:rPr>
                <w:b w:val="0"/>
                <w:sz w:val="16"/>
              </w:rPr>
              <w:t>Shows hidden/local work accumulating without landing.</w:t>
            </w:r>
          </w:p>
        </w:tc>
      </w:tr>
      <w:tr>
        <w:tc>
          <w:tcPr>
            <w:tcW w:type="dxa" w:w="4176"/>
            <w:vAlign w:val="top"/>
          </w:tcPr>
          <w:p>
            <w:pPr>
              <w:spacing w:after="0"/>
            </w:pPr>
            <w:r/>
            <w:r>
              <w:rPr>
                <w:b w:val="0"/>
                <w:sz w:val="16"/>
              </w:rPr>
              <w:t>Installed-artifact feedback defects</w:t>
            </w:r>
          </w:p>
        </w:tc>
        <w:tc>
          <w:tcPr>
            <w:tcW w:type="dxa" w:w="6480"/>
            <w:vAlign w:val="top"/>
          </w:tcPr>
          <w:p>
            <w:pPr>
              <w:spacing w:after="0"/>
            </w:pPr>
            <w:r/>
            <w:r>
              <w:rPr>
                <w:b w:val="0"/>
                <w:sz w:val="16"/>
              </w:rPr>
              <w:t>Reveals gaps in automated tests and polish review.</w:t>
            </w:r>
          </w:p>
        </w:tc>
      </w:tr>
      <w:tr>
        <w:tc>
          <w:tcPr>
            <w:tcW w:type="dxa" w:w="4176"/>
            <w:vAlign w:val="top"/>
          </w:tcPr>
          <w:p>
            <w:pPr>
              <w:spacing w:after="0"/>
            </w:pPr>
            <w:r/>
            <w:r>
              <w:rPr>
                <w:b w:val="0"/>
                <w:sz w:val="16"/>
              </w:rPr>
              <w:t>Agent WIP by capability slice</w:t>
            </w:r>
          </w:p>
        </w:tc>
        <w:tc>
          <w:tcPr>
            <w:tcW w:type="dxa" w:w="6480"/>
            <w:vAlign w:val="top"/>
          </w:tcPr>
          <w:p>
            <w:pPr>
              <w:spacing w:after="0"/>
            </w:pPr>
            <w:r/>
            <w:r>
              <w:rPr>
                <w:b w:val="0"/>
                <w:sz w:val="16"/>
              </w:rPr>
              <w:t>Controls concurrency without forcing one-chat-per-repo.</w:t>
            </w:r>
          </w:p>
        </w:tc>
      </w:tr>
    </w:tbl>
    <w:p>
      <w:pPr>
        <w:spacing w:after="0"/>
      </w:pPr>
    </w:p>
    <w:p>
      <w:pPr>
        <w:pStyle w:val="Heading2"/>
      </w:pPr>
      <w:r>
        <w:t>10.1 State model per capability slice</w:t>
      </w:r>
    </w:p>
    <w:p>
      <w:pPr>
        <w:spacing w:before="80" w:after="120"/>
        <w:ind w:left="360" w:right="360"/>
        <w:shd w:fill="F2F2F2"/>
      </w:pPr>
      <w:r>
        <w:rPr>
          <w:rFonts w:ascii="Courier New" w:hAnsi="Courier New"/>
          <w:sz w:val="16"/>
        </w:rPr>
        <w:t>WORKING      local/dirty implementation exists</w:t>
        <w:br/>
        <w:t>PUBLISHED    remote branch/PR contains it</w:t>
        <w:br/>
        <w:t>INTEGRATED   accepted integration/default branch contains it</w:t>
        <w:br/>
        <w:t>VERIFIED     required independent gates passed at that exact revision</w:t>
        <w:br/>
        <w:t>PACKAGED     role-appropriate distributable artifact produced</w:t>
        <w:br/>
        <w:t>INSTALLED    artifact installed/consumed outside source tree</w:t>
        <w:br/>
        <w:t>RELEASED     authorized release/deployment published</w:t>
        <w:br/>
        <w:t>ADOPTED      real intended user/consumer successfully uses it</w:t>
        <w:br/>
        <w:br/>
        <w:t>These states are orthogonal to repository lifecycle (ACTIVE/RETIRING/TOMBSTONED/etc.).</w:t>
      </w:r>
    </w:p>
    <w:p>
      <w:pPr>
        <w:pStyle w:val="Heading2"/>
      </w:pPr>
      <w:r>
        <w:t>10.2 Agent concurrency rule</w:t>
      </w:r>
    </w:p>
    <w:p>
      <w:r>
        <w:t>Keep the benefits of jcode/ForgeCode parallelism, but coordinate around capability slices and integration ownership. A repo may have multiple chats if slices are disjoint. Every slice still needs one integration owner and one current acceptance record. Destructive lifecycle operations are not delegated to ordinary subagents.</w:t>
      </w:r>
    </w:p>
    <w:p>
      <w:pPr>
        <w:pStyle w:val="Heading1"/>
      </w:pPr>
      <w:r>
        <w:t>11. Execution waves / WBS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728"/>
            <w:shd w:fill="D9E2F3"/>
            <w:vAlign w:val="center"/>
          </w:tcPr>
          <w:p>
            <w:pPr>
              <w:spacing w:after="0"/>
            </w:pPr>
            <w:r/>
            <w:r>
              <w:rPr>
                <w:b/>
                <w:sz w:val="14"/>
              </w:rPr>
              <w:t>Wave</w:t>
            </w:r>
          </w:p>
        </w:tc>
        <w:tc>
          <w:tcPr>
            <w:tcW w:type="dxa" w:w="2448"/>
            <w:shd w:fill="D9E2F3"/>
            <w:vAlign w:val="center"/>
          </w:tcPr>
          <w:p>
            <w:pPr>
              <w:spacing w:after="0"/>
            </w:pPr>
            <w:r/>
            <w:r>
              <w:rPr>
                <w:b/>
                <w:sz w:val="14"/>
              </w:rPr>
              <w:t>Objective</w:t>
            </w:r>
          </w:p>
        </w:tc>
        <w:tc>
          <w:tcPr>
            <w:tcW w:type="dxa" w:w="4752"/>
            <w:shd w:fill="D9E2F3"/>
            <w:vAlign w:val="center"/>
          </w:tcPr>
          <w:p>
            <w:pPr>
              <w:spacing w:after="0"/>
            </w:pPr>
            <w:r/>
            <w:r>
              <w:rPr>
                <w:b/>
                <w:sz w:val="14"/>
              </w:rPr>
              <w:t>Representative tasks</w:t>
            </w:r>
          </w:p>
        </w:tc>
        <w:tc>
          <w:tcPr>
            <w:tcW w:type="dxa" w:w="2304"/>
            <w:shd w:fill="D9E2F3"/>
            <w:vAlign w:val="center"/>
          </w:tcPr>
          <w:p>
            <w:pPr>
              <w:spacing w:after="0"/>
            </w:pPr>
            <w:r/>
            <w:r>
              <w:rPr>
                <w:b/>
                <w:sz w:val="14"/>
              </w:rPr>
              <w:t>Exit</w:t>
            </w:r>
          </w:p>
        </w:tc>
      </w:tr>
      <w:tr>
        <w:tc>
          <w:tcPr>
            <w:tcW w:type="dxa" w:w="1728"/>
            <w:vAlign w:val="top"/>
          </w:tcPr>
          <w:p>
            <w:pPr>
              <w:spacing w:after="0"/>
            </w:pPr>
            <w:r/>
            <w:r>
              <w:rPr>
                <w:b w:val="0"/>
                <w:sz w:val="14"/>
              </w:rPr>
              <w:t>W0 - Truth + freeze</w:t>
            </w:r>
          </w:p>
        </w:tc>
        <w:tc>
          <w:tcPr>
            <w:tcW w:type="dxa" w:w="2448"/>
            <w:vAlign w:val="top"/>
          </w:tcPr>
          <w:p>
            <w:pPr>
              <w:spacing w:after="0"/>
            </w:pPr>
            <w:r/>
            <w:r>
              <w:rPr>
                <w:b w:val="0"/>
                <w:sz w:val="14"/>
              </w:rPr>
              <w:t>Stop current-state ambiguity and destructive drift.</w:t>
            </w:r>
          </w:p>
        </w:tc>
        <w:tc>
          <w:tcPr>
            <w:tcW w:type="dxa" w:w="4752"/>
            <w:vAlign w:val="top"/>
          </w:tcPr>
          <w:p>
            <w:pPr>
              <w:spacing w:after="0"/>
            </w:pPr>
            <w:r/>
            <w:r>
              <w:rPr>
                <w:b w:val="0"/>
                <w:sz w:val="14"/>
              </w:rPr>
              <w:t>Refresh current heads; bind chats to capability slices; freeze CVP horizons; quarantine deletions; classify Actions failures; create retirement manifests.</w:t>
            </w:r>
          </w:p>
        </w:tc>
        <w:tc>
          <w:tcPr>
            <w:tcW w:type="dxa" w:w="2304"/>
            <w:vAlign w:val="top"/>
          </w:tcPr>
          <w:p>
            <w:pPr>
              <w:spacing w:after="0"/>
            </w:pPr>
            <w:r/>
            <w:r>
              <w:rPr>
                <w:b w:val="0"/>
                <w:sz w:val="14"/>
              </w:rPr>
              <w:t>Every active slice has owner, target artifact, exact revision, acceptance gaps and next task.</w:t>
            </w:r>
          </w:p>
        </w:tc>
      </w:tr>
      <w:tr>
        <w:tc>
          <w:tcPr>
            <w:tcW w:type="dxa" w:w="1728"/>
            <w:vAlign w:val="top"/>
          </w:tcPr>
          <w:p>
            <w:pPr>
              <w:spacing w:after="0"/>
            </w:pPr>
            <w:r/>
            <w:r>
              <w:rPr>
                <w:b w:val="0"/>
                <w:sz w:val="14"/>
              </w:rPr>
              <w:t>W1 - First installed CVPs</w:t>
            </w:r>
          </w:p>
        </w:tc>
        <w:tc>
          <w:tcPr>
            <w:tcW w:type="dxa" w:w="2448"/>
            <w:vAlign w:val="top"/>
          </w:tcPr>
          <w:p>
            <w:pPr>
              <w:spacing w:after="0"/>
            </w:pPr>
            <w:r/>
            <w:r>
              <w:rPr>
                <w:b w:val="0"/>
                <w:sz w:val="14"/>
              </w:rPr>
              <w:t>Convert highest-value mature apps into real installable products.</w:t>
            </w:r>
          </w:p>
        </w:tc>
        <w:tc>
          <w:tcPr>
            <w:tcW w:type="dxa" w:w="4752"/>
            <w:vAlign w:val="top"/>
          </w:tcPr>
          <w:p>
            <w:pPr>
              <w:spacing w:after="0"/>
            </w:pPr>
            <w:r/>
            <w:r>
              <w:rPr>
                <w:b w:val="0"/>
                <w:sz w:val="14"/>
              </w:rPr>
              <w:t>Civis.app install/restart journey; AgilePlus desktop install/project workflow; ShareCLI packaged supervision journey.</w:t>
            </w:r>
          </w:p>
        </w:tc>
        <w:tc>
          <w:tcPr>
            <w:tcW w:type="dxa" w:w="2304"/>
            <w:vAlign w:val="top"/>
          </w:tcPr>
          <w:p>
            <w:pPr>
              <w:spacing w:after="0"/>
            </w:pPr>
            <w:r/>
            <w:r>
              <w:rPr>
                <w:b w:val="0"/>
                <w:sz w:val="14"/>
              </w:rPr>
              <w:t>At least 2 installed CVPs with artifact-bound evidence and feedback capture.</w:t>
            </w:r>
          </w:p>
        </w:tc>
      </w:tr>
      <w:tr>
        <w:tc>
          <w:tcPr>
            <w:tcW w:type="dxa" w:w="1728"/>
            <w:vAlign w:val="top"/>
          </w:tcPr>
          <w:p>
            <w:pPr>
              <w:spacing w:after="0"/>
            </w:pPr>
            <w:r/>
            <w:r>
              <w:rPr>
                <w:b w:val="0"/>
                <w:sz w:val="14"/>
              </w:rPr>
              <w:t>W2 - Composition proofs</w:t>
            </w:r>
          </w:p>
        </w:tc>
        <w:tc>
          <w:tcPr>
            <w:tcW w:type="dxa" w:w="2448"/>
            <w:vAlign w:val="top"/>
          </w:tcPr>
          <w:p>
            <w:pPr>
              <w:spacing w:after="0"/>
            </w:pPr>
            <w:r/>
            <w:r>
              <w:rPr>
                <w:b w:val="0"/>
                <w:sz w:val="14"/>
              </w:rPr>
              <w:t>Prove platform/runtime systems compose.</w:t>
            </w:r>
          </w:p>
        </w:tc>
        <w:tc>
          <w:tcPr>
            <w:tcW w:type="dxa" w:w="4752"/>
            <w:vAlign w:val="top"/>
          </w:tcPr>
          <w:p>
            <w:pPr>
              <w:spacing w:after="0"/>
            </w:pPr>
            <w:r/>
            <w:r>
              <w:rPr>
                <w:b w:val="0"/>
                <w:sz w:val="14"/>
              </w:rPr>
              <w:t>PhenoFabric two-node path; Tracera real datastore/auth/client; terminal-fabric secure capture service; BytePort&lt;-&gt;nanovms consumer parity.</w:t>
            </w:r>
          </w:p>
        </w:tc>
        <w:tc>
          <w:tcPr>
            <w:tcW w:type="dxa" w:w="2304"/>
            <w:vAlign w:val="top"/>
          </w:tcPr>
          <w:p>
            <w:pPr>
              <w:spacing w:after="0"/>
            </w:pPr>
            <w:r/>
            <w:r>
              <w:rPr>
                <w:b w:val="0"/>
                <w:sz w:val="14"/>
              </w:rPr>
              <w:t>Each system has one full real-data E2E path, not only contracts.</w:t>
            </w:r>
          </w:p>
        </w:tc>
      </w:tr>
      <w:tr>
        <w:tc>
          <w:tcPr>
            <w:tcW w:type="dxa" w:w="1728"/>
            <w:vAlign w:val="top"/>
          </w:tcPr>
          <w:p>
            <w:pPr>
              <w:spacing w:after="0"/>
            </w:pPr>
            <w:r/>
            <w:r>
              <w:rPr>
                <w:b w:val="0"/>
                <w:sz w:val="14"/>
              </w:rPr>
              <w:t>W3 - Semantic compression</w:t>
            </w:r>
          </w:p>
        </w:tc>
        <w:tc>
          <w:tcPr>
            <w:tcW w:type="dxa" w:w="2448"/>
            <w:vAlign w:val="top"/>
          </w:tcPr>
          <w:p>
            <w:pPr>
              <w:spacing w:after="0"/>
            </w:pPr>
            <w:r/>
            <w:r>
              <w:rPr>
                <w:b w:val="0"/>
                <w:sz w:val="14"/>
              </w:rPr>
              <w:t>Reduce code/repo complexity under equivalence tests.</w:t>
            </w:r>
          </w:p>
        </w:tc>
        <w:tc>
          <w:tcPr>
            <w:tcW w:type="dxa" w:w="4752"/>
            <w:vAlign w:val="top"/>
          </w:tcPr>
          <w:p>
            <w:pPr>
              <w:spacing w:after="0"/>
            </w:pPr>
            <w:r/>
            <w:r>
              <w:rPr>
                <w:b w:val="0"/>
                <w:sz w:val="14"/>
              </w:rPr>
              <w:t>Duplicate clusters; dead-code disposition; module/appet boundaries; remove migrated copies; dependency-cycle reduction.</w:t>
            </w:r>
          </w:p>
        </w:tc>
        <w:tc>
          <w:tcPr>
            <w:tcW w:type="dxa" w:w="2304"/>
            <w:vAlign w:val="top"/>
          </w:tcPr>
          <w:p>
            <w:pPr>
              <w:spacing w:after="0"/>
            </w:pPr>
            <w:r/>
            <w:r>
              <w:rPr>
                <w:b w:val="0"/>
                <w:sz w:val="14"/>
              </w:rPr>
              <w:t>Net complexity reduction with preserved behavioral evidence.</w:t>
            </w:r>
          </w:p>
        </w:tc>
      </w:tr>
      <w:tr>
        <w:tc>
          <w:tcPr>
            <w:tcW w:type="dxa" w:w="1728"/>
            <w:vAlign w:val="top"/>
          </w:tcPr>
          <w:p>
            <w:pPr>
              <w:spacing w:after="0"/>
            </w:pPr>
            <w:r/>
            <w:r>
              <w:rPr>
                <w:b w:val="0"/>
                <w:sz w:val="14"/>
              </w:rPr>
              <w:t>W4 - Lab/infra CVPs</w:t>
            </w:r>
          </w:p>
        </w:tc>
        <w:tc>
          <w:tcPr>
            <w:tcW w:type="dxa" w:w="2448"/>
            <w:vAlign w:val="top"/>
          </w:tcPr>
          <w:p>
            <w:pPr>
              <w:spacing w:after="0"/>
            </w:pPr>
            <w:r/>
            <w:r>
              <w:rPr>
                <w:b w:val="0"/>
                <w:sz w:val="14"/>
              </w:rPr>
              <w:t>Move maintenance-heavy repos to useful runnable outcomes.</w:t>
            </w:r>
          </w:p>
        </w:tc>
        <w:tc>
          <w:tcPr>
            <w:tcW w:type="dxa" w:w="4752"/>
            <w:vAlign w:val="top"/>
          </w:tcPr>
          <w:p>
            <w:pPr>
              <w:spacing w:after="0"/>
            </w:pPr>
            <w:r/>
            <w:r>
              <w:rPr>
                <w:b w:val="0"/>
                <w:sz w:val="14"/>
              </w:rPr>
              <w:t>Portage real evaluation job; PhenoLab reproducible benchmark; hwLedger install/probe/query; SDK clean consumer.</w:t>
            </w:r>
          </w:p>
        </w:tc>
        <w:tc>
          <w:tcPr>
            <w:tcW w:type="dxa" w:w="2304"/>
            <w:vAlign w:val="top"/>
          </w:tcPr>
          <w:p>
            <w:pPr>
              <w:spacing w:after="0"/>
            </w:pPr>
            <w:r/>
            <w:r>
              <w:rPr>
                <w:b w:val="0"/>
                <w:sz w:val="14"/>
              </w:rPr>
              <w:t>Each retained repo demonstrates its independent user/consumer value.</w:t>
            </w:r>
          </w:p>
        </w:tc>
      </w:tr>
      <w:tr>
        <w:tc>
          <w:tcPr>
            <w:tcW w:type="dxa" w:w="1728"/>
            <w:vAlign w:val="top"/>
          </w:tcPr>
          <w:p>
            <w:pPr>
              <w:spacing w:after="0"/>
            </w:pPr>
            <w:r/>
            <w:r>
              <w:rPr>
                <w:b w:val="0"/>
                <w:sz w:val="14"/>
              </w:rPr>
              <w:t>W5 - Portfolio terminalization</w:t>
            </w:r>
          </w:p>
        </w:tc>
        <w:tc>
          <w:tcPr>
            <w:tcW w:type="dxa" w:w="2448"/>
            <w:vAlign w:val="top"/>
          </w:tcPr>
          <w:p>
            <w:pPr>
              <w:spacing w:after="0"/>
            </w:pPr>
            <w:r/>
            <w:r>
              <w:rPr>
                <w:b w:val="0"/>
                <w:sz w:val="14"/>
              </w:rPr>
              <w:t>Safely finish retirement/consolidation.</w:t>
            </w:r>
          </w:p>
        </w:tc>
        <w:tc>
          <w:tcPr>
            <w:tcW w:type="dxa" w:w="4752"/>
            <w:vAlign w:val="top"/>
          </w:tcPr>
          <w:p>
            <w:pPr>
              <w:spacing w:after="0"/>
            </w:pPr>
            <w:r/>
            <w:r>
              <w:rPr>
                <w:b w:val="0"/>
                <w:sz w:val="14"/>
              </w:rPr>
              <w:t>Retention timers; restore drills; archive/tombstone consistency; successor links; public/docs routing.</w:t>
            </w:r>
          </w:p>
        </w:tc>
        <w:tc>
          <w:tcPr>
            <w:tcW w:type="dxa" w:w="2304"/>
            <w:vAlign w:val="top"/>
          </w:tcPr>
          <w:p>
            <w:pPr>
              <w:spacing w:after="0"/>
            </w:pPr>
            <w:r/>
            <w:r>
              <w:rPr>
                <w:b w:val="0"/>
                <w:sz w:val="14"/>
              </w:rPr>
              <w:t>Terminal states are reversible where policy requires and no active consumer is orphaned.</w:t>
            </w:r>
          </w:p>
        </w:tc>
      </w:tr>
    </w:tbl>
    <w:p>
      <w:pPr>
        <w:spacing w:after="0"/>
      </w:pPr>
    </w:p>
    <w:p>
      <w:pPr>
        <w:pStyle w:val="Heading2"/>
      </w:pPr>
      <w:r>
        <w:t>11.1 Admission policy</w:t>
      </w:r>
    </w:p>
    <w:p>
      <w:r>
        <w:t>Within a CVP-focused repository, do not start a new feature simply because a worker becomes available. Admit new breadth only when it is required by the accepted current horizon, fixes an observed defect, unblocks packaging, or closes an evidence/polish gap. Otherwise, put it in the next-horizon backlog and keep compressing toward installability.</w:t>
      </w:r>
    </w:p>
    <w:p>
      <w:pPr>
        <w:pStyle w:val="Heading1"/>
      </w:pPr>
      <w:r>
        <w:t>12. Agent handoff contract</w:t>
      </w:r>
    </w:p>
    <w:p>
      <w:r>
        <w:t>The following compact contract should be appended to active implementation chats. A separate Markdown copy is delivered with this report.</w:t>
      </w:r>
    </w:p>
    <w:p>
      <w:pPr>
        <w:spacing w:before="80" w:after="120"/>
        <w:ind w:left="360" w:right="360"/>
        <w:shd w:fill="F2F2F2"/>
      </w:pPr>
      <w:r>
        <w:rPr>
          <w:rFonts w:ascii="Courier New" w:hAnsi="Courier New"/>
          <w:sz w:val="16"/>
        </w:rPr>
        <w:t>You own a capability slice, not merely a branch or list of files.</w:t>
        <w:br/>
        <w:t>Your parent outcome is the repository's accepted CVP or retirement target.</w:t>
        <w:br/>
        <w:br/>
        <w:t>1. Reconcile current local + remote state before changing anything.</w:t>
        <w:br/>
        <w:t>2. Freeze the current CVP horizon. Do not expand breadth unless it closes an accepted gap.</w:t>
        <w:br/>
        <w:t>3. Prefer semantic compression: one canonical behavior, fewer concepts, fewer duplicate paths.</w:t>
        <w:br/>
        <w:t>4. Dead code is not allowed to linger unexplained:</w:t>
        <w:br/>
        <w:t xml:space="preserve">   - required now -&gt; wire/implement it;</w:t>
        <w:br/>
        <w:t xml:space="preserve">   - future only -&gt; preserve intent/spec, remove executable dead path;</w:t>
        <w:br/>
        <w:t xml:space="preserve">   - superseded -&gt; delete with history/provenance retained;</w:t>
        <w:br/>
        <w:t xml:space="preserve">   - unknown -&gt; investigate before deletion.</w:t>
        <w:br/>
        <w:t>5. Preserve hexagonal boundaries and express optional composition as recursive applets.</w:t>
        <w:br/>
        <w:t>6. For apps, do not stop at 'builds'. Produce the role-appropriate installed artifact.</w:t>
        <w:br/>
        <w:t xml:space="preserve">   macOS GUI target: .app outside the repo, LaunchServices/Spotlight discoverable.</w:t>
        <w:br/>
        <w:t>7. Run real installed-artifact journeys and capture evidence via phenotype-journeys.</w:t>
        <w:br/>
        <w:t>8. Independent QA floors: unit/integration/E2E/other applicable families &gt;=85%; critical obligations 100%.</w:t>
        <w:br/>
        <w:t>9. Do not claim product completion from test counts, screenshots, PR merge, or current-head CI alone.</w:t>
        <w:br/>
        <w:t>10. Classify every remaining blocker by owner and exact unblock action.</w:t>
        <w:br/>
        <w:t>11. Never permanently delete a fork-network repository. Ordinary agents may prepare retirement evidence and tombstones, not irreversible deletion.</w:t>
        <w:br/>
        <w:t>12. Report separately: working, published, integrated, verified, packaged, installed, released, adopted.</w:t>
        <w:br/>
        <w:br/>
        <w:t>Finish the smallest coherent CVP/retirement outcome before taking another slice.</w:t>
      </w:r>
    </w:p>
    <w:p>
      <w:pPr>
        <w:pStyle w:val="Heading1"/>
      </w:pPr>
      <w:r>
        <w:t>Appendix A - Evidence snapshot and observations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D9E2F3"/>
            <w:vAlign w:val="center"/>
          </w:tcPr>
          <w:p>
            <w:pPr>
              <w:spacing w:after="0"/>
            </w:pPr>
            <w:r/>
            <w:r>
              <w:rPr>
                <w:b/>
                <w:sz w:val="16"/>
              </w:rPr>
              <w:t>Observation</w:t>
            </w:r>
          </w:p>
        </w:tc>
        <w:tc>
          <w:tcPr>
            <w:tcW w:type="dxa" w:w="7488"/>
            <w:shd w:fill="D9E2F3"/>
            <w:vAlign w:val="center"/>
          </w:tcPr>
          <w:p>
            <w:pPr>
              <w:spacing w:after="0"/>
            </w:pPr>
            <w:r/>
            <w:r>
              <w:rPr>
                <w:b/>
                <w:sz w:val="16"/>
              </w:rPr>
              <w:t>Value / evidence</w:t>
            </w:r>
          </w:p>
        </w:tc>
      </w:tr>
      <w:tr>
        <w:tc>
          <w:tcPr>
            <w:tcW w:type="dxa" w:w="3168"/>
            <w:vAlign w:val="top"/>
          </w:tcPr>
          <w:p>
            <w:pPr>
              <w:spacing w:after="0"/>
            </w:pPr>
            <w:r/>
            <w:r>
              <w:rPr>
                <w:b w:val="0"/>
                <w:sz w:val="16"/>
              </w:rPr>
              <w:t>Fresh repo census</w:t>
            </w:r>
          </w:p>
        </w:tc>
        <w:tc>
          <w:tcPr>
            <w:tcW w:type="dxa" w:w="7488"/>
            <w:vAlign w:val="top"/>
          </w:tcPr>
          <w:p>
            <w:pPr>
              <w:spacing w:after="0"/>
            </w:pPr>
            <w:r/>
            <w:r>
              <w:rPr>
                <w:b w:val="0"/>
                <w:sz w:val="16"/>
              </w:rPr>
              <w:t>138 repositories returned by current owner search. Count is a snapshot, not a steady-state target.</w:t>
            </w:r>
          </w:p>
        </w:tc>
      </w:tr>
      <w:tr>
        <w:tc>
          <w:tcPr>
            <w:tcW w:type="dxa" w:w="3168"/>
            <w:vAlign w:val="top"/>
          </w:tcPr>
          <w:p>
            <w:pPr>
              <w:spacing w:after="0"/>
            </w:pPr>
            <w:r/>
            <w:r>
              <w:rPr>
                <w:b w:val="0"/>
                <w:sz w:val="16"/>
              </w:rPr>
              <w:t>Recently pushed breadth</w:t>
            </w:r>
          </w:p>
        </w:tc>
        <w:tc>
          <w:tcPr>
            <w:tcW w:type="dxa" w:w="7488"/>
            <w:vAlign w:val="top"/>
          </w:tcPr>
          <w:p>
            <w:pPr>
              <w:spacing w:after="0"/>
            </w:pPr>
            <w:r/>
            <w:r>
              <w:rPr>
                <w:b w:val="0"/>
                <w:sz w:val="16"/>
              </w:rPr>
              <w:t>101 of the 138 current repositories were returned by a pushed:&gt;=2026-09-12 search.</w:t>
            </w:r>
          </w:p>
        </w:tc>
      </w:tr>
      <w:tr>
        <w:tc>
          <w:tcPr>
            <w:tcW w:type="dxa" w:w="3168"/>
            <w:vAlign w:val="top"/>
          </w:tcPr>
          <w:p>
            <w:pPr>
              <w:spacing w:after="0"/>
            </w:pPr>
            <w:r/>
            <w:r>
              <w:rPr>
                <w:b w:val="0"/>
                <w:sz w:val="16"/>
              </w:rPr>
              <w:t>Merged PRs since prior cutoff</w:t>
            </w:r>
          </w:p>
        </w:tc>
        <w:tc>
          <w:tcPr>
            <w:tcW w:type="dxa" w:w="7488"/>
            <w:vAlign w:val="top"/>
          </w:tcPr>
          <w:p>
            <w:pPr>
              <w:spacing w:after="0"/>
            </w:pPr>
            <w:r/>
            <w:r>
              <w:rPr>
                <w:b w:val="0"/>
                <w:sz w:val="16"/>
              </w:rPr>
              <w:t>493 merged PRs in owned estate after the prior Sep 11 cutoff; 163 were authored by KooshaPari.</w:t>
            </w:r>
          </w:p>
        </w:tc>
      </w:tr>
      <w:tr>
        <w:tc>
          <w:tcPr>
            <w:tcW w:type="dxa" w:w="3168"/>
            <w:vAlign w:val="top"/>
          </w:tcPr>
          <w:p>
            <w:pPr>
              <w:spacing w:after="0"/>
            </w:pPr>
            <w:r/>
            <w:r>
              <w:rPr>
                <w:b w:val="0"/>
                <w:sz w:val="16"/>
              </w:rPr>
              <w:t>Civis latest sampled head</w:t>
            </w:r>
          </w:p>
        </w:tc>
        <w:tc>
          <w:tcPr>
            <w:tcW w:type="dxa" w:w="7488"/>
            <w:vAlign w:val="top"/>
          </w:tcPr>
          <w:p>
            <w:pPr>
              <w:spacing w:after="0"/>
            </w:pPr>
            <w:r/>
            <w:r>
              <w:rPr>
                <w:b w:val="0"/>
                <w:sz w:val="16"/>
              </w:rPr>
              <w:t>c1302e934fb77d15b70b848a01e1c1bca59e23ba - cross-platform builds, Civis.app job and E2E sandbox expansion.</w:t>
            </w:r>
          </w:p>
        </w:tc>
      </w:tr>
      <w:tr>
        <w:tc>
          <w:tcPr>
            <w:tcW w:type="dxa" w:w="3168"/>
            <w:vAlign w:val="top"/>
          </w:tcPr>
          <w:p>
            <w:pPr>
              <w:spacing w:after="0"/>
            </w:pPr>
            <w:r/>
            <w:r>
              <w:rPr>
                <w:b w:val="0"/>
                <w:sz w:val="16"/>
              </w:rPr>
              <w:t>Civis Actions at that head</w:t>
            </w:r>
          </w:p>
        </w:tc>
        <w:tc>
          <w:tcPr>
            <w:tcW w:type="dxa" w:w="7488"/>
            <w:vAlign w:val="top"/>
          </w:tcPr>
          <w:p>
            <w:pPr>
              <w:spacing w:after="0"/>
            </w:pPr>
            <w:r/>
            <w:r>
              <w:rPr>
                <w:b w:val="0"/>
                <w:sz w:val="16"/>
              </w:rPr>
              <w:t>20 runs observed: 14 success, 6 failure. First sampled failure is OpenSSF Scorecard; all failures still require per-gate classification.</w:t>
            </w:r>
          </w:p>
        </w:tc>
      </w:tr>
      <w:tr>
        <w:tc>
          <w:tcPr>
            <w:tcW w:type="dxa" w:w="3168"/>
            <w:vAlign w:val="top"/>
          </w:tcPr>
          <w:p>
            <w:pPr>
              <w:spacing w:after="0"/>
            </w:pPr>
            <w:r/>
            <w:r>
              <w:rPr>
                <w:b w:val="0"/>
                <w:sz w:val="16"/>
              </w:rPr>
              <w:t>Civis release state</w:t>
            </w:r>
          </w:p>
        </w:tc>
        <w:tc>
          <w:tcPr>
            <w:tcW w:type="dxa" w:w="7488"/>
            <w:vAlign w:val="top"/>
          </w:tcPr>
          <w:p>
            <w:pPr>
              <w:spacing w:after="0"/>
            </w:pPr>
            <w:r/>
            <w:r>
              <w:rPr>
                <w:b w:val="0"/>
                <w:sz w:val="16"/>
              </w:rPr>
              <w:t>Published v0.5.0 has CLI platform assets; current app-bundle work is newer than that release.</w:t>
            </w:r>
          </w:p>
        </w:tc>
      </w:tr>
      <w:tr>
        <w:tc>
          <w:tcPr>
            <w:tcW w:type="dxa" w:w="3168"/>
            <w:vAlign w:val="top"/>
          </w:tcPr>
          <w:p>
            <w:pPr>
              <w:spacing w:after="0"/>
            </w:pPr>
            <w:r/>
            <w:r>
              <w:rPr>
                <w:b w:val="0"/>
                <w:sz w:val="16"/>
              </w:rPr>
              <w:t>AgilePlus recent self-assessment</w:t>
            </w:r>
          </w:p>
        </w:tc>
        <w:tc>
          <w:tcPr>
            <w:tcW w:type="dxa" w:w="7488"/>
            <w:vAlign w:val="top"/>
          </w:tcPr>
          <w:p>
            <w:pPr>
              <w:spacing w:after="0"/>
            </w:pPr>
            <w:r/>
            <w:r>
              <w:rPr>
                <w:b w:val="0"/>
                <w:sz w:val="16"/>
              </w:rPr>
              <w:t>Reports packaging progress and 1,356 tests, while explicitly identifying missing coverage, transport, performance and full E2E evidence.</w:t>
            </w:r>
          </w:p>
        </w:tc>
      </w:tr>
      <w:tr>
        <w:tc>
          <w:tcPr>
            <w:tcW w:type="dxa" w:w="3168"/>
            <w:vAlign w:val="top"/>
          </w:tcPr>
          <w:p>
            <w:pPr>
              <w:spacing w:after="0"/>
            </w:pPr>
            <w:r/>
            <w:r>
              <w:rPr>
                <w:b w:val="0"/>
                <w:sz w:val="16"/>
              </w:rPr>
              <w:t>BytePort/NVMS boundary</w:t>
            </w:r>
          </w:p>
        </w:tc>
        <w:tc>
          <w:tcPr>
            <w:tcW w:type="dxa" w:w="7488"/>
            <w:vAlign w:val="top"/>
          </w:tcPr>
          <w:p>
            <w:pPr>
              <w:spacing w:after="0"/>
            </w:pPr>
            <w:r/>
            <w:r>
              <w:rPr>
                <w:b w:val="0"/>
                <w:sz w:val="16"/>
              </w:rPr>
              <w:t>BytePort removed local NVMS implementation after repoint; nanovms received FFI responsibility and boundary documentation.</w:t>
            </w:r>
          </w:p>
        </w:tc>
      </w:tr>
      <w:tr>
        <w:tc>
          <w:tcPr>
            <w:tcW w:type="dxa" w:w="3168"/>
            <w:vAlign w:val="top"/>
          </w:tcPr>
          <w:p>
            <w:pPr>
              <w:spacing w:after="0"/>
            </w:pPr>
            <w:r/>
            <w:r>
              <w:rPr>
                <w:b w:val="0"/>
                <w:sz w:val="16"/>
              </w:rPr>
              <w:t>Current lifecycle churn</w:t>
            </w:r>
          </w:p>
        </w:tc>
        <w:tc>
          <w:tcPr>
            <w:tcW w:type="dxa" w:w="7488"/>
            <w:vAlign w:val="top"/>
          </w:tcPr>
          <w:p>
            <w:pPr>
              <w:spacing w:after="0"/>
            </w:pPr>
            <w:r/>
            <w:r>
              <w:rPr>
                <w:b w:val="0"/>
                <w:sz w:val="16"/>
              </w:rPr>
              <w:t>Many current repositories now use zz-/zz-archive naming and/or GitHub archived state, with visible mismatches between name and archived metadata.</w:t>
            </w:r>
          </w:p>
        </w:tc>
      </w:tr>
    </w:tbl>
    <w:p>
      <w:pPr>
        <w:spacing w:after="0"/>
      </w:pPr>
    </w:p>
    <w:p>
      <w:pPr>
        <w:pStyle w:val="Heading1"/>
      </w:pPr>
      <w:r>
        <w:t>Appendix B - Decision rules</w:t>
      </w:r>
    </w:p>
    <w:p>
      <w:pPr>
        <w:pStyle w:val="ListBullet"/>
      </w:pPr>
      <w:r>
        <w:t>A repository is not “done” because a PR merged; the CVP/repository target is done only when its role-specific terminal acceptance record is complete.</w:t>
      </w:r>
    </w:p>
    <w:p>
      <w:pPr>
        <w:pStyle w:val="ListBullet"/>
      </w:pPr>
      <w:r>
        <w:t>A repository is not “safe to delete” because its code appears copied elsewhere; successor parity, consumers, provenance and restore must be proved.</w:t>
      </w:r>
    </w:p>
    <w:p>
      <w:pPr>
        <w:pStyle w:val="ListBullet"/>
      </w:pPr>
      <w:r>
        <w:t>A smaller codebase is not automatically better; simplification is accepted only when semantics/quality are preserved or intentionally changed through an explicit decision.</w:t>
      </w:r>
    </w:p>
    <w:p>
      <w:pPr>
        <w:pStyle w:val="ListBullet"/>
      </w:pPr>
      <w:r>
        <w:t>An applet is not automatically a repository. Prefer package/module composition until independent release, ownership, security or consumer boundaries justify extraction.</w:t>
      </w:r>
    </w:p>
    <w:p>
      <w:pPr>
        <w:pStyle w:val="ListBullet"/>
      </w:pPr>
      <w:r>
        <w:t>A high test count is not broad assurance. Use fixed denominators and independent unit/integration/E2E/other-family gates.</w:t>
      </w:r>
    </w:p>
    <w:p>
      <w:pPr>
        <w:pStyle w:val="ListBullet"/>
      </w:pPr>
      <w:r>
        <w:t>A beautiful marketing asset is not product evidence. Capture raw installed-product evidence first; derive presentation assets second.</w:t>
      </w:r>
    </w:p>
    <w:p>
      <w:pPr>
        <w:pStyle w:val="ListBullet"/>
      </w:pPr>
      <w:r>
        <w:t>A local build is not a release. Tested revision, package digest, installed artifact and published artifact identities must be traceable.</w:t>
      </w:r>
    </w:p>
    <w:p>
      <w:pPr>
        <w:pStyle w:val="Heading1"/>
      </w:pPr>
      <w:r>
        <w:t>Appendix C - Terminology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D9E2F3"/>
            <w:vAlign w:val="center"/>
          </w:tcPr>
          <w:p>
            <w:pPr>
              <w:spacing w:after="0"/>
            </w:pPr>
            <w:r/>
            <w:r>
              <w:rPr>
                <w:b/>
                <w:sz w:val="16"/>
              </w:rPr>
              <w:t>Term</w:t>
            </w:r>
          </w:p>
        </w:tc>
        <w:tc>
          <w:tcPr>
            <w:tcW w:type="dxa" w:w="8352"/>
            <w:shd w:fill="D9E2F3"/>
            <w:vAlign w:val="center"/>
          </w:tcPr>
          <w:p>
            <w:pPr>
              <w:spacing w:after="0"/>
            </w:pPr>
            <w:r/>
            <w:r>
              <w:rPr>
                <w:b/>
                <w:sz w:val="16"/>
              </w:rPr>
              <w:t>Definition</w:t>
            </w:r>
          </w:p>
        </w:tc>
      </w:tr>
      <w:tr>
        <w:tc>
          <w:tcPr>
            <w:tcW w:type="dxa" w:w="2304"/>
            <w:vAlign w:val="top"/>
          </w:tcPr>
          <w:p>
            <w:pPr>
              <w:spacing w:after="0"/>
            </w:pPr>
            <w:r/>
            <w:r>
              <w:rPr>
                <w:b w:val="0"/>
                <w:sz w:val="16"/>
              </w:rPr>
              <w:t>CVP</w:t>
            </w:r>
          </w:p>
        </w:tc>
        <w:tc>
          <w:tcPr>
            <w:tcW w:type="dxa" w:w="8352"/>
            <w:vAlign w:val="top"/>
          </w:tcPr>
          <w:p>
            <w:pPr>
              <w:spacing w:after="0"/>
            </w:pPr>
            <w:r/>
            <w:r>
              <w:rPr>
                <w:b w:val="0"/>
                <w:sz w:val="16"/>
              </w:rPr>
              <w:t>Current Viable Product: deployable/useful implementation of the accepted current horizon, without cutting away already-accepted current features.</w:t>
            </w:r>
          </w:p>
        </w:tc>
      </w:tr>
      <w:tr>
        <w:tc>
          <w:tcPr>
            <w:tcW w:type="dxa" w:w="2304"/>
            <w:vAlign w:val="top"/>
          </w:tcPr>
          <w:p>
            <w:pPr>
              <w:spacing w:after="0"/>
            </w:pPr>
            <w:r/>
            <w:r>
              <w:rPr>
                <w:b w:val="0"/>
                <w:sz w:val="16"/>
              </w:rPr>
              <w:t>Semantic compression</w:t>
            </w:r>
          </w:p>
        </w:tc>
        <w:tc>
          <w:tcPr>
            <w:tcW w:type="dxa" w:w="8352"/>
            <w:vAlign w:val="top"/>
          </w:tcPr>
          <w:p>
            <w:pPr>
              <w:spacing w:after="0"/>
            </w:pPr>
            <w:r/>
            <w:r>
              <w:rPr>
                <w:b w:val="0"/>
                <w:sz w:val="16"/>
              </w:rPr>
              <w:t>Reduction of code/concept/repository complexity while preserving accepted semantics and measured quality.</w:t>
            </w:r>
          </w:p>
        </w:tc>
      </w:tr>
      <w:tr>
        <w:tc>
          <w:tcPr>
            <w:tcW w:type="dxa" w:w="2304"/>
            <w:vAlign w:val="top"/>
          </w:tcPr>
          <w:p>
            <w:pPr>
              <w:spacing w:after="0"/>
            </w:pPr>
            <w:r/>
            <w:r>
              <w:rPr>
                <w:b w:val="0"/>
                <w:sz w:val="16"/>
              </w:rPr>
              <w:t>Applet</w:t>
            </w:r>
          </w:p>
        </w:tc>
        <w:tc>
          <w:tcPr>
            <w:tcW w:type="dxa" w:w="8352"/>
            <w:vAlign w:val="top"/>
          </w:tcPr>
          <w:p>
            <w:pPr>
              <w:spacing w:after="0"/>
            </w:pPr>
            <w:r/>
            <w:r>
              <w:rPr>
                <w:b w:val="0"/>
                <w:sz w:val="16"/>
              </w:rPr>
              <w:t>Recursively composable hexagonal capability unit with declared ports, state, permissions, resources and optional surfaces.</w:t>
            </w:r>
          </w:p>
        </w:tc>
      </w:tr>
      <w:tr>
        <w:tc>
          <w:tcPr>
            <w:tcW w:type="dxa" w:w="2304"/>
            <w:vAlign w:val="top"/>
          </w:tcPr>
          <w:p>
            <w:pPr>
              <w:spacing w:after="0"/>
            </w:pPr>
            <w:r/>
            <w:r>
              <w:rPr>
                <w:b w:val="0"/>
                <w:sz w:val="16"/>
              </w:rPr>
              <w:t>Tombstone</w:t>
            </w:r>
          </w:p>
        </w:tc>
        <w:tc>
          <w:tcPr>
            <w:tcW w:type="dxa" w:w="8352"/>
            <w:vAlign w:val="top"/>
          </w:tcPr>
          <w:p>
            <w:pPr>
              <w:spacing w:after="0"/>
            </w:pPr>
            <w:r/>
            <w:r>
              <w:rPr>
                <w:b w:val="0"/>
                <w:sz w:val="16"/>
              </w:rPr>
              <w:t>Preserved repository or lifecycle record that prevents new ownership while keeping provenance and restore capability.</w:t>
            </w:r>
          </w:p>
        </w:tc>
      </w:tr>
      <w:tr>
        <w:tc>
          <w:tcPr>
            <w:tcW w:type="dxa" w:w="2304"/>
            <w:vAlign w:val="top"/>
          </w:tcPr>
          <w:p>
            <w:pPr>
              <w:spacing w:after="0"/>
            </w:pPr>
            <w:r/>
            <w:r>
              <w:rPr>
                <w:b w:val="0"/>
                <w:sz w:val="16"/>
              </w:rPr>
              <w:t>Terminal disposition</w:t>
            </w:r>
          </w:p>
        </w:tc>
        <w:tc>
          <w:tcPr>
            <w:tcW w:type="dxa" w:w="8352"/>
            <w:vAlign w:val="top"/>
          </w:tcPr>
          <w:p>
            <w:pPr>
              <w:spacing w:after="0"/>
            </w:pPr>
            <w:r/>
            <w:r>
              <w:rPr>
                <w:b w:val="0"/>
                <w:sz w:val="16"/>
              </w:rPr>
              <w:t>Verified long-lived repository state: retained product/foundation, strategic fork, historical archive/tombstone, absorbed donor, or intentional retirement.</w:t>
            </w:r>
          </w:p>
        </w:tc>
      </w:tr>
    </w:tbl>
    <w:p>
      <w:pPr>
        <w:spacing w:after="0"/>
      </w:pPr>
    </w:p>
    <w:sectPr w:rsidR="00FC693F" w:rsidRPr="0006063C" w:rsidSect="00034616">
      <w:headerReference w:type="default" r:id="rId9"/>
      <w:footerReference w:type="default" r:id="rId10"/>
      <w:pgSz w:w="12240" w:h="15840"/>
      <w:pgMar w:top="936"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5"/>
      </w:rPr>
      <w:t xml:space="preserve">Internal engineering audit - evidence status is explicitly qualified.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5A5A"/>
        <w:sz w:val="16"/>
      </w:rPr>
      <w:t>Phenotype Portfolio CVP Audit | 2026-09-14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B556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