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4"/>
        </w:rPr>
        <w:t>Monetization Lens: Pressure Score</w:t>
      </w:r>
    </w:p>
    <w:p>
      <w:pPr>
        <w:jc w:val="center"/>
      </w:pPr>
      <w:r>
        <w:rPr>
          <w:rFonts w:ascii="Arial" w:hAnsi="Arial"/>
          <w:i/>
          <w:sz w:val="20"/>
        </w:rPr>
        <w:t>Подробная методология — русская версия</w:t>
      </w:r>
    </w:p>
    <w:p>
      <w:pPr>
        <w:pStyle w:val="Heading1"/>
      </w:pPr>
      <w:r>
        <w:t>1. Что измеряет Pressure Score</w:t>
      </w:r>
    </w:p>
    <w:p>
      <w:r>
        <w:t>Pressure Score (PS) показывает, насколько сильно монетизационная система игры использует механики давления на игрока. Transaction Weight описывает, что именно продаётся, а Pressure Score — как построена система, которая побуждает к покупке. Оценивается вся монетизационная система игры, а не отдельная транзакция.</w:t>
      </w:r>
    </w:p>
    <w:p>
      <w:r>
        <w:t>Например, наличие одного loot box само по себе не получает отдельный PS. Вместо этого мы смотрим, насколько Randomness важна для монетизации игры в целом, насколько часто такая механика предлагается и какую роль она играет относительно других способов продаж.</w:t>
      </w:r>
    </w:p>
    <w:p>
      <w:pPr>
        <w:pStyle w:val="Heading1"/>
      </w:pPr>
      <w:r>
        <w:t>2. Структура оценки</w:t>
      </w:r>
    </w:p>
    <w:p>
      <w:r>
        <w:t>Модель состоит из 10 факторов. Первые девять используют шкалу 0 / 0.5 / 1 / 1.5 / 2. Десятый фактор — Monetization Presence — имеет только два значения: 0 или 2.</w:t>
      </w:r>
    </w:p>
    <w:p>
      <w:pPr>
        <w:jc w:val="center"/>
      </w:pPr>
      <w:r>
        <w:rPr>
          <w:rFonts w:ascii="Cambria Math" w:hAnsi="Cambria Math"/>
          <w:b/>
          <w:sz w:val="22"/>
        </w:rPr>
        <w:t>Raw Pressure Score = сумма 10 факторов</w:t>
      </w:r>
    </w:p>
    <w:p>
      <w:pPr>
        <w:jc w:val="center"/>
      </w:pPr>
      <w:r>
        <w:rPr>
          <w:rFonts w:ascii="Cambria Math" w:hAnsi="Cambria Math"/>
          <w:b/>
          <w:sz w:val="22"/>
        </w:rPr>
        <w:t>Normalized Pressure Score = Raw Pressure Score / 20</w:t>
      </w:r>
    </w:p>
    <w:p>
      <w:r>
        <w:t>Максимум raw PS = 20. Нормализованный PS лежит от 0 до 1, или от 0% до 100%. Например, 10.5 / 20 = 0.525 = 52.5%.</w:t>
      </w:r>
    </w:p>
    <w:p>
      <w:pPr>
        <w:pStyle w:val="Heading1"/>
      </w:pPr>
      <w:r>
        <w:t>3. Почему именно эти факторы</w:t>
      </w:r>
    </w:p>
    <w:p>
      <w:r>
        <w:t>Факторы специально разделяют разные свойства монетизации: ограничение времени, случайность, непрозрачность цены, активное prompting, давление через прогресс, платное преимущество, социальное сравнение, completion loops и персонализацию предложений. Это позволяет не сводить всё к одному субъективному впечатлению «магазин агрессивный».</w:t>
      </w:r>
    </w:p>
    <w:p>
      <w:r>
        <w:t>Научные и регуляторные источники подтверждают, что такие практики реально существуют и могут влиять на покупательское поведение. Однако внешние источники не дают готовую шкалу 0-2. Шкала является собственной операционализацией Monetization Lens: факты из игры сопоставляются с заранее определёнными границами.</w:t>
      </w:r>
    </w:p>
    <w:p>
      <w:pPr>
        <w:pStyle w:val="Heading1"/>
      </w:pPr>
      <w:r>
        <w:t>4. Точные правила оценки факторов</w:t>
      </w:r>
    </w:p>
    <w:p>
      <w:pPr>
        <w:pStyle w:val="Heading2"/>
      </w:pPr>
      <w:r>
        <w:t>FOMO</w:t>
      </w:r>
    </w:p>
    <w:tbl>
      <w:tblPr>
        <w:tblStyle w:val="TableGrid"/>
        <w:tblW w:type="auto" w:w="0"/>
        <w:jc w:val="center"/>
        <w:tblLook w:firstColumn="1" w:firstRow="1" w:lastColumn="0" w:lastRow="0" w:noHBand="0" w:noVBand="1" w:val="04A0"/>
      </w:tblPr>
      <w:tblGrid>
        <w:gridCol w:w="5185"/>
        <w:gridCol w:w="5185"/>
      </w:tblGrid>
      <w:tr>
        <w:tc>
          <w:tcPr>
            <w:tcW w:type="dxa" w:w="5185"/>
            <w:vAlign w:val="center"/>
            <w:shd w:fill="D9E2F3"/>
          </w:tcPr>
          <w:p>
            <w:pPr>
              <w:spacing w:after="0"/>
            </w:pPr>
            <w:r/>
            <w:r>
              <w:rPr>
                <w:rFonts w:ascii="Arial" w:hAnsi="Arial"/>
                <w:b/>
                <w:sz w:val="15"/>
              </w:rPr>
              <w:t>Score</w:t>
            </w:r>
          </w:p>
        </w:tc>
        <w:tc>
          <w:tcPr>
            <w:tcW w:type="dxa" w:w="5185"/>
            <w:vAlign w:val="center"/>
            <w:shd w:fill="D9E2F3"/>
          </w:tcPr>
          <w:p>
            <w:pPr>
              <w:spacing w:after="0"/>
            </w:pPr>
            <w:r/>
            <w:r>
              <w:rPr>
                <w:rFonts w:ascii="Arial" w:hAnsi="Arial"/>
                <w:b/>
                <w:sz w:val="15"/>
              </w:rPr>
              <w:t>Rule</w:t>
            </w:r>
          </w:p>
        </w:tc>
      </w:tr>
      <w:tr>
        <w:tc>
          <w:tcPr>
            <w:tcW w:type="dxa" w:w="5185"/>
            <w:vAlign w:val="center"/>
          </w:tcPr>
          <w:p>
            <w:pPr>
              <w:spacing w:after="0"/>
            </w:pPr>
            <w:r/>
            <w:r>
              <w:rPr>
                <w:rFonts w:ascii="Arial" w:hAnsi="Arial"/>
                <w:b/>
                <w:sz w:val="15"/>
              </w:rPr>
              <w:t>0</w:t>
            </w:r>
          </w:p>
        </w:tc>
        <w:tc>
          <w:tcPr>
            <w:tcW w:type="dxa" w:w="5185"/>
            <w:vAlign w:val="center"/>
          </w:tcPr>
          <w:p>
            <w:pPr>
              <w:spacing w:after="0"/>
            </w:pPr>
            <w:r/>
            <w:r>
              <w:rPr>
                <w:rFonts w:ascii="Arial" w:hAnsi="Arial"/>
                <w:b w:val="0"/>
                <w:sz w:val="14"/>
              </w:rPr>
              <w:t>Платные предложения и предметы не ограничены по времени; их можно купить позже.</w:t>
            </w:r>
          </w:p>
        </w:tc>
      </w:tr>
      <w:tr>
        <w:tc>
          <w:tcPr>
            <w:tcW w:type="dxa" w:w="5185"/>
            <w:vAlign w:val="center"/>
          </w:tcPr>
          <w:p>
            <w:pPr>
              <w:spacing w:after="0"/>
            </w:pPr>
            <w:r/>
            <w:r>
              <w:rPr>
                <w:rFonts w:ascii="Arial" w:hAnsi="Arial"/>
                <w:b/>
                <w:sz w:val="15"/>
              </w:rPr>
              <w:t>0.5</w:t>
            </w:r>
          </w:p>
        </w:tc>
        <w:tc>
          <w:tcPr>
            <w:tcW w:type="dxa" w:w="5185"/>
            <w:vAlign w:val="center"/>
          </w:tcPr>
          <w:p>
            <w:pPr>
              <w:spacing w:after="0"/>
            </w:pPr>
            <w:r/>
            <w:r>
              <w:rPr>
                <w:rFonts w:ascii="Arial" w:hAnsi="Arial"/>
                <w:b w:val="0"/>
                <w:sz w:val="14"/>
              </w:rPr>
              <w:t>Ограниченные предложения существуют, но редки и не являются заметной частью магазина.</w:t>
            </w:r>
          </w:p>
        </w:tc>
      </w:tr>
      <w:tr>
        <w:tc>
          <w:tcPr>
            <w:tcW w:type="dxa" w:w="5185"/>
            <w:vAlign w:val="center"/>
          </w:tcPr>
          <w:p>
            <w:pPr>
              <w:spacing w:after="0"/>
            </w:pPr>
            <w:r/>
            <w:r>
              <w:rPr>
                <w:rFonts w:ascii="Arial" w:hAnsi="Arial"/>
                <w:b/>
                <w:sz w:val="15"/>
              </w:rPr>
              <w:t>1</w:t>
            </w:r>
          </w:p>
        </w:tc>
        <w:tc>
          <w:tcPr>
            <w:tcW w:type="dxa" w:w="5185"/>
            <w:vAlign w:val="center"/>
          </w:tcPr>
          <w:p>
            <w:pPr>
              <w:spacing w:after="0"/>
            </w:pPr>
            <w:r/>
            <w:r>
              <w:rPr>
                <w:rFonts w:ascii="Arial" w:hAnsi="Arial"/>
                <w:b w:val="0"/>
                <w:sz w:val="14"/>
              </w:rPr>
              <w:t>Временные или эксклюзивные предложения появляются регулярно, но большая часть магазина постоянна.</w:t>
            </w:r>
          </w:p>
        </w:tc>
      </w:tr>
      <w:tr>
        <w:tc>
          <w:tcPr>
            <w:tcW w:type="dxa" w:w="5185"/>
            <w:vAlign w:val="center"/>
          </w:tcPr>
          <w:p>
            <w:pPr>
              <w:spacing w:after="0"/>
            </w:pPr>
            <w:r/>
            <w:r>
              <w:rPr>
                <w:rFonts w:ascii="Arial" w:hAnsi="Arial"/>
                <w:b/>
                <w:sz w:val="15"/>
              </w:rPr>
              <w:t>1.5</w:t>
            </w:r>
          </w:p>
        </w:tc>
        <w:tc>
          <w:tcPr>
            <w:tcW w:type="dxa" w:w="5185"/>
            <w:vAlign w:val="center"/>
          </w:tcPr>
          <w:p>
            <w:pPr>
              <w:spacing w:after="0"/>
            </w:pPr>
            <w:r/>
            <w:r>
              <w:rPr>
                <w:rFonts w:ascii="Arial" w:hAnsi="Arial"/>
                <w:b w:val="0"/>
                <w:sz w:val="14"/>
              </w:rPr>
              <w:t>Значительная часть монетизации связана с сезонами, ротациями, ограниченными предметами или таймерами.</w:t>
            </w:r>
          </w:p>
        </w:tc>
      </w:tr>
      <w:tr>
        <w:tc>
          <w:tcPr>
            <w:tcW w:type="dxa" w:w="5185"/>
            <w:vAlign w:val="center"/>
          </w:tcPr>
          <w:p>
            <w:pPr>
              <w:spacing w:after="0"/>
            </w:pPr>
            <w:r/>
            <w:r>
              <w:rPr>
                <w:rFonts w:ascii="Arial" w:hAnsi="Arial"/>
                <w:b/>
                <w:sz w:val="15"/>
              </w:rPr>
              <w:t>2</w:t>
            </w:r>
          </w:p>
        </w:tc>
        <w:tc>
          <w:tcPr>
            <w:tcW w:type="dxa" w:w="5185"/>
            <w:vAlign w:val="center"/>
          </w:tcPr>
          <w:p>
            <w:pPr>
              <w:spacing w:after="0"/>
            </w:pPr>
            <w:r/>
            <w:r>
              <w:rPr>
                <w:rFonts w:ascii="Arial" w:hAnsi="Arial"/>
                <w:b w:val="0"/>
                <w:sz w:val="14"/>
              </w:rPr>
              <w:t>FOMO является центральной механикой монетизации: постоянные ротации, короткие таймеры, сезонные эксклюзивы и регулярное исчезновение платного контента.</w:t>
            </w:r>
          </w:p>
        </w:tc>
      </w:tr>
    </w:tbl>
    <w:p>
      <w:pPr>
        <w:pStyle w:val="Heading2"/>
      </w:pPr>
      <w:r>
        <w:t>Randomness</w:t>
      </w:r>
    </w:p>
    <w:tbl>
      <w:tblPr>
        <w:tblStyle w:val="TableGrid"/>
        <w:tblW w:type="auto" w:w="0"/>
        <w:jc w:val="center"/>
        <w:tblLook w:firstColumn="1" w:firstRow="1" w:lastColumn="0" w:lastRow="0" w:noHBand="0" w:noVBand="1" w:val="04A0"/>
      </w:tblPr>
      <w:tblGrid>
        <w:gridCol w:w="5185"/>
        <w:gridCol w:w="5185"/>
      </w:tblGrid>
      <w:tr>
        <w:tc>
          <w:tcPr>
            <w:tcW w:type="dxa" w:w="5185"/>
            <w:vAlign w:val="center"/>
            <w:shd w:fill="D9E2F3"/>
          </w:tcPr>
          <w:p>
            <w:pPr>
              <w:spacing w:after="0"/>
            </w:pPr>
            <w:r/>
            <w:r>
              <w:rPr>
                <w:rFonts w:ascii="Arial" w:hAnsi="Arial"/>
                <w:b/>
                <w:sz w:val="15"/>
              </w:rPr>
              <w:t>Score</w:t>
            </w:r>
          </w:p>
        </w:tc>
        <w:tc>
          <w:tcPr>
            <w:tcW w:type="dxa" w:w="5185"/>
            <w:vAlign w:val="center"/>
            <w:shd w:fill="D9E2F3"/>
          </w:tcPr>
          <w:p>
            <w:pPr>
              <w:spacing w:after="0"/>
            </w:pPr>
            <w:r/>
            <w:r>
              <w:rPr>
                <w:rFonts w:ascii="Arial" w:hAnsi="Arial"/>
                <w:b/>
                <w:sz w:val="15"/>
              </w:rPr>
              <w:t>Rule</w:t>
            </w:r>
          </w:p>
        </w:tc>
      </w:tr>
      <w:tr>
        <w:tc>
          <w:tcPr>
            <w:tcW w:type="dxa" w:w="5185"/>
            <w:vAlign w:val="center"/>
          </w:tcPr>
          <w:p>
            <w:pPr>
              <w:spacing w:after="0"/>
            </w:pPr>
            <w:r/>
            <w:r>
              <w:rPr>
                <w:rFonts w:ascii="Arial" w:hAnsi="Arial"/>
                <w:b/>
                <w:sz w:val="15"/>
              </w:rPr>
              <w:t>0</w:t>
            </w:r>
          </w:p>
        </w:tc>
        <w:tc>
          <w:tcPr>
            <w:tcW w:type="dxa" w:w="5185"/>
            <w:vAlign w:val="center"/>
          </w:tcPr>
          <w:p>
            <w:pPr>
              <w:spacing w:after="0"/>
            </w:pPr>
            <w:r/>
            <w:r>
              <w:rPr>
                <w:rFonts w:ascii="Arial" w:hAnsi="Arial"/>
                <w:b w:val="0"/>
                <w:sz w:val="14"/>
              </w:rPr>
              <w:t>Платных механик со случайным результатом нет.</w:t>
            </w:r>
          </w:p>
        </w:tc>
      </w:tr>
      <w:tr>
        <w:tc>
          <w:tcPr>
            <w:tcW w:type="dxa" w:w="5185"/>
            <w:vAlign w:val="center"/>
          </w:tcPr>
          <w:p>
            <w:pPr>
              <w:spacing w:after="0"/>
            </w:pPr>
            <w:r/>
            <w:r>
              <w:rPr>
                <w:rFonts w:ascii="Arial" w:hAnsi="Arial"/>
                <w:b/>
                <w:sz w:val="15"/>
              </w:rPr>
              <w:t>0.5</w:t>
            </w:r>
          </w:p>
        </w:tc>
        <w:tc>
          <w:tcPr>
            <w:tcW w:type="dxa" w:w="5185"/>
            <w:vAlign w:val="center"/>
          </w:tcPr>
          <w:p>
            <w:pPr>
              <w:spacing w:after="0"/>
            </w:pPr>
            <w:r/>
            <w:r>
              <w:rPr>
                <w:rFonts w:ascii="Arial" w:hAnsi="Arial"/>
                <w:b w:val="0"/>
                <w:sz w:val="14"/>
              </w:rPr>
              <w:t>Они существуют, но являются незначительной частью монетизации.</w:t>
            </w:r>
          </w:p>
        </w:tc>
      </w:tr>
      <w:tr>
        <w:tc>
          <w:tcPr>
            <w:tcW w:type="dxa" w:w="5185"/>
            <w:vAlign w:val="center"/>
          </w:tcPr>
          <w:p>
            <w:pPr>
              <w:spacing w:after="0"/>
            </w:pPr>
            <w:r/>
            <w:r>
              <w:rPr>
                <w:rFonts w:ascii="Arial" w:hAnsi="Arial"/>
                <w:b/>
                <w:sz w:val="15"/>
              </w:rPr>
              <w:t>1</w:t>
            </w:r>
          </w:p>
        </w:tc>
        <w:tc>
          <w:tcPr>
            <w:tcW w:type="dxa" w:w="5185"/>
            <w:vAlign w:val="center"/>
          </w:tcPr>
          <w:p>
            <w:pPr>
              <w:spacing w:after="0"/>
            </w:pPr>
            <w:r/>
            <w:r>
              <w:rPr>
                <w:rFonts w:ascii="Arial" w:hAnsi="Arial"/>
                <w:b w:val="0"/>
                <w:sz w:val="14"/>
              </w:rPr>
              <w:t>Случайные покупки регулярно присутствуют, но не являются главным способом монетизации.</w:t>
            </w:r>
          </w:p>
        </w:tc>
      </w:tr>
      <w:tr>
        <w:tc>
          <w:tcPr>
            <w:tcW w:type="dxa" w:w="5185"/>
            <w:vAlign w:val="center"/>
          </w:tcPr>
          <w:p>
            <w:pPr>
              <w:spacing w:after="0"/>
            </w:pPr>
            <w:r/>
            <w:r>
              <w:rPr>
                <w:rFonts w:ascii="Arial" w:hAnsi="Arial"/>
                <w:b/>
                <w:sz w:val="15"/>
              </w:rPr>
              <w:t>1.5</w:t>
            </w:r>
          </w:p>
        </w:tc>
        <w:tc>
          <w:tcPr>
            <w:tcW w:type="dxa" w:w="5185"/>
            <w:vAlign w:val="center"/>
          </w:tcPr>
          <w:p>
            <w:pPr>
              <w:spacing w:after="0"/>
            </w:pPr>
            <w:r/>
            <w:r>
              <w:rPr>
                <w:rFonts w:ascii="Arial" w:hAnsi="Arial"/>
                <w:b w:val="0"/>
                <w:sz w:val="14"/>
              </w:rPr>
              <w:t>Gacha, loot boxes или другие случайные покупки — один из основных компонентов монетизации и регулярно продвигаются.</w:t>
            </w:r>
          </w:p>
        </w:tc>
      </w:tr>
      <w:tr>
        <w:tc>
          <w:tcPr>
            <w:tcW w:type="dxa" w:w="5185"/>
            <w:vAlign w:val="center"/>
          </w:tcPr>
          <w:p>
            <w:pPr>
              <w:spacing w:after="0"/>
            </w:pPr>
            <w:r/>
            <w:r>
              <w:rPr>
                <w:rFonts w:ascii="Arial" w:hAnsi="Arial"/>
                <w:b/>
                <w:sz w:val="15"/>
              </w:rPr>
              <w:t>2</w:t>
            </w:r>
          </w:p>
        </w:tc>
        <w:tc>
          <w:tcPr>
            <w:tcW w:type="dxa" w:w="5185"/>
            <w:vAlign w:val="center"/>
          </w:tcPr>
          <w:p>
            <w:pPr>
              <w:spacing w:after="0"/>
            </w:pPr>
            <w:r/>
            <w:r>
              <w:rPr>
                <w:rFonts w:ascii="Arial" w:hAnsi="Arial"/>
                <w:b w:val="0"/>
                <w:sz w:val="14"/>
              </w:rPr>
              <w:t>Монетизация в значительной степени построена вокруг gacha, loot boxes, random packs или других покупок со случайным результатом.</w:t>
            </w:r>
          </w:p>
        </w:tc>
      </w:tr>
    </w:tbl>
    <w:p>
      <w:pPr>
        <w:pStyle w:val="Heading2"/>
      </w:pPr>
      <w:r>
        <w:t>Price Obscurity</w:t>
      </w:r>
    </w:p>
    <w:tbl>
      <w:tblPr>
        <w:tblStyle w:val="TableGrid"/>
        <w:tblW w:type="auto" w:w="0"/>
        <w:jc w:val="center"/>
        <w:tblLook w:firstColumn="1" w:firstRow="1" w:lastColumn="0" w:lastRow="0" w:noHBand="0" w:noVBand="1" w:val="04A0"/>
      </w:tblPr>
      <w:tblGrid>
        <w:gridCol w:w="5185"/>
        <w:gridCol w:w="5185"/>
      </w:tblGrid>
      <w:tr>
        <w:tc>
          <w:tcPr>
            <w:tcW w:type="dxa" w:w="5185"/>
            <w:vAlign w:val="center"/>
            <w:shd w:fill="D9E2F3"/>
          </w:tcPr>
          <w:p>
            <w:pPr>
              <w:spacing w:after="0"/>
            </w:pPr>
            <w:r/>
            <w:r>
              <w:rPr>
                <w:rFonts w:ascii="Arial" w:hAnsi="Arial"/>
                <w:b/>
                <w:sz w:val="15"/>
              </w:rPr>
              <w:t>Score</w:t>
            </w:r>
          </w:p>
        </w:tc>
        <w:tc>
          <w:tcPr>
            <w:tcW w:type="dxa" w:w="5185"/>
            <w:vAlign w:val="center"/>
            <w:shd w:fill="D9E2F3"/>
          </w:tcPr>
          <w:p>
            <w:pPr>
              <w:spacing w:after="0"/>
            </w:pPr>
            <w:r/>
            <w:r>
              <w:rPr>
                <w:rFonts w:ascii="Arial" w:hAnsi="Arial"/>
                <w:b/>
                <w:sz w:val="15"/>
              </w:rPr>
              <w:t>Rule</w:t>
            </w:r>
          </w:p>
        </w:tc>
      </w:tr>
      <w:tr>
        <w:tc>
          <w:tcPr>
            <w:tcW w:type="dxa" w:w="5185"/>
            <w:vAlign w:val="center"/>
          </w:tcPr>
          <w:p>
            <w:pPr>
              <w:spacing w:after="0"/>
            </w:pPr>
            <w:r/>
            <w:r>
              <w:rPr>
                <w:rFonts w:ascii="Arial" w:hAnsi="Arial"/>
                <w:b/>
                <w:sz w:val="15"/>
              </w:rPr>
              <w:t>0</w:t>
            </w:r>
          </w:p>
        </w:tc>
        <w:tc>
          <w:tcPr>
            <w:tcW w:type="dxa" w:w="5185"/>
            <w:vAlign w:val="center"/>
          </w:tcPr>
          <w:p>
            <w:pPr>
              <w:spacing w:after="0"/>
            </w:pPr>
            <w:r/>
            <w:r>
              <w:rPr>
                <w:rFonts w:ascii="Arial" w:hAnsi="Arial"/>
                <w:b w:val="0"/>
                <w:sz w:val="14"/>
              </w:rPr>
              <w:t>Большинство цен показано непосредственно в реальных деньгах.</w:t>
            </w:r>
          </w:p>
        </w:tc>
      </w:tr>
      <w:tr>
        <w:tc>
          <w:tcPr>
            <w:tcW w:type="dxa" w:w="5185"/>
            <w:vAlign w:val="center"/>
          </w:tcPr>
          <w:p>
            <w:pPr>
              <w:spacing w:after="0"/>
            </w:pPr>
            <w:r/>
            <w:r>
              <w:rPr>
                <w:rFonts w:ascii="Arial" w:hAnsi="Arial"/>
                <w:b/>
                <w:sz w:val="15"/>
              </w:rPr>
              <w:t>0.5</w:t>
            </w:r>
          </w:p>
        </w:tc>
        <w:tc>
          <w:tcPr>
            <w:tcW w:type="dxa" w:w="5185"/>
            <w:vAlign w:val="center"/>
          </w:tcPr>
          <w:p>
            <w:pPr>
              <w:spacing w:after="0"/>
            </w:pPr>
            <w:r/>
            <w:r>
              <w:rPr>
                <w:rFonts w:ascii="Arial" w:hAnsi="Arial"/>
                <w:b w:val="0"/>
                <w:sz w:val="14"/>
              </w:rPr>
              <w:t>Используется одна виртуальная валюта с простым и очевидным пересчётом.</w:t>
            </w:r>
          </w:p>
        </w:tc>
      </w:tr>
      <w:tr>
        <w:tc>
          <w:tcPr>
            <w:tcW w:type="dxa" w:w="5185"/>
            <w:vAlign w:val="center"/>
          </w:tcPr>
          <w:p>
            <w:pPr>
              <w:spacing w:after="0"/>
            </w:pPr>
            <w:r/>
            <w:r>
              <w:rPr>
                <w:rFonts w:ascii="Arial" w:hAnsi="Arial"/>
                <w:b/>
                <w:sz w:val="15"/>
              </w:rPr>
              <w:t>1</w:t>
            </w:r>
          </w:p>
        </w:tc>
        <w:tc>
          <w:tcPr>
            <w:tcW w:type="dxa" w:w="5185"/>
            <w:vAlign w:val="center"/>
          </w:tcPr>
          <w:p>
            <w:pPr>
              <w:spacing w:after="0"/>
            </w:pPr>
            <w:r/>
            <w:r>
              <w:rPr>
                <w:rFonts w:ascii="Arial" w:hAnsi="Arial"/>
                <w:b w:val="0"/>
                <w:sz w:val="14"/>
              </w:rPr>
              <w:t>Для понимания реальной цены регулярно требуется пересчёт из виртуальной валюты.</w:t>
            </w:r>
          </w:p>
        </w:tc>
      </w:tr>
      <w:tr>
        <w:tc>
          <w:tcPr>
            <w:tcW w:type="dxa" w:w="5185"/>
            <w:vAlign w:val="center"/>
          </w:tcPr>
          <w:p>
            <w:pPr>
              <w:spacing w:after="0"/>
            </w:pPr>
            <w:r/>
            <w:r>
              <w:rPr>
                <w:rFonts w:ascii="Arial" w:hAnsi="Arial"/>
                <w:b/>
                <w:sz w:val="15"/>
              </w:rPr>
              <w:t>1.5</w:t>
            </w:r>
          </w:p>
        </w:tc>
        <w:tc>
          <w:tcPr>
            <w:tcW w:type="dxa" w:w="5185"/>
            <w:vAlign w:val="center"/>
          </w:tcPr>
          <w:p>
            <w:pPr>
              <w:spacing w:after="0"/>
            </w:pPr>
            <w:r/>
            <w:r>
              <w:rPr>
                <w:rFonts w:ascii="Arial" w:hAnsi="Arial"/>
                <w:b w:val="0"/>
                <w:sz w:val="14"/>
              </w:rPr>
              <w:t>Пакеты валюты не совпадают с ценами товаров, остаются остатки, используются бонусные суммы или неудобные номиналы.</w:t>
            </w:r>
          </w:p>
        </w:tc>
      </w:tr>
      <w:tr>
        <w:tc>
          <w:tcPr>
            <w:tcW w:type="dxa" w:w="5185"/>
            <w:vAlign w:val="center"/>
          </w:tcPr>
          <w:p>
            <w:pPr>
              <w:spacing w:after="0"/>
            </w:pPr>
            <w:r/>
            <w:r>
              <w:rPr>
                <w:rFonts w:ascii="Arial" w:hAnsi="Arial"/>
                <w:b/>
                <w:sz w:val="15"/>
              </w:rPr>
              <w:t>2</w:t>
            </w:r>
          </w:p>
        </w:tc>
        <w:tc>
          <w:tcPr>
            <w:tcW w:type="dxa" w:w="5185"/>
            <w:vAlign w:val="center"/>
          </w:tcPr>
          <w:p>
            <w:pPr>
              <w:spacing w:after="0"/>
            </w:pPr>
            <w:r/>
            <w:r>
              <w:rPr>
                <w:rFonts w:ascii="Arial" w:hAnsi="Arial"/>
                <w:b w:val="0"/>
                <w:sz w:val="14"/>
              </w:rPr>
              <w:t>Систематически используются несколько валют или несколько уровней конвертации, из-за чего реальную стоимость трудно определить.</w:t>
            </w:r>
          </w:p>
        </w:tc>
      </w:tr>
    </w:tbl>
    <w:p>
      <w:pPr>
        <w:pStyle w:val="Heading2"/>
      </w:pPr>
      <w:r>
        <w:t>Purchase Prompting</w:t>
      </w:r>
    </w:p>
    <w:tbl>
      <w:tblPr>
        <w:tblStyle w:val="TableGrid"/>
        <w:tblW w:type="auto" w:w="0"/>
        <w:jc w:val="center"/>
        <w:tblLook w:firstColumn="1" w:firstRow="1" w:lastColumn="0" w:lastRow="0" w:noHBand="0" w:noVBand="1" w:val="04A0"/>
      </w:tblPr>
      <w:tblGrid>
        <w:gridCol w:w="5185"/>
        <w:gridCol w:w="5185"/>
      </w:tblGrid>
      <w:tr>
        <w:tc>
          <w:tcPr>
            <w:tcW w:type="dxa" w:w="5185"/>
            <w:vAlign w:val="center"/>
            <w:shd w:fill="D9E2F3"/>
          </w:tcPr>
          <w:p>
            <w:pPr>
              <w:spacing w:after="0"/>
            </w:pPr>
            <w:r/>
            <w:r>
              <w:rPr>
                <w:rFonts w:ascii="Arial" w:hAnsi="Arial"/>
                <w:b/>
                <w:sz w:val="15"/>
              </w:rPr>
              <w:t>Score</w:t>
            </w:r>
          </w:p>
        </w:tc>
        <w:tc>
          <w:tcPr>
            <w:tcW w:type="dxa" w:w="5185"/>
            <w:vAlign w:val="center"/>
            <w:shd w:fill="D9E2F3"/>
          </w:tcPr>
          <w:p>
            <w:pPr>
              <w:spacing w:after="0"/>
            </w:pPr>
            <w:r/>
            <w:r>
              <w:rPr>
                <w:rFonts w:ascii="Arial" w:hAnsi="Arial"/>
                <w:b/>
                <w:sz w:val="15"/>
              </w:rPr>
              <w:t>Rule</w:t>
            </w:r>
          </w:p>
        </w:tc>
      </w:tr>
      <w:tr>
        <w:tc>
          <w:tcPr>
            <w:tcW w:type="dxa" w:w="5185"/>
            <w:vAlign w:val="center"/>
          </w:tcPr>
          <w:p>
            <w:pPr>
              <w:spacing w:after="0"/>
            </w:pPr>
            <w:r/>
            <w:r>
              <w:rPr>
                <w:rFonts w:ascii="Arial" w:hAnsi="Arial"/>
                <w:b/>
                <w:sz w:val="15"/>
              </w:rPr>
              <w:t>0</w:t>
            </w:r>
          </w:p>
        </w:tc>
        <w:tc>
          <w:tcPr>
            <w:tcW w:type="dxa" w:w="5185"/>
            <w:vAlign w:val="center"/>
          </w:tcPr>
          <w:p>
            <w:pPr>
              <w:spacing w:after="0"/>
            </w:pPr>
            <w:r/>
            <w:r>
              <w:rPr>
                <w:rFonts w:ascii="Arial" w:hAnsi="Arial"/>
                <w:b w:val="0"/>
                <w:sz w:val="14"/>
              </w:rPr>
              <w:t>Игра почти не продвигает покупки во время обычной игры.</w:t>
            </w:r>
          </w:p>
        </w:tc>
      </w:tr>
      <w:tr>
        <w:tc>
          <w:tcPr>
            <w:tcW w:type="dxa" w:w="5185"/>
            <w:vAlign w:val="center"/>
          </w:tcPr>
          <w:p>
            <w:pPr>
              <w:spacing w:after="0"/>
            </w:pPr>
            <w:r/>
            <w:r>
              <w:rPr>
                <w:rFonts w:ascii="Arial" w:hAnsi="Arial"/>
                <w:b/>
                <w:sz w:val="15"/>
              </w:rPr>
              <w:t>0.5</w:t>
            </w:r>
          </w:p>
        </w:tc>
        <w:tc>
          <w:tcPr>
            <w:tcW w:type="dxa" w:w="5185"/>
            <w:vAlign w:val="center"/>
          </w:tcPr>
          <w:p>
            <w:pPr>
              <w:spacing w:after="0"/>
            </w:pPr>
            <w:r/>
            <w:r>
              <w:rPr>
                <w:rFonts w:ascii="Arial" w:hAnsi="Arial"/>
                <w:b w:val="0"/>
                <w:sz w:val="14"/>
              </w:rPr>
              <w:t>Магазин существует, но игрок обычно должен сам открыть его.</w:t>
            </w:r>
          </w:p>
        </w:tc>
      </w:tr>
      <w:tr>
        <w:tc>
          <w:tcPr>
            <w:tcW w:type="dxa" w:w="5185"/>
            <w:vAlign w:val="center"/>
          </w:tcPr>
          <w:p>
            <w:pPr>
              <w:spacing w:after="0"/>
            </w:pPr>
            <w:r/>
            <w:r>
              <w:rPr>
                <w:rFonts w:ascii="Arial" w:hAnsi="Arial"/>
                <w:b/>
                <w:sz w:val="15"/>
              </w:rPr>
              <w:t>1</w:t>
            </w:r>
          </w:p>
        </w:tc>
        <w:tc>
          <w:tcPr>
            <w:tcW w:type="dxa" w:w="5185"/>
            <w:vAlign w:val="center"/>
          </w:tcPr>
          <w:p>
            <w:pPr>
              <w:spacing w:after="0"/>
            </w:pPr>
            <w:r/>
            <w:r>
              <w:rPr>
                <w:rFonts w:ascii="Arial" w:hAnsi="Arial"/>
                <w:b w:val="0"/>
                <w:sz w:val="14"/>
              </w:rPr>
              <w:t>Предложения регулярно видны в меню, лобби или на основных экранах.</w:t>
            </w:r>
          </w:p>
        </w:tc>
      </w:tr>
      <w:tr>
        <w:tc>
          <w:tcPr>
            <w:tcW w:type="dxa" w:w="5185"/>
            <w:vAlign w:val="center"/>
          </w:tcPr>
          <w:p>
            <w:pPr>
              <w:spacing w:after="0"/>
            </w:pPr>
            <w:r/>
            <w:r>
              <w:rPr>
                <w:rFonts w:ascii="Arial" w:hAnsi="Arial"/>
                <w:b/>
                <w:sz w:val="15"/>
              </w:rPr>
              <w:t>1.5</w:t>
            </w:r>
          </w:p>
        </w:tc>
        <w:tc>
          <w:tcPr>
            <w:tcW w:type="dxa" w:w="5185"/>
            <w:vAlign w:val="center"/>
          </w:tcPr>
          <w:p>
            <w:pPr>
              <w:spacing w:after="0"/>
            </w:pPr>
            <w:r/>
            <w:r>
              <w:rPr>
                <w:rFonts w:ascii="Arial" w:hAnsi="Arial"/>
                <w:b w:val="0"/>
                <w:sz w:val="14"/>
              </w:rPr>
              <w:t>Часто появляются pop-ups, рекламные экраны, напоминания или специальные баннеры.</w:t>
            </w:r>
          </w:p>
        </w:tc>
      </w:tr>
      <w:tr>
        <w:tc>
          <w:tcPr>
            <w:tcW w:type="dxa" w:w="5185"/>
            <w:vAlign w:val="center"/>
          </w:tcPr>
          <w:p>
            <w:pPr>
              <w:spacing w:after="0"/>
            </w:pPr>
            <w:r/>
            <w:r>
              <w:rPr>
                <w:rFonts w:ascii="Arial" w:hAnsi="Arial"/>
                <w:b/>
                <w:sz w:val="15"/>
              </w:rPr>
              <w:t>2</w:t>
            </w:r>
          </w:p>
        </w:tc>
        <w:tc>
          <w:tcPr>
            <w:tcW w:type="dxa" w:w="5185"/>
            <w:vAlign w:val="center"/>
          </w:tcPr>
          <w:p>
            <w:pPr>
              <w:spacing w:after="0"/>
            </w:pPr>
            <w:r/>
            <w:r>
              <w:rPr>
                <w:rFonts w:ascii="Arial" w:hAnsi="Arial"/>
                <w:b w:val="0"/>
                <w:sz w:val="14"/>
              </w:rPr>
              <w:t>Покупки систематически продвигаются после конкретных событий: входа, поражения, окончания матча, нехватки ресурса или других игровых триггеров.</w:t>
            </w:r>
          </w:p>
        </w:tc>
      </w:tr>
    </w:tbl>
    <w:p>
      <w:pPr>
        <w:pStyle w:val="Heading2"/>
      </w:pPr>
      <w:r>
        <w:t>Progress Pressure</w:t>
      </w:r>
    </w:p>
    <w:tbl>
      <w:tblPr>
        <w:tblStyle w:val="TableGrid"/>
        <w:tblW w:type="auto" w:w="0"/>
        <w:jc w:val="center"/>
        <w:tblLook w:firstColumn="1" w:firstRow="1" w:lastColumn="0" w:lastRow="0" w:noHBand="0" w:noVBand="1" w:val="04A0"/>
      </w:tblPr>
      <w:tblGrid>
        <w:gridCol w:w="5185"/>
        <w:gridCol w:w="5185"/>
      </w:tblGrid>
      <w:tr>
        <w:tc>
          <w:tcPr>
            <w:tcW w:type="dxa" w:w="5185"/>
            <w:vAlign w:val="center"/>
            <w:shd w:fill="D9E2F3"/>
          </w:tcPr>
          <w:p>
            <w:pPr>
              <w:spacing w:after="0"/>
            </w:pPr>
            <w:r/>
            <w:r>
              <w:rPr>
                <w:rFonts w:ascii="Arial" w:hAnsi="Arial"/>
                <w:b/>
                <w:sz w:val="15"/>
              </w:rPr>
              <w:t>Score</w:t>
            </w:r>
          </w:p>
        </w:tc>
        <w:tc>
          <w:tcPr>
            <w:tcW w:type="dxa" w:w="5185"/>
            <w:vAlign w:val="center"/>
            <w:shd w:fill="D9E2F3"/>
          </w:tcPr>
          <w:p>
            <w:pPr>
              <w:spacing w:after="0"/>
            </w:pPr>
            <w:r/>
            <w:r>
              <w:rPr>
                <w:rFonts w:ascii="Arial" w:hAnsi="Arial"/>
                <w:b/>
                <w:sz w:val="15"/>
              </w:rPr>
              <w:t>Rule</w:t>
            </w:r>
          </w:p>
        </w:tc>
      </w:tr>
      <w:tr>
        <w:tc>
          <w:tcPr>
            <w:tcW w:type="dxa" w:w="5185"/>
            <w:vAlign w:val="center"/>
          </w:tcPr>
          <w:p>
            <w:pPr>
              <w:spacing w:after="0"/>
            </w:pPr>
            <w:r/>
            <w:r>
              <w:rPr>
                <w:rFonts w:ascii="Arial" w:hAnsi="Arial"/>
                <w:b/>
                <w:sz w:val="15"/>
              </w:rPr>
              <w:t>0</w:t>
            </w:r>
          </w:p>
        </w:tc>
        <w:tc>
          <w:tcPr>
            <w:tcW w:type="dxa" w:w="5185"/>
            <w:vAlign w:val="center"/>
          </w:tcPr>
          <w:p>
            <w:pPr>
              <w:spacing w:after="0"/>
            </w:pPr>
            <w:r/>
            <w:r>
              <w:rPr>
                <w:rFonts w:ascii="Arial" w:hAnsi="Arial"/>
                <w:b w:val="0"/>
                <w:sz w:val="14"/>
              </w:rPr>
              <w:t>Покупки не ускоряют прогресс и не сокращают ожидание.</w:t>
            </w:r>
          </w:p>
        </w:tc>
      </w:tr>
      <w:tr>
        <w:tc>
          <w:tcPr>
            <w:tcW w:type="dxa" w:w="5185"/>
            <w:vAlign w:val="center"/>
          </w:tcPr>
          <w:p>
            <w:pPr>
              <w:spacing w:after="0"/>
            </w:pPr>
            <w:r/>
            <w:r>
              <w:rPr>
                <w:rFonts w:ascii="Arial" w:hAnsi="Arial"/>
                <w:b/>
                <w:sz w:val="15"/>
              </w:rPr>
              <w:t>0.5</w:t>
            </w:r>
          </w:p>
        </w:tc>
        <w:tc>
          <w:tcPr>
            <w:tcW w:type="dxa" w:w="5185"/>
            <w:vAlign w:val="center"/>
          </w:tcPr>
          <w:p>
            <w:pPr>
              <w:spacing w:after="0"/>
            </w:pPr>
            <w:r/>
            <w:r>
              <w:rPr>
                <w:rFonts w:ascii="Arial" w:hAnsi="Arial"/>
                <w:b w:val="0"/>
                <w:sz w:val="14"/>
              </w:rPr>
              <w:t>Платное ускорение существует, но даёт небольшой эффект.</w:t>
            </w:r>
          </w:p>
        </w:tc>
      </w:tr>
      <w:tr>
        <w:tc>
          <w:tcPr>
            <w:tcW w:type="dxa" w:w="5185"/>
            <w:vAlign w:val="center"/>
          </w:tcPr>
          <w:p>
            <w:pPr>
              <w:spacing w:after="0"/>
            </w:pPr>
            <w:r/>
            <w:r>
              <w:rPr>
                <w:rFonts w:ascii="Arial" w:hAnsi="Arial"/>
                <w:b/>
                <w:sz w:val="15"/>
              </w:rPr>
              <w:t>1</w:t>
            </w:r>
          </w:p>
        </w:tc>
        <w:tc>
          <w:tcPr>
            <w:tcW w:type="dxa" w:w="5185"/>
            <w:vAlign w:val="center"/>
          </w:tcPr>
          <w:p>
            <w:pPr>
              <w:spacing w:after="0"/>
            </w:pPr>
            <w:r/>
            <w:r>
              <w:rPr>
                <w:rFonts w:ascii="Arial" w:hAnsi="Arial"/>
                <w:b w:val="0"/>
                <w:sz w:val="14"/>
              </w:rPr>
              <w:t>Покупки заметно сокращают часть grind или ожидания.</w:t>
            </w:r>
          </w:p>
        </w:tc>
      </w:tr>
      <w:tr>
        <w:tc>
          <w:tcPr>
            <w:tcW w:type="dxa" w:w="5185"/>
            <w:vAlign w:val="center"/>
          </w:tcPr>
          <w:p>
            <w:pPr>
              <w:spacing w:after="0"/>
            </w:pPr>
            <w:r/>
            <w:r>
              <w:rPr>
                <w:rFonts w:ascii="Arial" w:hAnsi="Arial"/>
                <w:b/>
                <w:sz w:val="15"/>
              </w:rPr>
              <w:t>1.5</w:t>
            </w:r>
          </w:p>
        </w:tc>
        <w:tc>
          <w:tcPr>
            <w:tcW w:type="dxa" w:w="5185"/>
            <w:vAlign w:val="center"/>
          </w:tcPr>
          <w:p>
            <w:pPr>
              <w:spacing w:after="0"/>
            </w:pPr>
            <w:r/>
            <w:r>
              <w:rPr>
                <w:rFonts w:ascii="Arial" w:hAnsi="Arial"/>
                <w:b w:val="0"/>
                <w:sz w:val="14"/>
              </w:rPr>
              <w:t>Платные механики позволяют обходить значительную часть grind, ожидания или progression gates.</w:t>
            </w:r>
          </w:p>
        </w:tc>
      </w:tr>
      <w:tr>
        <w:tc>
          <w:tcPr>
            <w:tcW w:type="dxa" w:w="5185"/>
            <w:vAlign w:val="center"/>
          </w:tcPr>
          <w:p>
            <w:pPr>
              <w:spacing w:after="0"/>
            </w:pPr>
            <w:r/>
            <w:r>
              <w:rPr>
                <w:rFonts w:ascii="Arial" w:hAnsi="Arial"/>
                <w:b/>
                <w:sz w:val="15"/>
              </w:rPr>
              <w:t>2</w:t>
            </w:r>
          </w:p>
        </w:tc>
        <w:tc>
          <w:tcPr>
            <w:tcW w:type="dxa" w:w="5185"/>
            <w:vAlign w:val="center"/>
          </w:tcPr>
          <w:p>
            <w:pPr>
              <w:spacing w:after="0"/>
            </w:pPr>
            <w:r/>
            <w:r>
              <w:rPr>
                <w:rFonts w:ascii="Arial" w:hAnsi="Arial"/>
                <w:b w:val="0"/>
                <w:sz w:val="14"/>
              </w:rPr>
              <w:t>Игрок может напрямую пропускать большую часть прогресса, ожидания или повторяющихся действий за деньги.</w:t>
            </w:r>
          </w:p>
        </w:tc>
      </w:tr>
    </w:tbl>
    <w:p>
      <w:pPr>
        <w:pStyle w:val="Heading2"/>
      </w:pPr>
      <w:r>
        <w:t>Competitive Advantage</w:t>
      </w:r>
    </w:p>
    <w:tbl>
      <w:tblPr>
        <w:tblStyle w:val="TableGrid"/>
        <w:tblW w:type="auto" w:w="0"/>
        <w:jc w:val="center"/>
        <w:tblLook w:firstColumn="1" w:firstRow="1" w:lastColumn="0" w:lastRow="0" w:noHBand="0" w:noVBand="1" w:val="04A0"/>
      </w:tblPr>
      <w:tblGrid>
        <w:gridCol w:w="5185"/>
        <w:gridCol w:w="5185"/>
      </w:tblGrid>
      <w:tr>
        <w:tc>
          <w:tcPr>
            <w:tcW w:type="dxa" w:w="5185"/>
            <w:vAlign w:val="center"/>
            <w:shd w:fill="D9E2F3"/>
          </w:tcPr>
          <w:p>
            <w:pPr>
              <w:spacing w:after="0"/>
            </w:pPr>
            <w:r/>
            <w:r>
              <w:rPr>
                <w:rFonts w:ascii="Arial" w:hAnsi="Arial"/>
                <w:b/>
                <w:sz w:val="15"/>
              </w:rPr>
              <w:t>Score</w:t>
            </w:r>
          </w:p>
        </w:tc>
        <w:tc>
          <w:tcPr>
            <w:tcW w:type="dxa" w:w="5185"/>
            <w:vAlign w:val="center"/>
            <w:shd w:fill="D9E2F3"/>
          </w:tcPr>
          <w:p>
            <w:pPr>
              <w:spacing w:after="0"/>
            </w:pPr>
            <w:r/>
            <w:r>
              <w:rPr>
                <w:rFonts w:ascii="Arial" w:hAnsi="Arial"/>
                <w:b/>
                <w:sz w:val="15"/>
              </w:rPr>
              <w:t>Rule</w:t>
            </w:r>
          </w:p>
        </w:tc>
      </w:tr>
      <w:tr>
        <w:tc>
          <w:tcPr>
            <w:tcW w:type="dxa" w:w="5185"/>
            <w:vAlign w:val="center"/>
          </w:tcPr>
          <w:p>
            <w:pPr>
              <w:spacing w:after="0"/>
            </w:pPr>
            <w:r/>
            <w:r>
              <w:rPr>
                <w:rFonts w:ascii="Arial" w:hAnsi="Arial"/>
                <w:b/>
                <w:sz w:val="15"/>
              </w:rPr>
              <w:t>0</w:t>
            </w:r>
          </w:p>
        </w:tc>
        <w:tc>
          <w:tcPr>
            <w:tcW w:type="dxa" w:w="5185"/>
            <w:vAlign w:val="center"/>
          </w:tcPr>
          <w:p>
            <w:pPr>
              <w:spacing w:after="0"/>
            </w:pPr>
            <w:r/>
            <w:r>
              <w:rPr>
                <w:rFonts w:ascii="Arial" w:hAnsi="Arial"/>
                <w:b w:val="0"/>
                <w:sz w:val="14"/>
              </w:rPr>
              <w:t>Покупки не дают gameplay advantage.</w:t>
            </w:r>
          </w:p>
        </w:tc>
      </w:tr>
      <w:tr>
        <w:tc>
          <w:tcPr>
            <w:tcW w:type="dxa" w:w="5185"/>
            <w:vAlign w:val="center"/>
          </w:tcPr>
          <w:p>
            <w:pPr>
              <w:spacing w:after="0"/>
            </w:pPr>
            <w:r/>
            <w:r>
              <w:rPr>
                <w:rFonts w:ascii="Arial" w:hAnsi="Arial"/>
                <w:b/>
                <w:sz w:val="15"/>
              </w:rPr>
              <w:t>0.5</w:t>
            </w:r>
          </w:p>
        </w:tc>
        <w:tc>
          <w:tcPr>
            <w:tcW w:type="dxa" w:w="5185"/>
            <w:vAlign w:val="center"/>
          </w:tcPr>
          <w:p>
            <w:pPr>
              <w:spacing w:after="0"/>
            </w:pPr>
            <w:r/>
            <w:r>
              <w:rPr>
                <w:rFonts w:ascii="Arial" w:hAnsi="Arial"/>
                <w:b w:val="0"/>
                <w:sz w:val="14"/>
              </w:rPr>
              <w:t>Преимущество минимально и почти не влияет на результат.</w:t>
            </w:r>
          </w:p>
        </w:tc>
      </w:tr>
      <w:tr>
        <w:tc>
          <w:tcPr>
            <w:tcW w:type="dxa" w:w="5185"/>
            <w:vAlign w:val="center"/>
          </w:tcPr>
          <w:p>
            <w:pPr>
              <w:spacing w:after="0"/>
            </w:pPr>
            <w:r/>
            <w:r>
              <w:rPr>
                <w:rFonts w:ascii="Arial" w:hAnsi="Arial"/>
                <w:b/>
                <w:sz w:val="15"/>
              </w:rPr>
              <w:t>1</w:t>
            </w:r>
          </w:p>
        </w:tc>
        <w:tc>
          <w:tcPr>
            <w:tcW w:type="dxa" w:w="5185"/>
            <w:vAlign w:val="center"/>
          </w:tcPr>
          <w:p>
            <w:pPr>
              <w:spacing w:after="0"/>
            </w:pPr>
            <w:r/>
            <w:r>
              <w:rPr>
                <w:rFonts w:ascii="Arial" w:hAnsi="Arial"/>
                <w:b w:val="0"/>
                <w:sz w:val="14"/>
              </w:rPr>
              <w:t>Покупки дают измеримое преимущество, но аналогичное преимущество относительно легко получить бесплатно.</w:t>
            </w:r>
          </w:p>
        </w:tc>
      </w:tr>
      <w:tr>
        <w:tc>
          <w:tcPr>
            <w:tcW w:type="dxa" w:w="5185"/>
            <w:vAlign w:val="center"/>
          </w:tcPr>
          <w:p>
            <w:pPr>
              <w:spacing w:after="0"/>
            </w:pPr>
            <w:r/>
            <w:r>
              <w:rPr>
                <w:rFonts w:ascii="Arial" w:hAnsi="Arial"/>
                <w:b/>
                <w:sz w:val="15"/>
              </w:rPr>
              <w:t>1.5</w:t>
            </w:r>
          </w:p>
        </w:tc>
        <w:tc>
          <w:tcPr>
            <w:tcW w:type="dxa" w:w="5185"/>
            <w:vAlign w:val="center"/>
          </w:tcPr>
          <w:p>
            <w:pPr>
              <w:spacing w:after="0"/>
            </w:pPr>
            <w:r/>
            <w:r>
              <w:rPr>
                <w:rFonts w:ascii="Arial" w:hAnsi="Arial"/>
                <w:b w:val="0"/>
                <w:sz w:val="14"/>
              </w:rPr>
              <w:t>Покупка даёт значимое преимущество или бесплатное получение требует существенно большего времени/усилий.</w:t>
            </w:r>
          </w:p>
        </w:tc>
      </w:tr>
      <w:tr>
        <w:tc>
          <w:tcPr>
            <w:tcW w:type="dxa" w:w="5185"/>
            <w:vAlign w:val="center"/>
          </w:tcPr>
          <w:p>
            <w:pPr>
              <w:spacing w:after="0"/>
            </w:pPr>
            <w:r/>
            <w:r>
              <w:rPr>
                <w:rFonts w:ascii="Arial" w:hAnsi="Arial"/>
                <w:b/>
                <w:sz w:val="15"/>
              </w:rPr>
              <w:t>2</w:t>
            </w:r>
          </w:p>
        </w:tc>
        <w:tc>
          <w:tcPr>
            <w:tcW w:type="dxa" w:w="5185"/>
            <w:vAlign w:val="center"/>
          </w:tcPr>
          <w:p>
            <w:pPr>
              <w:spacing w:after="0"/>
            </w:pPr>
            <w:r/>
            <w:r>
              <w:rPr>
                <w:rFonts w:ascii="Arial" w:hAnsi="Arial"/>
                <w:b w:val="0"/>
                <w:sz w:val="14"/>
              </w:rPr>
              <w:t>За деньги напрямую доступны значительная сила, сильные персонажи, оружие, характеристики или иные преимущества в соревновании.</w:t>
            </w:r>
          </w:p>
        </w:tc>
      </w:tr>
    </w:tbl>
    <w:p>
      <w:pPr>
        <w:pStyle w:val="Heading2"/>
      </w:pPr>
      <w:r>
        <w:t>Social Pressure</w:t>
      </w:r>
    </w:p>
    <w:tbl>
      <w:tblPr>
        <w:tblStyle w:val="TableGrid"/>
        <w:tblW w:type="auto" w:w="0"/>
        <w:jc w:val="center"/>
        <w:tblLook w:firstColumn="1" w:firstRow="1" w:lastColumn="0" w:lastRow="0" w:noHBand="0" w:noVBand="1" w:val="04A0"/>
      </w:tblPr>
      <w:tblGrid>
        <w:gridCol w:w="5185"/>
        <w:gridCol w:w="5185"/>
      </w:tblGrid>
      <w:tr>
        <w:tc>
          <w:tcPr>
            <w:tcW w:type="dxa" w:w="5185"/>
            <w:vAlign w:val="center"/>
            <w:shd w:fill="D9E2F3"/>
          </w:tcPr>
          <w:p>
            <w:pPr>
              <w:spacing w:after="0"/>
            </w:pPr>
            <w:r/>
            <w:r>
              <w:rPr>
                <w:rFonts w:ascii="Arial" w:hAnsi="Arial"/>
                <w:b/>
                <w:sz w:val="15"/>
              </w:rPr>
              <w:t>Score</w:t>
            </w:r>
          </w:p>
        </w:tc>
        <w:tc>
          <w:tcPr>
            <w:tcW w:type="dxa" w:w="5185"/>
            <w:vAlign w:val="center"/>
            <w:shd w:fill="D9E2F3"/>
          </w:tcPr>
          <w:p>
            <w:pPr>
              <w:spacing w:after="0"/>
            </w:pPr>
            <w:r/>
            <w:r>
              <w:rPr>
                <w:rFonts w:ascii="Arial" w:hAnsi="Arial"/>
                <w:b/>
                <w:sz w:val="15"/>
              </w:rPr>
              <w:t>Rule</w:t>
            </w:r>
          </w:p>
        </w:tc>
      </w:tr>
      <w:tr>
        <w:tc>
          <w:tcPr>
            <w:tcW w:type="dxa" w:w="5185"/>
            <w:vAlign w:val="center"/>
          </w:tcPr>
          <w:p>
            <w:pPr>
              <w:spacing w:after="0"/>
            </w:pPr>
            <w:r/>
            <w:r>
              <w:rPr>
                <w:rFonts w:ascii="Arial" w:hAnsi="Arial"/>
                <w:b/>
                <w:sz w:val="15"/>
              </w:rPr>
              <w:t>0</w:t>
            </w:r>
          </w:p>
        </w:tc>
        <w:tc>
          <w:tcPr>
            <w:tcW w:type="dxa" w:w="5185"/>
            <w:vAlign w:val="center"/>
          </w:tcPr>
          <w:p>
            <w:pPr>
              <w:spacing w:after="0"/>
            </w:pPr>
            <w:r/>
            <w:r>
              <w:rPr>
                <w:rFonts w:ascii="Arial" w:hAnsi="Arial"/>
                <w:b w:val="0"/>
                <w:sz w:val="14"/>
              </w:rPr>
              <w:t>Монетизация почти не использует социальное сравнение.</w:t>
            </w:r>
          </w:p>
        </w:tc>
      </w:tr>
      <w:tr>
        <w:tc>
          <w:tcPr>
            <w:tcW w:type="dxa" w:w="5185"/>
            <w:vAlign w:val="center"/>
          </w:tcPr>
          <w:p>
            <w:pPr>
              <w:spacing w:after="0"/>
            </w:pPr>
            <w:r/>
            <w:r>
              <w:rPr>
                <w:rFonts w:ascii="Arial" w:hAnsi="Arial"/>
                <w:b/>
                <w:sz w:val="15"/>
              </w:rPr>
              <w:t>0.5</w:t>
            </w:r>
          </w:p>
        </w:tc>
        <w:tc>
          <w:tcPr>
            <w:tcW w:type="dxa" w:w="5185"/>
            <w:vAlign w:val="center"/>
          </w:tcPr>
          <w:p>
            <w:pPr>
              <w:spacing w:after="0"/>
            </w:pPr>
            <w:r/>
            <w:r>
              <w:rPr>
                <w:rFonts w:ascii="Arial" w:hAnsi="Arial"/>
                <w:b w:val="0"/>
                <w:sz w:val="14"/>
              </w:rPr>
              <w:t>Купленные предметы видны другим, но это почти не подчёркивается.</w:t>
            </w:r>
          </w:p>
        </w:tc>
      </w:tr>
      <w:tr>
        <w:tc>
          <w:tcPr>
            <w:tcW w:type="dxa" w:w="5185"/>
            <w:vAlign w:val="center"/>
          </w:tcPr>
          <w:p>
            <w:pPr>
              <w:spacing w:after="0"/>
            </w:pPr>
            <w:r/>
            <w:r>
              <w:rPr>
                <w:rFonts w:ascii="Arial" w:hAnsi="Arial"/>
                <w:b/>
                <w:sz w:val="15"/>
              </w:rPr>
              <w:t>1</w:t>
            </w:r>
          </w:p>
        </w:tc>
        <w:tc>
          <w:tcPr>
            <w:tcW w:type="dxa" w:w="5185"/>
            <w:vAlign w:val="center"/>
          </w:tcPr>
          <w:p>
            <w:pPr>
              <w:spacing w:after="0"/>
            </w:pPr>
            <w:r/>
            <w:r>
              <w:rPr>
                <w:rFonts w:ascii="Arial" w:hAnsi="Arial"/>
                <w:b w:val="0"/>
                <w:sz w:val="14"/>
              </w:rPr>
              <w:t>Платные предметы, rarity или статус регулярно демонстрируются другим игрокам.</w:t>
            </w:r>
          </w:p>
        </w:tc>
      </w:tr>
      <w:tr>
        <w:tc>
          <w:tcPr>
            <w:tcW w:type="dxa" w:w="5185"/>
            <w:vAlign w:val="center"/>
          </w:tcPr>
          <w:p>
            <w:pPr>
              <w:spacing w:after="0"/>
            </w:pPr>
            <w:r/>
            <w:r>
              <w:rPr>
                <w:rFonts w:ascii="Arial" w:hAnsi="Arial"/>
                <w:b/>
                <w:sz w:val="15"/>
              </w:rPr>
              <w:t>1.5</w:t>
            </w:r>
          </w:p>
        </w:tc>
        <w:tc>
          <w:tcPr>
            <w:tcW w:type="dxa" w:w="5185"/>
            <w:vAlign w:val="center"/>
          </w:tcPr>
          <w:p>
            <w:pPr>
              <w:spacing w:after="0"/>
            </w:pPr>
            <w:r/>
            <w:r>
              <w:rPr>
                <w:rFonts w:ascii="Arial" w:hAnsi="Arial"/>
                <w:b w:val="0"/>
                <w:sz w:val="14"/>
              </w:rPr>
              <w:t>Используются VIP-метки, редкость, подарки, публичные коллекции, ранги или другие статусные элементы.</w:t>
            </w:r>
          </w:p>
        </w:tc>
      </w:tr>
      <w:tr>
        <w:tc>
          <w:tcPr>
            <w:tcW w:type="dxa" w:w="5185"/>
            <w:vAlign w:val="center"/>
          </w:tcPr>
          <w:p>
            <w:pPr>
              <w:spacing w:after="0"/>
            </w:pPr>
            <w:r/>
            <w:r>
              <w:rPr>
                <w:rFonts w:ascii="Arial" w:hAnsi="Arial"/>
                <w:b/>
                <w:sz w:val="15"/>
              </w:rPr>
              <w:t>2</w:t>
            </w:r>
          </w:p>
        </w:tc>
        <w:tc>
          <w:tcPr>
            <w:tcW w:type="dxa" w:w="5185"/>
            <w:vAlign w:val="center"/>
          </w:tcPr>
          <w:p>
            <w:pPr>
              <w:spacing w:after="0"/>
            </w:pPr>
            <w:r/>
            <w:r>
              <w:rPr>
                <w:rFonts w:ascii="Arial" w:hAnsi="Arial"/>
                <w:b w:val="0"/>
                <w:sz w:val="14"/>
              </w:rPr>
              <w:t>Социальное сравнение и демонстрация платного статуса систематически встроены в монетизацию игры.</w:t>
            </w:r>
          </w:p>
        </w:tc>
      </w:tr>
    </w:tbl>
    <w:p>
      <w:pPr>
        <w:pStyle w:val="Heading2"/>
      </w:pPr>
      <w:r>
        <w:t>Completion Pressure</w:t>
      </w:r>
    </w:p>
    <w:tbl>
      <w:tblPr>
        <w:tblStyle w:val="TableGrid"/>
        <w:tblW w:type="auto" w:w="0"/>
        <w:jc w:val="center"/>
        <w:tblLook w:firstColumn="1" w:firstRow="1" w:lastColumn="0" w:lastRow="0" w:noHBand="0" w:noVBand="1" w:val="04A0"/>
      </w:tblPr>
      <w:tblGrid>
        <w:gridCol w:w="5185"/>
        <w:gridCol w:w="5185"/>
      </w:tblGrid>
      <w:tr>
        <w:tc>
          <w:tcPr>
            <w:tcW w:type="dxa" w:w="5185"/>
            <w:vAlign w:val="center"/>
            <w:shd w:fill="D9E2F3"/>
          </w:tcPr>
          <w:p>
            <w:pPr>
              <w:spacing w:after="0"/>
            </w:pPr>
            <w:r/>
            <w:r>
              <w:rPr>
                <w:rFonts w:ascii="Arial" w:hAnsi="Arial"/>
                <w:b/>
                <w:sz w:val="15"/>
              </w:rPr>
              <w:t>Score</w:t>
            </w:r>
          </w:p>
        </w:tc>
        <w:tc>
          <w:tcPr>
            <w:tcW w:type="dxa" w:w="5185"/>
            <w:vAlign w:val="center"/>
            <w:shd w:fill="D9E2F3"/>
          </w:tcPr>
          <w:p>
            <w:pPr>
              <w:spacing w:after="0"/>
            </w:pPr>
            <w:r/>
            <w:r>
              <w:rPr>
                <w:rFonts w:ascii="Arial" w:hAnsi="Arial"/>
                <w:b/>
                <w:sz w:val="15"/>
              </w:rPr>
              <w:t>Rule</w:t>
            </w:r>
          </w:p>
        </w:tc>
      </w:tr>
      <w:tr>
        <w:tc>
          <w:tcPr>
            <w:tcW w:type="dxa" w:w="5185"/>
            <w:vAlign w:val="center"/>
          </w:tcPr>
          <w:p>
            <w:pPr>
              <w:spacing w:after="0"/>
            </w:pPr>
            <w:r/>
            <w:r>
              <w:rPr>
                <w:rFonts w:ascii="Arial" w:hAnsi="Arial"/>
                <w:b/>
                <w:sz w:val="15"/>
              </w:rPr>
              <w:t>0</w:t>
            </w:r>
          </w:p>
        </w:tc>
        <w:tc>
          <w:tcPr>
            <w:tcW w:type="dxa" w:w="5185"/>
            <w:vAlign w:val="center"/>
          </w:tcPr>
          <w:p>
            <w:pPr>
              <w:spacing w:after="0"/>
            </w:pPr>
            <w:r/>
            <w:r>
              <w:rPr>
                <w:rFonts w:ascii="Arial" w:hAnsi="Arial"/>
                <w:b w:val="0"/>
                <w:sz w:val="14"/>
              </w:rPr>
              <w:t>Монетизация не связана с коллекциями или завершением наборов.</w:t>
            </w:r>
          </w:p>
        </w:tc>
      </w:tr>
      <w:tr>
        <w:tc>
          <w:tcPr>
            <w:tcW w:type="dxa" w:w="5185"/>
            <w:vAlign w:val="center"/>
          </w:tcPr>
          <w:p>
            <w:pPr>
              <w:spacing w:after="0"/>
            </w:pPr>
            <w:r/>
            <w:r>
              <w:rPr>
                <w:rFonts w:ascii="Arial" w:hAnsi="Arial"/>
                <w:b/>
                <w:sz w:val="15"/>
              </w:rPr>
              <w:t>0.5</w:t>
            </w:r>
          </w:p>
        </w:tc>
        <w:tc>
          <w:tcPr>
            <w:tcW w:type="dxa" w:w="5185"/>
            <w:vAlign w:val="center"/>
          </w:tcPr>
          <w:p>
            <w:pPr>
              <w:spacing w:after="0"/>
            </w:pPr>
            <w:r/>
            <w:r>
              <w:rPr>
                <w:rFonts w:ascii="Arial" w:hAnsi="Arial"/>
                <w:b w:val="0"/>
                <w:sz w:val="14"/>
              </w:rPr>
              <w:t>Платные коллекционные предметы существуют, но завершение коллекции почти не стимулируется.</w:t>
            </w:r>
          </w:p>
        </w:tc>
      </w:tr>
      <w:tr>
        <w:tc>
          <w:tcPr>
            <w:tcW w:type="dxa" w:w="5185"/>
            <w:vAlign w:val="center"/>
          </w:tcPr>
          <w:p>
            <w:pPr>
              <w:spacing w:after="0"/>
            </w:pPr>
            <w:r/>
            <w:r>
              <w:rPr>
                <w:rFonts w:ascii="Arial" w:hAnsi="Arial"/>
                <w:b/>
                <w:sz w:val="15"/>
              </w:rPr>
              <w:t>1</w:t>
            </w:r>
          </w:p>
        </w:tc>
        <w:tc>
          <w:tcPr>
            <w:tcW w:type="dxa" w:w="5185"/>
            <w:vAlign w:val="center"/>
          </w:tcPr>
          <w:p>
            <w:pPr>
              <w:spacing w:after="0"/>
            </w:pPr>
            <w:r/>
            <w:r>
              <w:rPr>
                <w:rFonts w:ascii="Arial" w:hAnsi="Arial"/>
                <w:b w:val="0"/>
                <w:sz w:val="14"/>
              </w:rPr>
              <w:t>Игра явно показывает прогресс коллекции или недостающие элементы.</w:t>
            </w:r>
          </w:p>
        </w:tc>
      </w:tr>
      <w:tr>
        <w:tc>
          <w:tcPr>
            <w:tcW w:type="dxa" w:w="5185"/>
            <w:vAlign w:val="center"/>
          </w:tcPr>
          <w:p>
            <w:pPr>
              <w:spacing w:after="0"/>
            </w:pPr>
            <w:r/>
            <w:r>
              <w:rPr>
                <w:rFonts w:ascii="Arial" w:hAnsi="Arial"/>
                <w:b/>
                <w:sz w:val="15"/>
              </w:rPr>
              <w:t>1.5</w:t>
            </w:r>
          </w:p>
        </w:tc>
        <w:tc>
          <w:tcPr>
            <w:tcW w:type="dxa" w:w="5185"/>
            <w:vAlign w:val="center"/>
          </w:tcPr>
          <w:p>
            <w:pPr>
              <w:spacing w:after="0"/>
            </w:pPr>
            <w:r/>
            <w:r>
              <w:rPr>
                <w:rFonts w:ascii="Arial" w:hAnsi="Arial"/>
                <w:b w:val="0"/>
                <w:sz w:val="14"/>
              </w:rPr>
              <w:t>Есть награды, бонусы или заметные стимулы за завершение платного набора/коллекции.</w:t>
            </w:r>
          </w:p>
        </w:tc>
      </w:tr>
      <w:tr>
        <w:tc>
          <w:tcPr>
            <w:tcW w:type="dxa" w:w="5185"/>
            <w:vAlign w:val="center"/>
          </w:tcPr>
          <w:p>
            <w:pPr>
              <w:spacing w:after="0"/>
            </w:pPr>
            <w:r/>
            <w:r>
              <w:rPr>
                <w:rFonts w:ascii="Arial" w:hAnsi="Arial"/>
                <w:b/>
                <w:sz w:val="15"/>
              </w:rPr>
              <w:t>2</w:t>
            </w:r>
          </w:p>
        </w:tc>
        <w:tc>
          <w:tcPr>
            <w:tcW w:type="dxa" w:w="5185"/>
            <w:vAlign w:val="center"/>
          </w:tcPr>
          <w:p>
            <w:pPr>
              <w:spacing w:after="0"/>
            </w:pPr>
            <w:r/>
            <w:r>
              <w:rPr>
                <w:rFonts w:ascii="Arial" w:hAnsi="Arial"/>
                <w:b w:val="0"/>
                <w:sz w:val="14"/>
              </w:rPr>
              <w:t>Игра систематически стимулирует завершение коллекций, особенно ограниченных по времени или требующих нескольких покупок.</w:t>
            </w:r>
          </w:p>
        </w:tc>
      </w:tr>
    </w:tbl>
    <w:p>
      <w:pPr>
        <w:pStyle w:val="Heading2"/>
      </w:pPr>
      <w:r>
        <w:t>Personalized Offers</w:t>
      </w:r>
    </w:p>
    <w:tbl>
      <w:tblPr>
        <w:tblStyle w:val="TableGrid"/>
        <w:tblW w:type="auto" w:w="0"/>
        <w:jc w:val="center"/>
        <w:tblLook w:firstColumn="1" w:firstRow="1" w:lastColumn="0" w:lastRow="0" w:noHBand="0" w:noVBand="1" w:val="04A0"/>
      </w:tblPr>
      <w:tblGrid>
        <w:gridCol w:w="5185"/>
        <w:gridCol w:w="5185"/>
      </w:tblGrid>
      <w:tr>
        <w:tc>
          <w:tcPr>
            <w:tcW w:type="dxa" w:w="5185"/>
            <w:vAlign w:val="center"/>
            <w:shd w:fill="D9E2F3"/>
          </w:tcPr>
          <w:p>
            <w:pPr>
              <w:spacing w:after="0"/>
            </w:pPr>
            <w:r/>
            <w:r>
              <w:rPr>
                <w:rFonts w:ascii="Arial" w:hAnsi="Arial"/>
                <w:b/>
                <w:sz w:val="15"/>
              </w:rPr>
              <w:t>Score</w:t>
            </w:r>
          </w:p>
        </w:tc>
        <w:tc>
          <w:tcPr>
            <w:tcW w:type="dxa" w:w="5185"/>
            <w:vAlign w:val="center"/>
            <w:shd w:fill="D9E2F3"/>
          </w:tcPr>
          <w:p>
            <w:pPr>
              <w:spacing w:after="0"/>
            </w:pPr>
            <w:r/>
            <w:r>
              <w:rPr>
                <w:rFonts w:ascii="Arial" w:hAnsi="Arial"/>
                <w:b/>
                <w:sz w:val="15"/>
              </w:rPr>
              <w:t>Rule</w:t>
            </w:r>
          </w:p>
        </w:tc>
      </w:tr>
      <w:tr>
        <w:tc>
          <w:tcPr>
            <w:tcW w:type="dxa" w:w="5185"/>
            <w:vAlign w:val="center"/>
          </w:tcPr>
          <w:p>
            <w:pPr>
              <w:spacing w:after="0"/>
            </w:pPr>
            <w:r/>
            <w:r>
              <w:rPr>
                <w:rFonts w:ascii="Arial" w:hAnsi="Arial"/>
                <w:b/>
                <w:sz w:val="15"/>
              </w:rPr>
              <w:t>0</w:t>
            </w:r>
          </w:p>
        </w:tc>
        <w:tc>
          <w:tcPr>
            <w:tcW w:type="dxa" w:w="5185"/>
            <w:vAlign w:val="center"/>
          </w:tcPr>
          <w:p>
            <w:pPr>
              <w:spacing w:after="0"/>
            </w:pPr>
            <w:r/>
            <w:r>
              <w:rPr>
                <w:rFonts w:ascii="Arial" w:hAnsi="Arial"/>
                <w:b w:val="0"/>
                <w:sz w:val="14"/>
              </w:rPr>
              <w:t>Предложения одинаковы для всех игроков.</w:t>
            </w:r>
          </w:p>
        </w:tc>
      </w:tr>
      <w:tr>
        <w:tc>
          <w:tcPr>
            <w:tcW w:type="dxa" w:w="5185"/>
            <w:vAlign w:val="center"/>
          </w:tcPr>
          <w:p>
            <w:pPr>
              <w:spacing w:after="0"/>
            </w:pPr>
            <w:r/>
            <w:r>
              <w:rPr>
                <w:rFonts w:ascii="Arial" w:hAnsi="Arial"/>
                <w:b/>
                <w:sz w:val="15"/>
              </w:rPr>
              <w:t>0.5</w:t>
            </w:r>
          </w:p>
        </w:tc>
        <w:tc>
          <w:tcPr>
            <w:tcW w:type="dxa" w:w="5185"/>
            <w:vAlign w:val="center"/>
          </w:tcPr>
          <w:p>
            <w:pPr>
              <w:spacing w:after="0"/>
            </w:pPr>
            <w:r/>
            <w:r>
              <w:rPr>
                <w:rFonts w:ascii="Arial" w:hAnsi="Arial"/>
                <w:b w:val="0"/>
                <w:sz w:val="14"/>
              </w:rPr>
              <w:t>Различия связаны только с регионом, платформой или техническими условиями.</w:t>
            </w:r>
          </w:p>
        </w:tc>
      </w:tr>
      <w:tr>
        <w:tc>
          <w:tcPr>
            <w:tcW w:type="dxa" w:w="5185"/>
            <w:vAlign w:val="center"/>
          </w:tcPr>
          <w:p>
            <w:pPr>
              <w:spacing w:after="0"/>
            </w:pPr>
            <w:r/>
            <w:r>
              <w:rPr>
                <w:rFonts w:ascii="Arial" w:hAnsi="Arial"/>
                <w:b/>
                <w:sz w:val="15"/>
              </w:rPr>
              <w:t>1</w:t>
            </w:r>
          </w:p>
        </w:tc>
        <w:tc>
          <w:tcPr>
            <w:tcW w:type="dxa" w:w="5185"/>
            <w:vAlign w:val="center"/>
          </w:tcPr>
          <w:p>
            <w:pPr>
              <w:spacing w:after="0"/>
            </w:pPr>
            <w:r/>
            <w:r>
              <w:rPr>
                <w:rFonts w:ascii="Arial" w:hAnsi="Arial"/>
                <w:b w:val="0"/>
                <w:sz w:val="14"/>
              </w:rPr>
              <w:t>Предложения зависят от уровня, стадии прогресса или другого игрового сегмента.</w:t>
            </w:r>
          </w:p>
        </w:tc>
      </w:tr>
      <w:tr>
        <w:tc>
          <w:tcPr>
            <w:tcW w:type="dxa" w:w="5185"/>
            <w:vAlign w:val="center"/>
          </w:tcPr>
          <w:p>
            <w:pPr>
              <w:spacing w:after="0"/>
            </w:pPr>
            <w:r/>
            <w:r>
              <w:rPr>
                <w:rFonts w:ascii="Arial" w:hAnsi="Arial"/>
                <w:b/>
                <w:sz w:val="15"/>
              </w:rPr>
              <w:t>1.5</w:t>
            </w:r>
          </w:p>
        </w:tc>
        <w:tc>
          <w:tcPr>
            <w:tcW w:type="dxa" w:w="5185"/>
            <w:vAlign w:val="center"/>
          </w:tcPr>
          <w:p>
            <w:pPr>
              <w:spacing w:after="0"/>
            </w:pPr>
            <w:r/>
            <w:r>
              <w:rPr>
                <w:rFonts w:ascii="Arial" w:hAnsi="Arial"/>
                <w:b w:val="0"/>
                <w:sz w:val="14"/>
              </w:rPr>
              <w:t>Предложения меняются после поведения игрока: возвращения в игру, поражений, нехватки ресурсов и т.п.</w:t>
            </w:r>
          </w:p>
        </w:tc>
      </w:tr>
      <w:tr>
        <w:tc>
          <w:tcPr>
            <w:tcW w:type="dxa" w:w="5185"/>
            <w:vAlign w:val="center"/>
          </w:tcPr>
          <w:p>
            <w:pPr>
              <w:spacing w:after="0"/>
            </w:pPr>
            <w:r/>
            <w:r>
              <w:rPr>
                <w:rFonts w:ascii="Arial" w:hAnsi="Arial"/>
                <w:b/>
                <w:sz w:val="15"/>
              </w:rPr>
              <w:t>2</w:t>
            </w:r>
          </w:p>
        </w:tc>
        <w:tc>
          <w:tcPr>
            <w:tcW w:type="dxa" w:w="5185"/>
            <w:vAlign w:val="center"/>
          </w:tcPr>
          <w:p>
            <w:pPr>
              <w:spacing w:after="0"/>
            </w:pPr>
            <w:r/>
            <w:r>
              <w:rPr>
                <w:rFonts w:ascii="Arial" w:hAnsi="Arial"/>
                <w:b w:val="0"/>
                <w:sz w:val="14"/>
              </w:rPr>
              <w:t>Цена, содержание, время или частота предложений активно персонализируются на основе поведения или истории трат.</w:t>
            </w:r>
          </w:p>
        </w:tc>
      </w:tr>
    </w:tbl>
    <w:p>
      <w:pPr>
        <w:pStyle w:val="Heading2"/>
      </w:pPr>
      <w:r>
        <w:t>Monetization Presence</w:t>
      </w:r>
    </w:p>
    <w:tbl>
      <w:tblPr>
        <w:tblStyle w:val="TableGrid"/>
        <w:tblW w:type="auto" w:w="0"/>
        <w:jc w:val="center"/>
        <w:tblLook w:firstColumn="1" w:firstRow="1" w:lastColumn="0" w:lastRow="0" w:noHBand="0" w:noVBand="1" w:val="04A0"/>
      </w:tblPr>
      <w:tblGrid>
        <w:gridCol w:w="5185"/>
        <w:gridCol w:w="5185"/>
      </w:tblGrid>
      <w:tr>
        <w:tc>
          <w:tcPr>
            <w:tcW w:type="dxa" w:w="5185"/>
            <w:vAlign w:val="center"/>
            <w:shd w:fill="D9E2F3"/>
          </w:tcPr>
          <w:p>
            <w:pPr>
              <w:spacing w:after="0"/>
            </w:pPr>
            <w:r/>
            <w:r>
              <w:rPr>
                <w:rFonts w:ascii="Arial" w:hAnsi="Arial"/>
                <w:b/>
                <w:sz w:val="15"/>
              </w:rPr>
              <w:t>Score</w:t>
            </w:r>
          </w:p>
        </w:tc>
        <w:tc>
          <w:tcPr>
            <w:tcW w:type="dxa" w:w="5185"/>
            <w:vAlign w:val="center"/>
            <w:shd w:fill="D9E2F3"/>
          </w:tcPr>
          <w:p>
            <w:pPr>
              <w:spacing w:after="0"/>
            </w:pPr>
            <w:r/>
            <w:r>
              <w:rPr>
                <w:rFonts w:ascii="Arial" w:hAnsi="Arial"/>
                <w:b/>
                <w:sz w:val="15"/>
              </w:rPr>
              <w:t>Rule</w:t>
            </w:r>
          </w:p>
        </w:tc>
      </w:tr>
      <w:tr>
        <w:tc>
          <w:tcPr>
            <w:tcW w:type="dxa" w:w="5185"/>
            <w:vAlign w:val="center"/>
          </w:tcPr>
          <w:p>
            <w:pPr>
              <w:spacing w:after="0"/>
            </w:pPr>
            <w:r/>
            <w:r>
              <w:rPr>
                <w:rFonts w:ascii="Arial" w:hAnsi="Arial"/>
                <w:b/>
                <w:sz w:val="15"/>
              </w:rPr>
              <w:t>0</w:t>
            </w:r>
          </w:p>
        </w:tc>
        <w:tc>
          <w:tcPr>
            <w:tcW w:type="dxa" w:w="5185"/>
            <w:vAlign w:val="center"/>
          </w:tcPr>
          <w:p>
            <w:pPr>
              <w:spacing w:after="0"/>
            </w:pPr>
            <w:r/>
            <w:r>
              <w:rPr>
                <w:rFonts w:ascii="Arial" w:hAnsi="Arial"/>
                <w:b w:val="0"/>
                <w:sz w:val="14"/>
              </w:rPr>
              <w:t>В игре нет системы внутриигровых покупок.</w:t>
            </w:r>
          </w:p>
        </w:tc>
      </w:tr>
      <w:tr>
        <w:tc>
          <w:tcPr>
            <w:tcW w:type="dxa" w:w="5185"/>
            <w:vAlign w:val="center"/>
          </w:tcPr>
          <w:p>
            <w:pPr>
              <w:spacing w:after="0"/>
            </w:pPr>
            <w:r/>
            <w:r>
              <w:rPr>
                <w:rFonts w:ascii="Arial" w:hAnsi="Arial"/>
                <w:b/>
                <w:sz w:val="15"/>
              </w:rPr>
              <w:t>2</w:t>
            </w:r>
          </w:p>
        </w:tc>
        <w:tc>
          <w:tcPr>
            <w:tcW w:type="dxa" w:w="5185"/>
            <w:vAlign w:val="center"/>
          </w:tcPr>
          <w:p>
            <w:pPr>
              <w:spacing w:after="0"/>
            </w:pPr>
            <w:r/>
            <w:r>
              <w:rPr>
                <w:rFonts w:ascii="Arial" w:hAnsi="Arial"/>
                <w:b w:val="0"/>
                <w:sz w:val="14"/>
              </w:rPr>
              <w:t>В игре есть хотя бы одна система внутриигровых покупок.</w:t>
            </w:r>
          </w:p>
        </w:tc>
      </w:tr>
    </w:tbl>
    <w:p>
      <w:pPr>
        <w:pStyle w:val="Heading1"/>
      </w:pPr>
      <w:r>
        <w:t>5. Как использовать шкалу на практике</w:t>
      </w:r>
    </w:p>
    <w:p>
      <w:r>
        <w:t>Процесс всегда одинаков: (1) собрать evidence; (2) определить, к какому фактору относится факт; (3) сравнить факт с границами шкалы; (4) записать score и ссылку на evidence. Исследователь не должен выбирать число «по ощущениям».</w:t>
      </w:r>
    </w:p>
    <w:p>
      <w:r>
        <w:t>Evidence может включать официальные страницы магазина, FAQ, патчноуты, скриншоты, правила gacha, стоимость и пакеты валют, таймеры, pop-ups, progression skips, VIP-системы, collection screens и персональные предложения.</w:t>
      </w:r>
    </w:p>
    <w:p>
      <w:pPr>
        <w:pStyle w:val="Heading1"/>
      </w:pPr>
      <w:r>
        <w:t>6. Зачем нужен Monetization Presence</w:t>
      </w:r>
    </w:p>
    <w:p>
      <w:r>
        <w:t>Этот фактор является технической защитой модели. Если в игре существуют реальные внутриигровые покупки, PS не должен оказаться равным нулю только потому, что остальные девять факторов выражены очень слабо. Поэтому отсутствие IAP = 0, наличие хотя бы одной IAP-системы = 2.</w:t>
      </w:r>
    </w:p>
    <w:p>
      <w:pPr>
        <w:pStyle w:val="Heading1"/>
      </w:pPr>
      <w:r>
        <w:t>7. Пример расчёта</w:t>
      </w:r>
    </w:p>
    <w:p>
      <w:r>
        <w:t>Условная игра получает: FOMO 1.5; Randomness 1; Price Obscurity 1.5; Purchase Prompting 1; Progress Pressure 1; Competitive Advantage 0.5; Social Pressure 0.5; Completion Pressure 1; Personalized Offers 0.5; Monetization Presence 2.</w:t>
      </w:r>
    </w:p>
    <w:p>
      <w:pPr>
        <w:jc w:val="center"/>
      </w:pPr>
      <w:r>
        <w:rPr>
          <w:rFonts w:ascii="Cambria Math" w:hAnsi="Cambria Math"/>
          <w:b/>
          <w:sz w:val="22"/>
        </w:rPr>
        <w:t>Raw PS = 1.5 + 1 + 1.5 + 1 + 1 + 0.5 + 0.5 + 1 + 0.5 + 2 = 10.5</w:t>
      </w:r>
    </w:p>
    <w:p>
      <w:pPr>
        <w:jc w:val="center"/>
      </w:pPr>
      <w:r>
        <w:rPr>
          <w:rFonts w:ascii="Cambria Math" w:hAnsi="Cambria Math"/>
          <w:b/>
          <w:sz w:val="22"/>
        </w:rPr>
        <w:t>Normalized PS = 10.5 / 20 = 0.525 = 52.5%</w:t>
      </w:r>
    </w:p>
    <w:p>
      <w:pPr>
        <w:pStyle w:val="Heading1"/>
      </w:pPr>
      <w:r>
        <w:t>8. Реальные источники и связь с факторами</w:t>
      </w:r>
    </w:p>
    <w:p>
      <w:r>
        <w:t>FTC в деле Genshin Impact (2025) описывает одновременно limited-time promotion, randomized rewards и многоступенчатую virtual-currency conversion. Это реальные примеры, соответствующие FOMO, Randomness и Price Obscurity.</w:t>
      </w:r>
    </w:p>
    <w:p>
      <w:r>
        <w:t>European Commission / CPC Network (2025) отдельно требует прозрачных цен и предупреждает против нескольких валют и нескольких обменов, которые затрудняют понимание реальной стоимости. Это напрямую поддерживает Price Obscurity.</w:t>
      </w:r>
    </w:p>
    <w:p>
      <w:r>
        <w:t>FTC в деле Epic Games / Fortnite (2023) описывает dark patterns и confusing purchase interfaces, которые приводили к нежелательным покупкам. Это подтверждает необходимость отдельного фактора Purchase Prompting.</w:t>
      </w:r>
    </w:p>
    <w:p>
      <w:r>
        <w:t>King &amp; Delfabbro (2018) описывают predatory monetization как системы, которые могут скрывать долгосрочную стоимость, использовать intrusive solicitations и знания о предпочтениях и тратах игрока для повышения вероятности покупки. Это связано с Price Obscurity, Purchase Prompting и Personalized Offers.</w:t>
      </w:r>
    </w:p>
    <w:p>
      <w:r>
        <w:t>Petrovskaya &amp; Zendle (2022) создали категориальную модель unfair, misleading and aggressive monetisation techniques на основе опыта игроков. Это поддерживает идею разделять разные формы давления вместо одной общей субъективной оценки.</w:t>
      </w:r>
    </w:p>
    <w:p>
      <w:r>
        <w:t>Zendle, Meyer &amp; Ballou (2020) отдельно кодировали loot boxes, cosmetics и pay-to-win features в 463 Steam-играх. Это показывает, что монетизационные признаки можно воспроизводимо фиксировать на уровне конкретной игры.</w:t>
      </w:r>
    </w:p>
    <w:p>
      <w:pPr>
        <w:pStyle w:val="Heading1"/>
      </w:pPr>
      <w:r>
        <w:t>9. Воспроизводимость и dataset</w:t>
      </w:r>
    </w:p>
    <w:p>
      <w:r>
        <w:t>Рекомендуемая структура данных: Game | Factor | Score | Evidence URL | Evidence Date | Notes. Для каждой оценки должен существовать конкретный наблюдаемый факт. Если источник изменился после обновления игры, дата анализа сохраняется.</w:t>
      </w:r>
    </w:p>
    <w:p>
      <w:r>
        <w:t>Следующий этап проверки методики — inter-rater test: два или больше человека независимо оценивают одинаковый набор игр. Затем сравнивается, насколько часто они выбирают одинаковые уровни. Если различия часты, границы фактора нужно уточнить.</w:t>
      </w:r>
    </w:p>
    <w:p>
      <w:pPr>
        <w:pStyle w:val="Heading1"/>
      </w:pPr>
      <w:r>
        <w:t>10. Ограничения</w:t>
      </w:r>
    </w:p>
    <w:p>
      <w:r>
        <w:t>PS не является медицинской шкалой зависимости и не доказывает, что высокий score автоматически означает вред. Он описывает структуру монетизации. Некоторые механики могут влиять на несколько факторов одновременно: limited-time loot box относится и к FOMO, и к Randomness. Это допустимо, потому что факторы измеряют разные свойства одной механики.</w:t>
      </w:r>
    </w:p>
    <w:p>
      <w:pPr>
        <w:pStyle w:val="Heading1"/>
      </w:pPr>
      <w:r>
        <w:t>11. Источники</w:t>
      </w:r>
    </w:p>
    <w:p>
      <w:r>
        <w:rPr>
          <w:sz w:val="16"/>
        </w:rPr>
        <w:t>1. Federal Trade Commission (2025). Genshin Impact settlement: randomized rewards, limited-time promotion and virtual-currency price obscurity. ftc.gov.</w:t>
      </w:r>
    </w:p>
    <w:p>
      <w:r>
        <w:rPr>
          <w:sz w:val="16"/>
        </w:rPr>
        <w:t>2. European Commission / CPC Network (2025). Key Principles on In-Game Virtual Currencies. commission.europa.eu.</w:t>
      </w:r>
    </w:p>
    <w:p>
      <w:r>
        <w:rPr>
          <w:sz w:val="16"/>
        </w:rPr>
        <w:t>3. Federal Trade Commission (2023). Epic Games / Fortnite: dark patterns and unwanted in-game purchases. ftc.gov.</w:t>
      </w:r>
    </w:p>
    <w:p>
      <w:r>
        <w:rPr>
          <w:sz w:val="16"/>
        </w:rPr>
        <w:t>4. King, D. L. &amp; Delfabbro, P. H. (2018). Predatory monetization schemes in video games. Addiction, 113, 1967-1969. DOI: 10.1111/add.14286.</w:t>
      </w:r>
    </w:p>
    <w:p>
      <w:r>
        <w:rPr>
          <w:sz w:val="16"/>
        </w:rPr>
        <w:t>5. Petrovskaya, E. &amp; Zendle, D. (2022). Predatory Monetisation? Journal of Business Ethics, 181, 1065-1081. DOI: 10.1007/s10551-021-04970-6.</w:t>
      </w:r>
    </w:p>
    <w:p>
      <w:r>
        <w:rPr>
          <w:sz w:val="16"/>
        </w:rPr>
        <w:t>6. Zendle, D., Meyer, R. &amp; Ballou, N. (2020). The changing face of desktop video game monetisation. PLOS ONE 15(5): e0232780. DOI: 10.1371/journal.pone.0232780.</w:t>
      </w:r>
    </w:p>
    <w:p>
      <w:r>
        <w:br w:type="page"/>
      </w:r>
    </w:p>
    <w:p>
      <w:pPr>
        <w:jc w:val="center"/>
      </w:pPr>
      <w:r>
        <w:rPr>
          <w:rFonts w:ascii="Arial" w:hAnsi="Arial"/>
          <w:b/>
          <w:sz w:val="34"/>
        </w:rPr>
        <w:t>Monetization Lens: Pressure Score</w:t>
      </w:r>
    </w:p>
    <w:p>
      <w:pPr>
        <w:jc w:val="center"/>
      </w:pPr>
      <w:r>
        <w:rPr>
          <w:rFonts w:ascii="Arial" w:hAnsi="Arial"/>
          <w:i/>
          <w:sz w:val="20"/>
        </w:rPr>
        <w:t>Detailed methodology — English version</w:t>
      </w:r>
    </w:p>
    <w:p>
      <w:pPr>
        <w:pStyle w:val="Heading1"/>
      </w:pPr>
      <w:r>
        <w:t>1. What Pressure Score measures</w:t>
      </w:r>
    </w:p>
    <w:p>
      <w:r>
        <w:t>Pressure Score (PS) measures how strongly a game's monetization system uses pressure-oriented mechanics. Transaction Weight describes what is sold, while Pressure Score describes how the selling system is structured. The unit of analysis is the whole monetization system of the game, not an individual transaction.</w:t>
      </w:r>
    </w:p>
    <w:p>
      <w:r>
        <w:t>For example, one loot box does not receive its own PS. Instead, the Randomness factor asks how important paid randomized outcomes are to the game's monetization as a whole, how frequently they appear and how central they are compared with other monetization methods.</w:t>
      </w:r>
    </w:p>
    <w:p>
      <w:pPr>
        <w:pStyle w:val="Heading1"/>
      </w:pPr>
      <w:r>
        <w:t>2. Scoring structure</w:t>
      </w:r>
    </w:p>
    <w:p>
      <w:r>
        <w:t>The model uses 10 factors. The first nine use a 0 / 0.5 / 1 / 1.5 / 2 scale. Monetization Presence has only two values: 0 or 2.</w:t>
      </w:r>
    </w:p>
    <w:p>
      <w:pPr>
        <w:jc w:val="center"/>
      </w:pPr>
      <w:r>
        <w:rPr>
          <w:rFonts w:ascii="Cambria Math" w:hAnsi="Cambria Math"/>
          <w:b/>
          <w:sz w:val="22"/>
        </w:rPr>
        <w:t>Raw Pressure Score = sum of the 10 factor scores</w:t>
      </w:r>
    </w:p>
    <w:p>
      <w:pPr>
        <w:jc w:val="center"/>
      </w:pPr>
      <w:r>
        <w:rPr>
          <w:rFonts w:ascii="Cambria Math" w:hAnsi="Cambria Math"/>
          <w:b/>
          <w:sz w:val="22"/>
        </w:rPr>
        <w:t>Normalized Pressure Score = Raw Pressure Score / 20</w:t>
      </w:r>
    </w:p>
    <w:p>
      <w:r>
        <w:t>The maximum raw PS is 20. Normalized PS ranges from 0 to 1, or 0% to 100%. Example: 10.5 / 20 = 0.525 = 52.5%.</w:t>
      </w:r>
    </w:p>
    <w:p>
      <w:pPr>
        <w:pStyle w:val="Heading1"/>
      </w:pPr>
      <w:r>
        <w:t>3. Why these factors were selected</w:t>
      </w:r>
    </w:p>
    <w:p>
      <w:r>
        <w:t>The factors separate distinct monetization properties: time scarcity, randomness, price obscurity, active prompting, progression pressure, paid advantage, social comparison, completion loops and personalized offers. This avoids reducing the entire system to a vague judgment that a store simply “feels aggressive”.</w:t>
      </w:r>
    </w:p>
    <w:p>
      <w:r>
        <w:t>Academic and regulatory sources support the relevance of these practices, but they do not publish the Monetization Lens 0-2 scale. The scale is an original operationalization: game facts are matched to predefined boundaries.</w:t>
      </w:r>
    </w:p>
    <w:p>
      <w:pPr>
        <w:pStyle w:val="Heading1"/>
      </w:pPr>
      <w:r>
        <w:t>4. Exact scoring rules</w:t>
      </w:r>
    </w:p>
    <w:p>
      <w:pPr>
        <w:pStyle w:val="Heading2"/>
      </w:pPr>
      <w:r>
        <w:t>FOMO</w:t>
      </w:r>
    </w:p>
    <w:tbl>
      <w:tblPr>
        <w:tblStyle w:val="TableGrid"/>
        <w:tblW w:type="auto" w:w="0"/>
        <w:jc w:val="center"/>
        <w:tblLook w:firstColumn="1" w:firstRow="1" w:lastColumn="0" w:lastRow="0" w:noHBand="0" w:noVBand="1" w:val="04A0"/>
      </w:tblPr>
      <w:tblGrid>
        <w:gridCol w:w="5185"/>
        <w:gridCol w:w="5185"/>
      </w:tblGrid>
      <w:tr>
        <w:tc>
          <w:tcPr>
            <w:tcW w:type="dxa" w:w="5185"/>
            <w:vAlign w:val="center"/>
            <w:shd w:fill="D9E2F3"/>
          </w:tcPr>
          <w:p>
            <w:pPr>
              <w:spacing w:after="0"/>
            </w:pPr>
            <w:r/>
            <w:r>
              <w:rPr>
                <w:rFonts w:ascii="Arial" w:hAnsi="Arial"/>
                <w:b/>
                <w:sz w:val="15"/>
              </w:rPr>
              <w:t>Score</w:t>
            </w:r>
          </w:p>
        </w:tc>
        <w:tc>
          <w:tcPr>
            <w:tcW w:type="dxa" w:w="5185"/>
            <w:vAlign w:val="center"/>
            <w:shd w:fill="D9E2F3"/>
          </w:tcPr>
          <w:p>
            <w:pPr>
              <w:spacing w:after="0"/>
            </w:pPr>
            <w:r/>
            <w:r>
              <w:rPr>
                <w:rFonts w:ascii="Arial" w:hAnsi="Arial"/>
                <w:b/>
                <w:sz w:val="15"/>
              </w:rPr>
              <w:t>Rule</w:t>
            </w:r>
          </w:p>
        </w:tc>
      </w:tr>
      <w:tr>
        <w:tc>
          <w:tcPr>
            <w:tcW w:type="dxa" w:w="5185"/>
            <w:vAlign w:val="center"/>
          </w:tcPr>
          <w:p>
            <w:pPr>
              <w:spacing w:after="0"/>
            </w:pPr>
            <w:r/>
            <w:r>
              <w:rPr>
                <w:rFonts w:ascii="Arial" w:hAnsi="Arial"/>
                <w:b/>
                <w:sz w:val="15"/>
              </w:rPr>
              <w:t>0</w:t>
            </w:r>
          </w:p>
        </w:tc>
        <w:tc>
          <w:tcPr>
            <w:tcW w:type="dxa" w:w="5185"/>
            <w:vAlign w:val="center"/>
          </w:tcPr>
          <w:p>
            <w:pPr>
              <w:spacing w:after="0"/>
            </w:pPr>
            <w:r/>
            <w:r>
              <w:rPr>
                <w:rFonts w:ascii="Arial" w:hAnsi="Arial"/>
                <w:b w:val="0"/>
                <w:sz w:val="14"/>
              </w:rPr>
              <w:t>Paid offers and items are not time-limited and can be purchased later.</w:t>
            </w:r>
          </w:p>
        </w:tc>
      </w:tr>
      <w:tr>
        <w:tc>
          <w:tcPr>
            <w:tcW w:type="dxa" w:w="5185"/>
            <w:vAlign w:val="center"/>
          </w:tcPr>
          <w:p>
            <w:pPr>
              <w:spacing w:after="0"/>
            </w:pPr>
            <w:r/>
            <w:r>
              <w:rPr>
                <w:rFonts w:ascii="Arial" w:hAnsi="Arial"/>
                <w:b/>
                <w:sz w:val="15"/>
              </w:rPr>
              <w:t>0.5</w:t>
            </w:r>
          </w:p>
        </w:tc>
        <w:tc>
          <w:tcPr>
            <w:tcW w:type="dxa" w:w="5185"/>
            <w:vAlign w:val="center"/>
          </w:tcPr>
          <w:p>
            <w:pPr>
              <w:spacing w:after="0"/>
            </w:pPr>
            <w:r/>
            <w:r>
              <w:rPr>
                <w:rFonts w:ascii="Arial" w:hAnsi="Arial"/>
                <w:b w:val="0"/>
                <w:sz w:val="14"/>
              </w:rPr>
              <w:t>Limited offers exist, but they are rare and not a noticeable part of the store.</w:t>
            </w:r>
          </w:p>
        </w:tc>
      </w:tr>
      <w:tr>
        <w:tc>
          <w:tcPr>
            <w:tcW w:type="dxa" w:w="5185"/>
            <w:vAlign w:val="center"/>
          </w:tcPr>
          <w:p>
            <w:pPr>
              <w:spacing w:after="0"/>
            </w:pPr>
            <w:r/>
            <w:r>
              <w:rPr>
                <w:rFonts w:ascii="Arial" w:hAnsi="Arial"/>
                <w:b/>
                <w:sz w:val="15"/>
              </w:rPr>
              <w:t>1</w:t>
            </w:r>
          </w:p>
        </w:tc>
        <w:tc>
          <w:tcPr>
            <w:tcW w:type="dxa" w:w="5185"/>
            <w:vAlign w:val="center"/>
          </w:tcPr>
          <w:p>
            <w:pPr>
              <w:spacing w:after="0"/>
            </w:pPr>
            <w:r/>
            <w:r>
              <w:rPr>
                <w:rFonts w:ascii="Arial" w:hAnsi="Arial"/>
                <w:b w:val="0"/>
                <w:sz w:val="14"/>
              </w:rPr>
              <w:t>Temporary or exclusive offers appear regularly, while most of the store remains permanent.</w:t>
            </w:r>
          </w:p>
        </w:tc>
      </w:tr>
      <w:tr>
        <w:tc>
          <w:tcPr>
            <w:tcW w:type="dxa" w:w="5185"/>
            <w:vAlign w:val="center"/>
          </w:tcPr>
          <w:p>
            <w:pPr>
              <w:spacing w:after="0"/>
            </w:pPr>
            <w:r/>
            <w:r>
              <w:rPr>
                <w:rFonts w:ascii="Arial" w:hAnsi="Arial"/>
                <w:b/>
                <w:sz w:val="15"/>
              </w:rPr>
              <w:t>1.5</w:t>
            </w:r>
          </w:p>
        </w:tc>
        <w:tc>
          <w:tcPr>
            <w:tcW w:type="dxa" w:w="5185"/>
            <w:vAlign w:val="center"/>
          </w:tcPr>
          <w:p>
            <w:pPr>
              <w:spacing w:after="0"/>
            </w:pPr>
            <w:r/>
            <w:r>
              <w:rPr>
                <w:rFonts w:ascii="Arial" w:hAnsi="Arial"/>
                <w:b w:val="0"/>
                <w:sz w:val="14"/>
              </w:rPr>
              <w:t>A significant part of monetization is tied to seasons, rotations, limited items or timers.</w:t>
            </w:r>
          </w:p>
        </w:tc>
      </w:tr>
      <w:tr>
        <w:tc>
          <w:tcPr>
            <w:tcW w:type="dxa" w:w="5185"/>
            <w:vAlign w:val="center"/>
          </w:tcPr>
          <w:p>
            <w:pPr>
              <w:spacing w:after="0"/>
            </w:pPr>
            <w:r/>
            <w:r>
              <w:rPr>
                <w:rFonts w:ascii="Arial" w:hAnsi="Arial"/>
                <w:b/>
                <w:sz w:val="15"/>
              </w:rPr>
              <w:t>2</w:t>
            </w:r>
          </w:p>
        </w:tc>
        <w:tc>
          <w:tcPr>
            <w:tcW w:type="dxa" w:w="5185"/>
            <w:vAlign w:val="center"/>
          </w:tcPr>
          <w:p>
            <w:pPr>
              <w:spacing w:after="0"/>
            </w:pPr>
            <w:r/>
            <w:r>
              <w:rPr>
                <w:rFonts w:ascii="Arial" w:hAnsi="Arial"/>
                <w:b w:val="0"/>
                <w:sz w:val="14"/>
              </w:rPr>
              <w:t>FOMO is a core monetization mechanic: constant rotations, short timers, seasonal exclusives and repeated disappearance of paid content.</w:t>
            </w:r>
          </w:p>
        </w:tc>
      </w:tr>
    </w:tbl>
    <w:p>
      <w:pPr>
        <w:pStyle w:val="Heading2"/>
      </w:pPr>
      <w:r>
        <w:t>Randomness</w:t>
      </w:r>
    </w:p>
    <w:tbl>
      <w:tblPr>
        <w:tblStyle w:val="TableGrid"/>
        <w:tblW w:type="auto" w:w="0"/>
        <w:jc w:val="center"/>
        <w:tblLook w:firstColumn="1" w:firstRow="1" w:lastColumn="0" w:lastRow="0" w:noHBand="0" w:noVBand="1" w:val="04A0"/>
      </w:tblPr>
      <w:tblGrid>
        <w:gridCol w:w="5185"/>
        <w:gridCol w:w="5185"/>
      </w:tblGrid>
      <w:tr>
        <w:tc>
          <w:tcPr>
            <w:tcW w:type="dxa" w:w="5185"/>
            <w:vAlign w:val="center"/>
            <w:shd w:fill="D9E2F3"/>
          </w:tcPr>
          <w:p>
            <w:pPr>
              <w:spacing w:after="0"/>
            </w:pPr>
            <w:r/>
            <w:r>
              <w:rPr>
                <w:rFonts w:ascii="Arial" w:hAnsi="Arial"/>
                <w:b/>
                <w:sz w:val="15"/>
              </w:rPr>
              <w:t>Score</w:t>
            </w:r>
          </w:p>
        </w:tc>
        <w:tc>
          <w:tcPr>
            <w:tcW w:type="dxa" w:w="5185"/>
            <w:vAlign w:val="center"/>
            <w:shd w:fill="D9E2F3"/>
          </w:tcPr>
          <w:p>
            <w:pPr>
              <w:spacing w:after="0"/>
            </w:pPr>
            <w:r/>
            <w:r>
              <w:rPr>
                <w:rFonts w:ascii="Arial" w:hAnsi="Arial"/>
                <w:b/>
                <w:sz w:val="15"/>
              </w:rPr>
              <w:t>Rule</w:t>
            </w:r>
          </w:p>
        </w:tc>
      </w:tr>
      <w:tr>
        <w:tc>
          <w:tcPr>
            <w:tcW w:type="dxa" w:w="5185"/>
            <w:vAlign w:val="center"/>
          </w:tcPr>
          <w:p>
            <w:pPr>
              <w:spacing w:after="0"/>
            </w:pPr>
            <w:r/>
            <w:r>
              <w:rPr>
                <w:rFonts w:ascii="Arial" w:hAnsi="Arial"/>
                <w:b/>
                <w:sz w:val="15"/>
              </w:rPr>
              <w:t>0</w:t>
            </w:r>
          </w:p>
        </w:tc>
        <w:tc>
          <w:tcPr>
            <w:tcW w:type="dxa" w:w="5185"/>
            <w:vAlign w:val="center"/>
          </w:tcPr>
          <w:p>
            <w:pPr>
              <w:spacing w:after="0"/>
            </w:pPr>
            <w:r/>
            <w:r>
              <w:rPr>
                <w:rFonts w:ascii="Arial" w:hAnsi="Arial"/>
                <w:b w:val="0"/>
                <w:sz w:val="14"/>
              </w:rPr>
              <w:t>There are no paid mechanics with randomized outcomes.</w:t>
            </w:r>
          </w:p>
        </w:tc>
      </w:tr>
      <w:tr>
        <w:tc>
          <w:tcPr>
            <w:tcW w:type="dxa" w:w="5185"/>
            <w:vAlign w:val="center"/>
          </w:tcPr>
          <w:p>
            <w:pPr>
              <w:spacing w:after="0"/>
            </w:pPr>
            <w:r/>
            <w:r>
              <w:rPr>
                <w:rFonts w:ascii="Arial" w:hAnsi="Arial"/>
                <w:b/>
                <w:sz w:val="15"/>
              </w:rPr>
              <w:t>0.5</w:t>
            </w:r>
          </w:p>
        </w:tc>
        <w:tc>
          <w:tcPr>
            <w:tcW w:type="dxa" w:w="5185"/>
            <w:vAlign w:val="center"/>
          </w:tcPr>
          <w:p>
            <w:pPr>
              <w:spacing w:after="0"/>
            </w:pPr>
            <w:r/>
            <w:r>
              <w:rPr>
                <w:rFonts w:ascii="Arial" w:hAnsi="Arial"/>
                <w:b w:val="0"/>
                <w:sz w:val="14"/>
              </w:rPr>
              <w:t>They exist but are a minor part of monetization.</w:t>
            </w:r>
          </w:p>
        </w:tc>
      </w:tr>
      <w:tr>
        <w:tc>
          <w:tcPr>
            <w:tcW w:type="dxa" w:w="5185"/>
            <w:vAlign w:val="center"/>
          </w:tcPr>
          <w:p>
            <w:pPr>
              <w:spacing w:after="0"/>
            </w:pPr>
            <w:r/>
            <w:r>
              <w:rPr>
                <w:rFonts w:ascii="Arial" w:hAnsi="Arial"/>
                <w:b/>
                <w:sz w:val="15"/>
              </w:rPr>
              <w:t>1</w:t>
            </w:r>
          </w:p>
        </w:tc>
        <w:tc>
          <w:tcPr>
            <w:tcW w:type="dxa" w:w="5185"/>
            <w:vAlign w:val="center"/>
          </w:tcPr>
          <w:p>
            <w:pPr>
              <w:spacing w:after="0"/>
            </w:pPr>
            <w:r/>
            <w:r>
              <w:rPr>
                <w:rFonts w:ascii="Arial" w:hAnsi="Arial"/>
                <w:b w:val="0"/>
                <w:sz w:val="14"/>
              </w:rPr>
              <w:t>Randomized purchases appear regularly but are not a main monetization method.</w:t>
            </w:r>
          </w:p>
        </w:tc>
      </w:tr>
      <w:tr>
        <w:tc>
          <w:tcPr>
            <w:tcW w:type="dxa" w:w="5185"/>
            <w:vAlign w:val="center"/>
          </w:tcPr>
          <w:p>
            <w:pPr>
              <w:spacing w:after="0"/>
            </w:pPr>
            <w:r/>
            <w:r>
              <w:rPr>
                <w:rFonts w:ascii="Arial" w:hAnsi="Arial"/>
                <w:b/>
                <w:sz w:val="15"/>
              </w:rPr>
              <w:t>1.5</w:t>
            </w:r>
          </w:p>
        </w:tc>
        <w:tc>
          <w:tcPr>
            <w:tcW w:type="dxa" w:w="5185"/>
            <w:vAlign w:val="center"/>
          </w:tcPr>
          <w:p>
            <w:pPr>
              <w:spacing w:after="0"/>
            </w:pPr>
            <w:r/>
            <w:r>
              <w:rPr>
                <w:rFonts w:ascii="Arial" w:hAnsi="Arial"/>
                <w:b w:val="0"/>
                <w:sz w:val="14"/>
              </w:rPr>
              <w:t>Gacha, loot boxes or other random purchases are one of the main monetization components and are regularly promoted.</w:t>
            </w:r>
          </w:p>
        </w:tc>
      </w:tr>
      <w:tr>
        <w:tc>
          <w:tcPr>
            <w:tcW w:type="dxa" w:w="5185"/>
            <w:vAlign w:val="center"/>
          </w:tcPr>
          <w:p>
            <w:pPr>
              <w:spacing w:after="0"/>
            </w:pPr>
            <w:r/>
            <w:r>
              <w:rPr>
                <w:rFonts w:ascii="Arial" w:hAnsi="Arial"/>
                <w:b/>
                <w:sz w:val="15"/>
              </w:rPr>
              <w:t>2</w:t>
            </w:r>
          </w:p>
        </w:tc>
        <w:tc>
          <w:tcPr>
            <w:tcW w:type="dxa" w:w="5185"/>
            <w:vAlign w:val="center"/>
          </w:tcPr>
          <w:p>
            <w:pPr>
              <w:spacing w:after="0"/>
            </w:pPr>
            <w:r/>
            <w:r>
              <w:rPr>
                <w:rFonts w:ascii="Arial" w:hAnsi="Arial"/>
                <w:b w:val="0"/>
                <w:sz w:val="14"/>
              </w:rPr>
              <w:t>Monetization is substantially built around gacha, loot boxes, random packs or other paid randomized outcomes.</w:t>
            </w:r>
          </w:p>
        </w:tc>
      </w:tr>
    </w:tbl>
    <w:p>
      <w:pPr>
        <w:pStyle w:val="Heading2"/>
      </w:pPr>
      <w:r>
        <w:t>Price Obscurity</w:t>
      </w:r>
    </w:p>
    <w:tbl>
      <w:tblPr>
        <w:tblStyle w:val="TableGrid"/>
        <w:tblW w:type="auto" w:w="0"/>
        <w:jc w:val="center"/>
        <w:tblLook w:firstColumn="1" w:firstRow="1" w:lastColumn="0" w:lastRow="0" w:noHBand="0" w:noVBand="1" w:val="04A0"/>
      </w:tblPr>
      <w:tblGrid>
        <w:gridCol w:w="5185"/>
        <w:gridCol w:w="5185"/>
      </w:tblGrid>
      <w:tr>
        <w:tc>
          <w:tcPr>
            <w:tcW w:type="dxa" w:w="5185"/>
            <w:vAlign w:val="center"/>
            <w:shd w:fill="D9E2F3"/>
          </w:tcPr>
          <w:p>
            <w:pPr>
              <w:spacing w:after="0"/>
            </w:pPr>
            <w:r/>
            <w:r>
              <w:rPr>
                <w:rFonts w:ascii="Arial" w:hAnsi="Arial"/>
                <w:b/>
                <w:sz w:val="15"/>
              </w:rPr>
              <w:t>Score</w:t>
            </w:r>
          </w:p>
        </w:tc>
        <w:tc>
          <w:tcPr>
            <w:tcW w:type="dxa" w:w="5185"/>
            <w:vAlign w:val="center"/>
            <w:shd w:fill="D9E2F3"/>
          </w:tcPr>
          <w:p>
            <w:pPr>
              <w:spacing w:after="0"/>
            </w:pPr>
            <w:r/>
            <w:r>
              <w:rPr>
                <w:rFonts w:ascii="Arial" w:hAnsi="Arial"/>
                <w:b/>
                <w:sz w:val="15"/>
              </w:rPr>
              <w:t>Rule</w:t>
            </w:r>
          </w:p>
        </w:tc>
      </w:tr>
      <w:tr>
        <w:tc>
          <w:tcPr>
            <w:tcW w:type="dxa" w:w="5185"/>
            <w:vAlign w:val="center"/>
          </w:tcPr>
          <w:p>
            <w:pPr>
              <w:spacing w:after="0"/>
            </w:pPr>
            <w:r/>
            <w:r>
              <w:rPr>
                <w:rFonts w:ascii="Arial" w:hAnsi="Arial"/>
                <w:b/>
                <w:sz w:val="15"/>
              </w:rPr>
              <w:t>0</w:t>
            </w:r>
          </w:p>
        </w:tc>
        <w:tc>
          <w:tcPr>
            <w:tcW w:type="dxa" w:w="5185"/>
            <w:vAlign w:val="center"/>
          </w:tcPr>
          <w:p>
            <w:pPr>
              <w:spacing w:after="0"/>
            </w:pPr>
            <w:r/>
            <w:r>
              <w:rPr>
                <w:rFonts w:ascii="Arial" w:hAnsi="Arial"/>
                <w:b w:val="0"/>
                <w:sz w:val="14"/>
              </w:rPr>
              <w:t>Most prices are shown directly in real-world currency.</w:t>
            </w:r>
          </w:p>
        </w:tc>
      </w:tr>
      <w:tr>
        <w:tc>
          <w:tcPr>
            <w:tcW w:type="dxa" w:w="5185"/>
            <w:vAlign w:val="center"/>
          </w:tcPr>
          <w:p>
            <w:pPr>
              <w:spacing w:after="0"/>
            </w:pPr>
            <w:r/>
            <w:r>
              <w:rPr>
                <w:rFonts w:ascii="Arial" w:hAnsi="Arial"/>
                <w:b/>
                <w:sz w:val="15"/>
              </w:rPr>
              <w:t>0.5</w:t>
            </w:r>
          </w:p>
        </w:tc>
        <w:tc>
          <w:tcPr>
            <w:tcW w:type="dxa" w:w="5185"/>
            <w:vAlign w:val="center"/>
          </w:tcPr>
          <w:p>
            <w:pPr>
              <w:spacing w:after="0"/>
            </w:pPr>
            <w:r/>
            <w:r>
              <w:rPr>
                <w:rFonts w:ascii="Arial" w:hAnsi="Arial"/>
                <w:b w:val="0"/>
                <w:sz w:val="14"/>
              </w:rPr>
              <w:t>One virtual currency is used with a simple and obvious conversion.</w:t>
            </w:r>
          </w:p>
        </w:tc>
      </w:tr>
      <w:tr>
        <w:tc>
          <w:tcPr>
            <w:tcW w:type="dxa" w:w="5185"/>
            <w:vAlign w:val="center"/>
          </w:tcPr>
          <w:p>
            <w:pPr>
              <w:spacing w:after="0"/>
            </w:pPr>
            <w:r/>
            <w:r>
              <w:rPr>
                <w:rFonts w:ascii="Arial" w:hAnsi="Arial"/>
                <w:b/>
                <w:sz w:val="15"/>
              </w:rPr>
              <w:t>1</w:t>
            </w:r>
          </w:p>
        </w:tc>
        <w:tc>
          <w:tcPr>
            <w:tcW w:type="dxa" w:w="5185"/>
            <w:vAlign w:val="center"/>
          </w:tcPr>
          <w:p>
            <w:pPr>
              <w:spacing w:after="0"/>
            </w:pPr>
            <w:r/>
            <w:r>
              <w:rPr>
                <w:rFonts w:ascii="Arial" w:hAnsi="Arial"/>
                <w:b w:val="0"/>
                <w:sz w:val="14"/>
              </w:rPr>
              <w:t>Understanding the real price regularly requires conversion from virtual currency.</w:t>
            </w:r>
          </w:p>
        </w:tc>
      </w:tr>
      <w:tr>
        <w:tc>
          <w:tcPr>
            <w:tcW w:type="dxa" w:w="5185"/>
            <w:vAlign w:val="center"/>
          </w:tcPr>
          <w:p>
            <w:pPr>
              <w:spacing w:after="0"/>
            </w:pPr>
            <w:r/>
            <w:r>
              <w:rPr>
                <w:rFonts w:ascii="Arial" w:hAnsi="Arial"/>
                <w:b/>
                <w:sz w:val="15"/>
              </w:rPr>
              <w:t>1.5</w:t>
            </w:r>
          </w:p>
        </w:tc>
        <w:tc>
          <w:tcPr>
            <w:tcW w:type="dxa" w:w="5185"/>
            <w:vAlign w:val="center"/>
          </w:tcPr>
          <w:p>
            <w:pPr>
              <w:spacing w:after="0"/>
            </w:pPr>
            <w:r/>
            <w:r>
              <w:rPr>
                <w:rFonts w:ascii="Arial" w:hAnsi="Arial"/>
                <w:b w:val="0"/>
                <w:sz w:val="14"/>
              </w:rPr>
              <w:t>Currency bundles do not match item prices, leave leftovers, use bonus amounts or awkward denominations.</w:t>
            </w:r>
          </w:p>
        </w:tc>
      </w:tr>
      <w:tr>
        <w:tc>
          <w:tcPr>
            <w:tcW w:type="dxa" w:w="5185"/>
            <w:vAlign w:val="center"/>
          </w:tcPr>
          <w:p>
            <w:pPr>
              <w:spacing w:after="0"/>
            </w:pPr>
            <w:r/>
            <w:r>
              <w:rPr>
                <w:rFonts w:ascii="Arial" w:hAnsi="Arial"/>
                <w:b/>
                <w:sz w:val="15"/>
              </w:rPr>
              <w:t>2</w:t>
            </w:r>
          </w:p>
        </w:tc>
        <w:tc>
          <w:tcPr>
            <w:tcW w:type="dxa" w:w="5185"/>
            <w:vAlign w:val="center"/>
          </w:tcPr>
          <w:p>
            <w:pPr>
              <w:spacing w:after="0"/>
            </w:pPr>
            <w:r/>
            <w:r>
              <w:rPr>
                <w:rFonts w:ascii="Arial" w:hAnsi="Arial"/>
                <w:b w:val="0"/>
                <w:sz w:val="14"/>
              </w:rPr>
              <w:t>Multiple currencies or multiple conversion layers are systematically used, making the real-world cost difficult to determine.</w:t>
            </w:r>
          </w:p>
        </w:tc>
      </w:tr>
    </w:tbl>
    <w:p>
      <w:pPr>
        <w:pStyle w:val="Heading2"/>
      </w:pPr>
      <w:r>
        <w:t>Purchase Prompting</w:t>
      </w:r>
    </w:p>
    <w:tbl>
      <w:tblPr>
        <w:tblStyle w:val="TableGrid"/>
        <w:tblW w:type="auto" w:w="0"/>
        <w:jc w:val="center"/>
        <w:tblLook w:firstColumn="1" w:firstRow="1" w:lastColumn="0" w:lastRow="0" w:noHBand="0" w:noVBand="1" w:val="04A0"/>
      </w:tblPr>
      <w:tblGrid>
        <w:gridCol w:w="5185"/>
        <w:gridCol w:w="5185"/>
      </w:tblGrid>
      <w:tr>
        <w:tc>
          <w:tcPr>
            <w:tcW w:type="dxa" w:w="5185"/>
            <w:vAlign w:val="center"/>
            <w:shd w:fill="D9E2F3"/>
          </w:tcPr>
          <w:p>
            <w:pPr>
              <w:spacing w:after="0"/>
            </w:pPr>
            <w:r/>
            <w:r>
              <w:rPr>
                <w:rFonts w:ascii="Arial" w:hAnsi="Arial"/>
                <w:b/>
                <w:sz w:val="15"/>
              </w:rPr>
              <w:t>Score</w:t>
            </w:r>
          </w:p>
        </w:tc>
        <w:tc>
          <w:tcPr>
            <w:tcW w:type="dxa" w:w="5185"/>
            <w:vAlign w:val="center"/>
            <w:shd w:fill="D9E2F3"/>
          </w:tcPr>
          <w:p>
            <w:pPr>
              <w:spacing w:after="0"/>
            </w:pPr>
            <w:r/>
            <w:r>
              <w:rPr>
                <w:rFonts w:ascii="Arial" w:hAnsi="Arial"/>
                <w:b/>
                <w:sz w:val="15"/>
              </w:rPr>
              <w:t>Rule</w:t>
            </w:r>
          </w:p>
        </w:tc>
      </w:tr>
      <w:tr>
        <w:tc>
          <w:tcPr>
            <w:tcW w:type="dxa" w:w="5185"/>
            <w:vAlign w:val="center"/>
          </w:tcPr>
          <w:p>
            <w:pPr>
              <w:spacing w:after="0"/>
            </w:pPr>
            <w:r/>
            <w:r>
              <w:rPr>
                <w:rFonts w:ascii="Arial" w:hAnsi="Arial"/>
                <w:b/>
                <w:sz w:val="15"/>
              </w:rPr>
              <w:t>0</w:t>
            </w:r>
          </w:p>
        </w:tc>
        <w:tc>
          <w:tcPr>
            <w:tcW w:type="dxa" w:w="5185"/>
            <w:vAlign w:val="center"/>
          </w:tcPr>
          <w:p>
            <w:pPr>
              <w:spacing w:after="0"/>
            </w:pPr>
            <w:r/>
            <w:r>
              <w:rPr>
                <w:rFonts w:ascii="Arial" w:hAnsi="Arial"/>
                <w:b w:val="0"/>
                <w:sz w:val="14"/>
              </w:rPr>
              <w:t>The game rarely promotes purchases during normal play.</w:t>
            </w:r>
          </w:p>
        </w:tc>
      </w:tr>
      <w:tr>
        <w:tc>
          <w:tcPr>
            <w:tcW w:type="dxa" w:w="5185"/>
            <w:vAlign w:val="center"/>
          </w:tcPr>
          <w:p>
            <w:pPr>
              <w:spacing w:after="0"/>
            </w:pPr>
            <w:r/>
            <w:r>
              <w:rPr>
                <w:rFonts w:ascii="Arial" w:hAnsi="Arial"/>
                <w:b/>
                <w:sz w:val="15"/>
              </w:rPr>
              <w:t>0.5</w:t>
            </w:r>
          </w:p>
        </w:tc>
        <w:tc>
          <w:tcPr>
            <w:tcW w:type="dxa" w:w="5185"/>
            <w:vAlign w:val="center"/>
          </w:tcPr>
          <w:p>
            <w:pPr>
              <w:spacing w:after="0"/>
            </w:pPr>
            <w:r/>
            <w:r>
              <w:rPr>
                <w:rFonts w:ascii="Arial" w:hAnsi="Arial"/>
                <w:b w:val="0"/>
                <w:sz w:val="14"/>
              </w:rPr>
              <w:t>A store exists, but the player usually has to open it deliberately.</w:t>
            </w:r>
          </w:p>
        </w:tc>
      </w:tr>
      <w:tr>
        <w:tc>
          <w:tcPr>
            <w:tcW w:type="dxa" w:w="5185"/>
            <w:vAlign w:val="center"/>
          </w:tcPr>
          <w:p>
            <w:pPr>
              <w:spacing w:after="0"/>
            </w:pPr>
            <w:r/>
            <w:r>
              <w:rPr>
                <w:rFonts w:ascii="Arial" w:hAnsi="Arial"/>
                <w:b/>
                <w:sz w:val="15"/>
              </w:rPr>
              <w:t>1</w:t>
            </w:r>
          </w:p>
        </w:tc>
        <w:tc>
          <w:tcPr>
            <w:tcW w:type="dxa" w:w="5185"/>
            <w:vAlign w:val="center"/>
          </w:tcPr>
          <w:p>
            <w:pPr>
              <w:spacing w:after="0"/>
            </w:pPr>
            <w:r/>
            <w:r>
              <w:rPr>
                <w:rFonts w:ascii="Arial" w:hAnsi="Arial"/>
                <w:b w:val="0"/>
                <w:sz w:val="14"/>
              </w:rPr>
              <w:t>Offers are regularly visible in menus, lobbies or major interface screens.</w:t>
            </w:r>
          </w:p>
        </w:tc>
      </w:tr>
      <w:tr>
        <w:tc>
          <w:tcPr>
            <w:tcW w:type="dxa" w:w="5185"/>
            <w:vAlign w:val="center"/>
          </w:tcPr>
          <w:p>
            <w:pPr>
              <w:spacing w:after="0"/>
            </w:pPr>
            <w:r/>
            <w:r>
              <w:rPr>
                <w:rFonts w:ascii="Arial" w:hAnsi="Arial"/>
                <w:b/>
                <w:sz w:val="15"/>
              </w:rPr>
              <w:t>1.5</w:t>
            </w:r>
          </w:p>
        </w:tc>
        <w:tc>
          <w:tcPr>
            <w:tcW w:type="dxa" w:w="5185"/>
            <w:vAlign w:val="center"/>
          </w:tcPr>
          <w:p>
            <w:pPr>
              <w:spacing w:after="0"/>
            </w:pPr>
            <w:r/>
            <w:r>
              <w:rPr>
                <w:rFonts w:ascii="Arial" w:hAnsi="Arial"/>
                <w:b w:val="0"/>
                <w:sz w:val="14"/>
              </w:rPr>
              <w:t>Frequent pop-ups, promotional screens, reminders or special banners are used.</w:t>
            </w:r>
          </w:p>
        </w:tc>
      </w:tr>
      <w:tr>
        <w:tc>
          <w:tcPr>
            <w:tcW w:type="dxa" w:w="5185"/>
            <w:vAlign w:val="center"/>
          </w:tcPr>
          <w:p>
            <w:pPr>
              <w:spacing w:after="0"/>
            </w:pPr>
            <w:r/>
            <w:r>
              <w:rPr>
                <w:rFonts w:ascii="Arial" w:hAnsi="Arial"/>
                <w:b/>
                <w:sz w:val="15"/>
              </w:rPr>
              <w:t>2</w:t>
            </w:r>
          </w:p>
        </w:tc>
        <w:tc>
          <w:tcPr>
            <w:tcW w:type="dxa" w:w="5185"/>
            <w:vAlign w:val="center"/>
          </w:tcPr>
          <w:p>
            <w:pPr>
              <w:spacing w:after="0"/>
            </w:pPr>
            <w:r/>
            <w:r>
              <w:rPr>
                <w:rFonts w:ascii="Arial" w:hAnsi="Arial"/>
                <w:b w:val="0"/>
                <w:sz w:val="14"/>
              </w:rPr>
              <w:t>Purchases are systematically promoted after specific events such as login, loss, match end, resource depletion or other gameplay triggers.</w:t>
            </w:r>
          </w:p>
        </w:tc>
      </w:tr>
    </w:tbl>
    <w:p>
      <w:pPr>
        <w:pStyle w:val="Heading2"/>
      </w:pPr>
      <w:r>
        <w:t>Progress Pressure</w:t>
      </w:r>
    </w:p>
    <w:tbl>
      <w:tblPr>
        <w:tblStyle w:val="TableGrid"/>
        <w:tblW w:type="auto" w:w="0"/>
        <w:jc w:val="center"/>
        <w:tblLook w:firstColumn="1" w:firstRow="1" w:lastColumn="0" w:lastRow="0" w:noHBand="0" w:noVBand="1" w:val="04A0"/>
      </w:tblPr>
      <w:tblGrid>
        <w:gridCol w:w="5185"/>
        <w:gridCol w:w="5185"/>
      </w:tblGrid>
      <w:tr>
        <w:tc>
          <w:tcPr>
            <w:tcW w:type="dxa" w:w="5185"/>
            <w:vAlign w:val="center"/>
            <w:shd w:fill="D9E2F3"/>
          </w:tcPr>
          <w:p>
            <w:pPr>
              <w:spacing w:after="0"/>
            </w:pPr>
            <w:r/>
            <w:r>
              <w:rPr>
                <w:rFonts w:ascii="Arial" w:hAnsi="Arial"/>
                <w:b/>
                <w:sz w:val="15"/>
              </w:rPr>
              <w:t>Score</w:t>
            </w:r>
          </w:p>
        </w:tc>
        <w:tc>
          <w:tcPr>
            <w:tcW w:type="dxa" w:w="5185"/>
            <w:vAlign w:val="center"/>
            <w:shd w:fill="D9E2F3"/>
          </w:tcPr>
          <w:p>
            <w:pPr>
              <w:spacing w:after="0"/>
            </w:pPr>
            <w:r/>
            <w:r>
              <w:rPr>
                <w:rFonts w:ascii="Arial" w:hAnsi="Arial"/>
                <w:b/>
                <w:sz w:val="15"/>
              </w:rPr>
              <w:t>Rule</w:t>
            </w:r>
          </w:p>
        </w:tc>
      </w:tr>
      <w:tr>
        <w:tc>
          <w:tcPr>
            <w:tcW w:type="dxa" w:w="5185"/>
            <w:vAlign w:val="center"/>
          </w:tcPr>
          <w:p>
            <w:pPr>
              <w:spacing w:after="0"/>
            </w:pPr>
            <w:r/>
            <w:r>
              <w:rPr>
                <w:rFonts w:ascii="Arial" w:hAnsi="Arial"/>
                <w:b/>
                <w:sz w:val="15"/>
              </w:rPr>
              <w:t>0</w:t>
            </w:r>
          </w:p>
        </w:tc>
        <w:tc>
          <w:tcPr>
            <w:tcW w:type="dxa" w:w="5185"/>
            <w:vAlign w:val="center"/>
          </w:tcPr>
          <w:p>
            <w:pPr>
              <w:spacing w:after="0"/>
            </w:pPr>
            <w:r/>
            <w:r>
              <w:rPr>
                <w:rFonts w:ascii="Arial" w:hAnsi="Arial"/>
                <w:b w:val="0"/>
                <w:sz w:val="14"/>
              </w:rPr>
              <w:t>Purchases do not accelerate progress or reduce waiting.</w:t>
            </w:r>
          </w:p>
        </w:tc>
      </w:tr>
      <w:tr>
        <w:tc>
          <w:tcPr>
            <w:tcW w:type="dxa" w:w="5185"/>
            <w:vAlign w:val="center"/>
          </w:tcPr>
          <w:p>
            <w:pPr>
              <w:spacing w:after="0"/>
            </w:pPr>
            <w:r/>
            <w:r>
              <w:rPr>
                <w:rFonts w:ascii="Arial" w:hAnsi="Arial"/>
                <w:b/>
                <w:sz w:val="15"/>
              </w:rPr>
              <w:t>0.5</w:t>
            </w:r>
          </w:p>
        </w:tc>
        <w:tc>
          <w:tcPr>
            <w:tcW w:type="dxa" w:w="5185"/>
            <w:vAlign w:val="center"/>
          </w:tcPr>
          <w:p>
            <w:pPr>
              <w:spacing w:after="0"/>
            </w:pPr>
            <w:r/>
            <w:r>
              <w:rPr>
                <w:rFonts w:ascii="Arial" w:hAnsi="Arial"/>
                <w:b w:val="0"/>
                <w:sz w:val="14"/>
              </w:rPr>
              <w:t>Paid acceleration exists but has a small effect.</w:t>
            </w:r>
          </w:p>
        </w:tc>
      </w:tr>
      <w:tr>
        <w:tc>
          <w:tcPr>
            <w:tcW w:type="dxa" w:w="5185"/>
            <w:vAlign w:val="center"/>
          </w:tcPr>
          <w:p>
            <w:pPr>
              <w:spacing w:after="0"/>
            </w:pPr>
            <w:r/>
            <w:r>
              <w:rPr>
                <w:rFonts w:ascii="Arial" w:hAnsi="Arial"/>
                <w:b/>
                <w:sz w:val="15"/>
              </w:rPr>
              <w:t>1</w:t>
            </w:r>
          </w:p>
        </w:tc>
        <w:tc>
          <w:tcPr>
            <w:tcW w:type="dxa" w:w="5185"/>
            <w:vAlign w:val="center"/>
          </w:tcPr>
          <w:p>
            <w:pPr>
              <w:spacing w:after="0"/>
            </w:pPr>
            <w:r/>
            <w:r>
              <w:rPr>
                <w:rFonts w:ascii="Arial" w:hAnsi="Arial"/>
                <w:b w:val="0"/>
                <w:sz w:val="14"/>
              </w:rPr>
              <w:t>Purchases noticeably reduce some grind or waiting.</w:t>
            </w:r>
          </w:p>
        </w:tc>
      </w:tr>
      <w:tr>
        <w:tc>
          <w:tcPr>
            <w:tcW w:type="dxa" w:w="5185"/>
            <w:vAlign w:val="center"/>
          </w:tcPr>
          <w:p>
            <w:pPr>
              <w:spacing w:after="0"/>
            </w:pPr>
            <w:r/>
            <w:r>
              <w:rPr>
                <w:rFonts w:ascii="Arial" w:hAnsi="Arial"/>
                <w:b/>
                <w:sz w:val="15"/>
              </w:rPr>
              <w:t>1.5</w:t>
            </w:r>
          </w:p>
        </w:tc>
        <w:tc>
          <w:tcPr>
            <w:tcW w:type="dxa" w:w="5185"/>
            <w:vAlign w:val="center"/>
          </w:tcPr>
          <w:p>
            <w:pPr>
              <w:spacing w:after="0"/>
            </w:pPr>
            <w:r/>
            <w:r>
              <w:rPr>
                <w:rFonts w:ascii="Arial" w:hAnsi="Arial"/>
                <w:b w:val="0"/>
                <w:sz w:val="14"/>
              </w:rPr>
              <w:t>Paid mechanics allow the player to bypass a significant part of grind, waiting or progression gates.</w:t>
            </w:r>
          </w:p>
        </w:tc>
      </w:tr>
      <w:tr>
        <w:tc>
          <w:tcPr>
            <w:tcW w:type="dxa" w:w="5185"/>
            <w:vAlign w:val="center"/>
          </w:tcPr>
          <w:p>
            <w:pPr>
              <w:spacing w:after="0"/>
            </w:pPr>
            <w:r/>
            <w:r>
              <w:rPr>
                <w:rFonts w:ascii="Arial" w:hAnsi="Arial"/>
                <w:b/>
                <w:sz w:val="15"/>
              </w:rPr>
              <w:t>2</w:t>
            </w:r>
          </w:p>
        </w:tc>
        <w:tc>
          <w:tcPr>
            <w:tcW w:type="dxa" w:w="5185"/>
            <w:vAlign w:val="center"/>
          </w:tcPr>
          <w:p>
            <w:pPr>
              <w:spacing w:after="0"/>
            </w:pPr>
            <w:r/>
            <w:r>
              <w:rPr>
                <w:rFonts w:ascii="Arial" w:hAnsi="Arial"/>
                <w:b w:val="0"/>
                <w:sz w:val="14"/>
              </w:rPr>
              <w:t>Players can directly skip a large part of progression, waiting or repetitive actions by paying.</w:t>
            </w:r>
          </w:p>
        </w:tc>
      </w:tr>
    </w:tbl>
    <w:p>
      <w:pPr>
        <w:pStyle w:val="Heading2"/>
      </w:pPr>
      <w:r>
        <w:t>Competitive Advantage</w:t>
      </w:r>
    </w:p>
    <w:tbl>
      <w:tblPr>
        <w:tblStyle w:val="TableGrid"/>
        <w:tblW w:type="auto" w:w="0"/>
        <w:jc w:val="center"/>
        <w:tblLook w:firstColumn="1" w:firstRow="1" w:lastColumn="0" w:lastRow="0" w:noHBand="0" w:noVBand="1" w:val="04A0"/>
      </w:tblPr>
      <w:tblGrid>
        <w:gridCol w:w="5185"/>
        <w:gridCol w:w="5185"/>
      </w:tblGrid>
      <w:tr>
        <w:tc>
          <w:tcPr>
            <w:tcW w:type="dxa" w:w="5185"/>
            <w:vAlign w:val="center"/>
            <w:shd w:fill="D9E2F3"/>
          </w:tcPr>
          <w:p>
            <w:pPr>
              <w:spacing w:after="0"/>
            </w:pPr>
            <w:r/>
            <w:r>
              <w:rPr>
                <w:rFonts w:ascii="Arial" w:hAnsi="Arial"/>
                <w:b/>
                <w:sz w:val="15"/>
              </w:rPr>
              <w:t>Score</w:t>
            </w:r>
          </w:p>
        </w:tc>
        <w:tc>
          <w:tcPr>
            <w:tcW w:type="dxa" w:w="5185"/>
            <w:vAlign w:val="center"/>
            <w:shd w:fill="D9E2F3"/>
          </w:tcPr>
          <w:p>
            <w:pPr>
              <w:spacing w:after="0"/>
            </w:pPr>
            <w:r/>
            <w:r>
              <w:rPr>
                <w:rFonts w:ascii="Arial" w:hAnsi="Arial"/>
                <w:b/>
                <w:sz w:val="15"/>
              </w:rPr>
              <w:t>Rule</w:t>
            </w:r>
          </w:p>
        </w:tc>
      </w:tr>
      <w:tr>
        <w:tc>
          <w:tcPr>
            <w:tcW w:type="dxa" w:w="5185"/>
            <w:vAlign w:val="center"/>
          </w:tcPr>
          <w:p>
            <w:pPr>
              <w:spacing w:after="0"/>
            </w:pPr>
            <w:r/>
            <w:r>
              <w:rPr>
                <w:rFonts w:ascii="Arial" w:hAnsi="Arial"/>
                <w:b/>
                <w:sz w:val="15"/>
              </w:rPr>
              <w:t>0</w:t>
            </w:r>
          </w:p>
        </w:tc>
        <w:tc>
          <w:tcPr>
            <w:tcW w:type="dxa" w:w="5185"/>
            <w:vAlign w:val="center"/>
          </w:tcPr>
          <w:p>
            <w:pPr>
              <w:spacing w:after="0"/>
            </w:pPr>
            <w:r/>
            <w:r>
              <w:rPr>
                <w:rFonts w:ascii="Arial" w:hAnsi="Arial"/>
                <w:b w:val="0"/>
                <w:sz w:val="14"/>
              </w:rPr>
              <w:t>Purchases provide no gameplay advantage.</w:t>
            </w:r>
          </w:p>
        </w:tc>
      </w:tr>
      <w:tr>
        <w:tc>
          <w:tcPr>
            <w:tcW w:type="dxa" w:w="5185"/>
            <w:vAlign w:val="center"/>
          </w:tcPr>
          <w:p>
            <w:pPr>
              <w:spacing w:after="0"/>
            </w:pPr>
            <w:r/>
            <w:r>
              <w:rPr>
                <w:rFonts w:ascii="Arial" w:hAnsi="Arial"/>
                <w:b/>
                <w:sz w:val="15"/>
              </w:rPr>
              <w:t>0.5</w:t>
            </w:r>
          </w:p>
        </w:tc>
        <w:tc>
          <w:tcPr>
            <w:tcW w:type="dxa" w:w="5185"/>
            <w:vAlign w:val="center"/>
          </w:tcPr>
          <w:p>
            <w:pPr>
              <w:spacing w:after="0"/>
            </w:pPr>
            <w:r/>
            <w:r>
              <w:rPr>
                <w:rFonts w:ascii="Arial" w:hAnsi="Arial"/>
                <w:b w:val="0"/>
                <w:sz w:val="14"/>
              </w:rPr>
              <w:t>The advantage is minimal and has little practical effect.</w:t>
            </w:r>
          </w:p>
        </w:tc>
      </w:tr>
      <w:tr>
        <w:tc>
          <w:tcPr>
            <w:tcW w:type="dxa" w:w="5185"/>
            <w:vAlign w:val="center"/>
          </w:tcPr>
          <w:p>
            <w:pPr>
              <w:spacing w:after="0"/>
            </w:pPr>
            <w:r/>
            <w:r>
              <w:rPr>
                <w:rFonts w:ascii="Arial" w:hAnsi="Arial"/>
                <w:b/>
                <w:sz w:val="15"/>
              </w:rPr>
              <w:t>1</w:t>
            </w:r>
          </w:p>
        </w:tc>
        <w:tc>
          <w:tcPr>
            <w:tcW w:type="dxa" w:w="5185"/>
            <w:vAlign w:val="center"/>
          </w:tcPr>
          <w:p>
            <w:pPr>
              <w:spacing w:after="0"/>
            </w:pPr>
            <w:r/>
            <w:r>
              <w:rPr>
                <w:rFonts w:ascii="Arial" w:hAnsi="Arial"/>
                <w:b w:val="0"/>
                <w:sz w:val="14"/>
              </w:rPr>
              <w:t>Purchases provide a measurable advantage, but a comparable advantage is relatively easy to obtain for free.</w:t>
            </w:r>
          </w:p>
        </w:tc>
      </w:tr>
      <w:tr>
        <w:tc>
          <w:tcPr>
            <w:tcW w:type="dxa" w:w="5185"/>
            <w:vAlign w:val="center"/>
          </w:tcPr>
          <w:p>
            <w:pPr>
              <w:spacing w:after="0"/>
            </w:pPr>
            <w:r/>
            <w:r>
              <w:rPr>
                <w:rFonts w:ascii="Arial" w:hAnsi="Arial"/>
                <w:b/>
                <w:sz w:val="15"/>
              </w:rPr>
              <w:t>1.5</w:t>
            </w:r>
          </w:p>
        </w:tc>
        <w:tc>
          <w:tcPr>
            <w:tcW w:type="dxa" w:w="5185"/>
            <w:vAlign w:val="center"/>
          </w:tcPr>
          <w:p>
            <w:pPr>
              <w:spacing w:after="0"/>
            </w:pPr>
            <w:r/>
            <w:r>
              <w:rPr>
                <w:rFonts w:ascii="Arial" w:hAnsi="Arial"/>
                <w:b w:val="0"/>
                <w:sz w:val="14"/>
              </w:rPr>
              <w:t>The purchase provides a significant advantage or free acquisition requires substantially more time or effort.</w:t>
            </w:r>
          </w:p>
        </w:tc>
      </w:tr>
      <w:tr>
        <w:tc>
          <w:tcPr>
            <w:tcW w:type="dxa" w:w="5185"/>
            <w:vAlign w:val="center"/>
          </w:tcPr>
          <w:p>
            <w:pPr>
              <w:spacing w:after="0"/>
            </w:pPr>
            <w:r/>
            <w:r>
              <w:rPr>
                <w:rFonts w:ascii="Arial" w:hAnsi="Arial"/>
                <w:b/>
                <w:sz w:val="15"/>
              </w:rPr>
              <w:t>2</w:t>
            </w:r>
          </w:p>
        </w:tc>
        <w:tc>
          <w:tcPr>
            <w:tcW w:type="dxa" w:w="5185"/>
            <w:vAlign w:val="center"/>
          </w:tcPr>
          <w:p>
            <w:pPr>
              <w:spacing w:after="0"/>
            </w:pPr>
            <w:r/>
            <w:r>
              <w:rPr>
                <w:rFonts w:ascii="Arial" w:hAnsi="Arial"/>
                <w:b w:val="0"/>
                <w:sz w:val="14"/>
              </w:rPr>
              <w:t>Significant power, strong characters, weapons, stats or other competitive advantages are directly purchasable.</w:t>
            </w:r>
          </w:p>
        </w:tc>
      </w:tr>
    </w:tbl>
    <w:p>
      <w:pPr>
        <w:pStyle w:val="Heading2"/>
      </w:pPr>
      <w:r>
        <w:t>Social Pressure</w:t>
      </w:r>
    </w:p>
    <w:tbl>
      <w:tblPr>
        <w:tblStyle w:val="TableGrid"/>
        <w:tblW w:type="auto" w:w="0"/>
        <w:jc w:val="center"/>
        <w:tblLook w:firstColumn="1" w:firstRow="1" w:lastColumn="0" w:lastRow="0" w:noHBand="0" w:noVBand="1" w:val="04A0"/>
      </w:tblPr>
      <w:tblGrid>
        <w:gridCol w:w="5185"/>
        <w:gridCol w:w="5185"/>
      </w:tblGrid>
      <w:tr>
        <w:tc>
          <w:tcPr>
            <w:tcW w:type="dxa" w:w="5185"/>
            <w:vAlign w:val="center"/>
            <w:shd w:fill="D9E2F3"/>
          </w:tcPr>
          <w:p>
            <w:pPr>
              <w:spacing w:after="0"/>
            </w:pPr>
            <w:r/>
            <w:r>
              <w:rPr>
                <w:rFonts w:ascii="Arial" w:hAnsi="Arial"/>
                <w:b/>
                <w:sz w:val="15"/>
              </w:rPr>
              <w:t>Score</w:t>
            </w:r>
          </w:p>
        </w:tc>
        <w:tc>
          <w:tcPr>
            <w:tcW w:type="dxa" w:w="5185"/>
            <w:vAlign w:val="center"/>
            <w:shd w:fill="D9E2F3"/>
          </w:tcPr>
          <w:p>
            <w:pPr>
              <w:spacing w:after="0"/>
            </w:pPr>
            <w:r/>
            <w:r>
              <w:rPr>
                <w:rFonts w:ascii="Arial" w:hAnsi="Arial"/>
                <w:b/>
                <w:sz w:val="15"/>
              </w:rPr>
              <w:t>Rule</w:t>
            </w:r>
          </w:p>
        </w:tc>
      </w:tr>
      <w:tr>
        <w:tc>
          <w:tcPr>
            <w:tcW w:type="dxa" w:w="5185"/>
            <w:vAlign w:val="center"/>
          </w:tcPr>
          <w:p>
            <w:pPr>
              <w:spacing w:after="0"/>
            </w:pPr>
            <w:r/>
            <w:r>
              <w:rPr>
                <w:rFonts w:ascii="Arial" w:hAnsi="Arial"/>
                <w:b/>
                <w:sz w:val="15"/>
              </w:rPr>
              <w:t>0</w:t>
            </w:r>
          </w:p>
        </w:tc>
        <w:tc>
          <w:tcPr>
            <w:tcW w:type="dxa" w:w="5185"/>
            <w:vAlign w:val="center"/>
          </w:tcPr>
          <w:p>
            <w:pPr>
              <w:spacing w:after="0"/>
            </w:pPr>
            <w:r/>
            <w:r>
              <w:rPr>
                <w:rFonts w:ascii="Arial" w:hAnsi="Arial"/>
                <w:b w:val="0"/>
                <w:sz w:val="14"/>
              </w:rPr>
              <w:t>Monetization makes little use of social comparison.</w:t>
            </w:r>
          </w:p>
        </w:tc>
      </w:tr>
      <w:tr>
        <w:tc>
          <w:tcPr>
            <w:tcW w:type="dxa" w:w="5185"/>
            <w:vAlign w:val="center"/>
          </w:tcPr>
          <w:p>
            <w:pPr>
              <w:spacing w:after="0"/>
            </w:pPr>
            <w:r/>
            <w:r>
              <w:rPr>
                <w:rFonts w:ascii="Arial" w:hAnsi="Arial"/>
                <w:b/>
                <w:sz w:val="15"/>
              </w:rPr>
              <w:t>0.5</w:t>
            </w:r>
          </w:p>
        </w:tc>
        <w:tc>
          <w:tcPr>
            <w:tcW w:type="dxa" w:w="5185"/>
            <w:vAlign w:val="center"/>
          </w:tcPr>
          <w:p>
            <w:pPr>
              <w:spacing w:after="0"/>
            </w:pPr>
            <w:r/>
            <w:r>
              <w:rPr>
                <w:rFonts w:ascii="Arial" w:hAnsi="Arial"/>
                <w:b w:val="0"/>
                <w:sz w:val="14"/>
              </w:rPr>
              <w:t>Purchased items are visible to others but are not strongly emphasized.</w:t>
            </w:r>
          </w:p>
        </w:tc>
      </w:tr>
      <w:tr>
        <w:tc>
          <w:tcPr>
            <w:tcW w:type="dxa" w:w="5185"/>
            <w:vAlign w:val="center"/>
          </w:tcPr>
          <w:p>
            <w:pPr>
              <w:spacing w:after="0"/>
            </w:pPr>
            <w:r/>
            <w:r>
              <w:rPr>
                <w:rFonts w:ascii="Arial" w:hAnsi="Arial"/>
                <w:b/>
                <w:sz w:val="15"/>
              </w:rPr>
              <w:t>1</w:t>
            </w:r>
          </w:p>
        </w:tc>
        <w:tc>
          <w:tcPr>
            <w:tcW w:type="dxa" w:w="5185"/>
            <w:vAlign w:val="center"/>
          </w:tcPr>
          <w:p>
            <w:pPr>
              <w:spacing w:after="0"/>
            </w:pPr>
            <w:r/>
            <w:r>
              <w:rPr>
                <w:rFonts w:ascii="Arial" w:hAnsi="Arial"/>
                <w:b w:val="0"/>
                <w:sz w:val="14"/>
              </w:rPr>
              <w:t>Paid items, rarity or status are regularly displayed to other players.</w:t>
            </w:r>
          </w:p>
        </w:tc>
      </w:tr>
      <w:tr>
        <w:tc>
          <w:tcPr>
            <w:tcW w:type="dxa" w:w="5185"/>
            <w:vAlign w:val="center"/>
          </w:tcPr>
          <w:p>
            <w:pPr>
              <w:spacing w:after="0"/>
            </w:pPr>
            <w:r/>
            <w:r>
              <w:rPr>
                <w:rFonts w:ascii="Arial" w:hAnsi="Arial"/>
                <w:b/>
                <w:sz w:val="15"/>
              </w:rPr>
              <w:t>1.5</w:t>
            </w:r>
          </w:p>
        </w:tc>
        <w:tc>
          <w:tcPr>
            <w:tcW w:type="dxa" w:w="5185"/>
            <w:vAlign w:val="center"/>
          </w:tcPr>
          <w:p>
            <w:pPr>
              <w:spacing w:after="0"/>
            </w:pPr>
            <w:r/>
            <w:r>
              <w:rPr>
                <w:rFonts w:ascii="Arial" w:hAnsi="Arial"/>
                <w:b w:val="0"/>
                <w:sz w:val="14"/>
              </w:rPr>
              <w:t>VIP labels, rarity, gifting, public collections, ranks or other status elements are used.</w:t>
            </w:r>
          </w:p>
        </w:tc>
      </w:tr>
      <w:tr>
        <w:tc>
          <w:tcPr>
            <w:tcW w:type="dxa" w:w="5185"/>
            <w:vAlign w:val="center"/>
          </w:tcPr>
          <w:p>
            <w:pPr>
              <w:spacing w:after="0"/>
            </w:pPr>
            <w:r/>
            <w:r>
              <w:rPr>
                <w:rFonts w:ascii="Arial" w:hAnsi="Arial"/>
                <w:b/>
                <w:sz w:val="15"/>
              </w:rPr>
              <w:t>2</w:t>
            </w:r>
          </w:p>
        </w:tc>
        <w:tc>
          <w:tcPr>
            <w:tcW w:type="dxa" w:w="5185"/>
            <w:vAlign w:val="center"/>
          </w:tcPr>
          <w:p>
            <w:pPr>
              <w:spacing w:after="0"/>
            </w:pPr>
            <w:r/>
            <w:r>
              <w:rPr>
                <w:rFonts w:ascii="Arial" w:hAnsi="Arial"/>
                <w:b w:val="0"/>
                <w:sz w:val="14"/>
              </w:rPr>
              <w:t>Social comparison and the display of paid status are systematically integrated into monetization.</w:t>
            </w:r>
          </w:p>
        </w:tc>
      </w:tr>
    </w:tbl>
    <w:p>
      <w:pPr>
        <w:pStyle w:val="Heading2"/>
      </w:pPr>
      <w:r>
        <w:t>Completion Pressure</w:t>
      </w:r>
    </w:p>
    <w:tbl>
      <w:tblPr>
        <w:tblStyle w:val="TableGrid"/>
        <w:tblW w:type="auto" w:w="0"/>
        <w:jc w:val="center"/>
        <w:tblLook w:firstColumn="1" w:firstRow="1" w:lastColumn="0" w:lastRow="0" w:noHBand="0" w:noVBand="1" w:val="04A0"/>
      </w:tblPr>
      <w:tblGrid>
        <w:gridCol w:w="5185"/>
        <w:gridCol w:w="5185"/>
      </w:tblGrid>
      <w:tr>
        <w:tc>
          <w:tcPr>
            <w:tcW w:type="dxa" w:w="5185"/>
            <w:vAlign w:val="center"/>
            <w:shd w:fill="D9E2F3"/>
          </w:tcPr>
          <w:p>
            <w:pPr>
              <w:spacing w:after="0"/>
            </w:pPr>
            <w:r/>
            <w:r>
              <w:rPr>
                <w:rFonts w:ascii="Arial" w:hAnsi="Arial"/>
                <w:b/>
                <w:sz w:val="15"/>
              </w:rPr>
              <w:t>Score</w:t>
            </w:r>
          </w:p>
        </w:tc>
        <w:tc>
          <w:tcPr>
            <w:tcW w:type="dxa" w:w="5185"/>
            <w:vAlign w:val="center"/>
            <w:shd w:fill="D9E2F3"/>
          </w:tcPr>
          <w:p>
            <w:pPr>
              <w:spacing w:after="0"/>
            </w:pPr>
            <w:r/>
            <w:r>
              <w:rPr>
                <w:rFonts w:ascii="Arial" w:hAnsi="Arial"/>
                <w:b/>
                <w:sz w:val="15"/>
              </w:rPr>
              <w:t>Rule</w:t>
            </w:r>
          </w:p>
        </w:tc>
      </w:tr>
      <w:tr>
        <w:tc>
          <w:tcPr>
            <w:tcW w:type="dxa" w:w="5185"/>
            <w:vAlign w:val="center"/>
          </w:tcPr>
          <w:p>
            <w:pPr>
              <w:spacing w:after="0"/>
            </w:pPr>
            <w:r/>
            <w:r>
              <w:rPr>
                <w:rFonts w:ascii="Arial" w:hAnsi="Arial"/>
                <w:b/>
                <w:sz w:val="15"/>
              </w:rPr>
              <w:t>0</w:t>
            </w:r>
          </w:p>
        </w:tc>
        <w:tc>
          <w:tcPr>
            <w:tcW w:type="dxa" w:w="5185"/>
            <w:vAlign w:val="center"/>
          </w:tcPr>
          <w:p>
            <w:pPr>
              <w:spacing w:after="0"/>
            </w:pPr>
            <w:r/>
            <w:r>
              <w:rPr>
                <w:rFonts w:ascii="Arial" w:hAnsi="Arial"/>
                <w:b w:val="0"/>
                <w:sz w:val="14"/>
              </w:rPr>
              <w:t>Monetization is not connected to collections or set completion.</w:t>
            </w:r>
          </w:p>
        </w:tc>
      </w:tr>
      <w:tr>
        <w:tc>
          <w:tcPr>
            <w:tcW w:type="dxa" w:w="5185"/>
            <w:vAlign w:val="center"/>
          </w:tcPr>
          <w:p>
            <w:pPr>
              <w:spacing w:after="0"/>
            </w:pPr>
            <w:r/>
            <w:r>
              <w:rPr>
                <w:rFonts w:ascii="Arial" w:hAnsi="Arial"/>
                <w:b/>
                <w:sz w:val="15"/>
              </w:rPr>
              <w:t>0.5</w:t>
            </w:r>
          </w:p>
        </w:tc>
        <w:tc>
          <w:tcPr>
            <w:tcW w:type="dxa" w:w="5185"/>
            <w:vAlign w:val="center"/>
          </w:tcPr>
          <w:p>
            <w:pPr>
              <w:spacing w:after="0"/>
            </w:pPr>
            <w:r/>
            <w:r>
              <w:rPr>
                <w:rFonts w:ascii="Arial" w:hAnsi="Arial"/>
                <w:b w:val="0"/>
                <w:sz w:val="14"/>
              </w:rPr>
              <w:t>Paid collectible items exist, but completion is barely encouraged.</w:t>
            </w:r>
          </w:p>
        </w:tc>
      </w:tr>
      <w:tr>
        <w:tc>
          <w:tcPr>
            <w:tcW w:type="dxa" w:w="5185"/>
            <w:vAlign w:val="center"/>
          </w:tcPr>
          <w:p>
            <w:pPr>
              <w:spacing w:after="0"/>
            </w:pPr>
            <w:r/>
            <w:r>
              <w:rPr>
                <w:rFonts w:ascii="Arial" w:hAnsi="Arial"/>
                <w:b/>
                <w:sz w:val="15"/>
              </w:rPr>
              <w:t>1</w:t>
            </w:r>
          </w:p>
        </w:tc>
        <w:tc>
          <w:tcPr>
            <w:tcW w:type="dxa" w:w="5185"/>
            <w:vAlign w:val="center"/>
          </w:tcPr>
          <w:p>
            <w:pPr>
              <w:spacing w:after="0"/>
            </w:pPr>
            <w:r/>
            <w:r>
              <w:rPr>
                <w:rFonts w:ascii="Arial" w:hAnsi="Arial"/>
                <w:b w:val="0"/>
                <w:sz w:val="14"/>
              </w:rPr>
              <w:t>The game clearly shows collection progress or missing items.</w:t>
            </w:r>
          </w:p>
        </w:tc>
      </w:tr>
      <w:tr>
        <w:tc>
          <w:tcPr>
            <w:tcW w:type="dxa" w:w="5185"/>
            <w:vAlign w:val="center"/>
          </w:tcPr>
          <w:p>
            <w:pPr>
              <w:spacing w:after="0"/>
            </w:pPr>
            <w:r/>
            <w:r>
              <w:rPr>
                <w:rFonts w:ascii="Arial" w:hAnsi="Arial"/>
                <w:b/>
                <w:sz w:val="15"/>
              </w:rPr>
              <w:t>1.5</w:t>
            </w:r>
          </w:p>
        </w:tc>
        <w:tc>
          <w:tcPr>
            <w:tcW w:type="dxa" w:w="5185"/>
            <w:vAlign w:val="center"/>
          </w:tcPr>
          <w:p>
            <w:pPr>
              <w:spacing w:after="0"/>
            </w:pPr>
            <w:r/>
            <w:r>
              <w:rPr>
                <w:rFonts w:ascii="Arial" w:hAnsi="Arial"/>
                <w:b w:val="0"/>
                <w:sz w:val="14"/>
              </w:rPr>
              <w:t>Rewards, bonuses or visible incentives are attached to completing a paid set or collection.</w:t>
            </w:r>
          </w:p>
        </w:tc>
      </w:tr>
      <w:tr>
        <w:tc>
          <w:tcPr>
            <w:tcW w:type="dxa" w:w="5185"/>
            <w:vAlign w:val="center"/>
          </w:tcPr>
          <w:p>
            <w:pPr>
              <w:spacing w:after="0"/>
            </w:pPr>
            <w:r/>
            <w:r>
              <w:rPr>
                <w:rFonts w:ascii="Arial" w:hAnsi="Arial"/>
                <w:b/>
                <w:sz w:val="15"/>
              </w:rPr>
              <w:t>2</w:t>
            </w:r>
          </w:p>
        </w:tc>
        <w:tc>
          <w:tcPr>
            <w:tcW w:type="dxa" w:w="5185"/>
            <w:vAlign w:val="center"/>
          </w:tcPr>
          <w:p>
            <w:pPr>
              <w:spacing w:after="0"/>
            </w:pPr>
            <w:r/>
            <w:r>
              <w:rPr>
                <w:rFonts w:ascii="Arial" w:hAnsi="Arial"/>
                <w:b w:val="0"/>
                <w:sz w:val="14"/>
              </w:rPr>
              <w:t>The game systematically encourages collection completion, especially when collections are time-limited or require multiple purchases.</w:t>
            </w:r>
          </w:p>
        </w:tc>
      </w:tr>
    </w:tbl>
    <w:p>
      <w:pPr>
        <w:pStyle w:val="Heading2"/>
      </w:pPr>
      <w:r>
        <w:t>Personalized Offers</w:t>
      </w:r>
    </w:p>
    <w:tbl>
      <w:tblPr>
        <w:tblStyle w:val="TableGrid"/>
        <w:tblW w:type="auto" w:w="0"/>
        <w:jc w:val="center"/>
        <w:tblLook w:firstColumn="1" w:firstRow="1" w:lastColumn="0" w:lastRow="0" w:noHBand="0" w:noVBand="1" w:val="04A0"/>
      </w:tblPr>
      <w:tblGrid>
        <w:gridCol w:w="5185"/>
        <w:gridCol w:w="5185"/>
      </w:tblGrid>
      <w:tr>
        <w:tc>
          <w:tcPr>
            <w:tcW w:type="dxa" w:w="5185"/>
            <w:vAlign w:val="center"/>
            <w:shd w:fill="D9E2F3"/>
          </w:tcPr>
          <w:p>
            <w:pPr>
              <w:spacing w:after="0"/>
            </w:pPr>
            <w:r/>
            <w:r>
              <w:rPr>
                <w:rFonts w:ascii="Arial" w:hAnsi="Arial"/>
                <w:b/>
                <w:sz w:val="15"/>
              </w:rPr>
              <w:t>Score</w:t>
            </w:r>
          </w:p>
        </w:tc>
        <w:tc>
          <w:tcPr>
            <w:tcW w:type="dxa" w:w="5185"/>
            <w:vAlign w:val="center"/>
            <w:shd w:fill="D9E2F3"/>
          </w:tcPr>
          <w:p>
            <w:pPr>
              <w:spacing w:after="0"/>
            </w:pPr>
            <w:r/>
            <w:r>
              <w:rPr>
                <w:rFonts w:ascii="Arial" w:hAnsi="Arial"/>
                <w:b/>
                <w:sz w:val="15"/>
              </w:rPr>
              <w:t>Rule</w:t>
            </w:r>
          </w:p>
        </w:tc>
      </w:tr>
      <w:tr>
        <w:tc>
          <w:tcPr>
            <w:tcW w:type="dxa" w:w="5185"/>
            <w:vAlign w:val="center"/>
          </w:tcPr>
          <w:p>
            <w:pPr>
              <w:spacing w:after="0"/>
            </w:pPr>
            <w:r/>
            <w:r>
              <w:rPr>
                <w:rFonts w:ascii="Arial" w:hAnsi="Arial"/>
                <w:b/>
                <w:sz w:val="15"/>
              </w:rPr>
              <w:t>0</w:t>
            </w:r>
          </w:p>
        </w:tc>
        <w:tc>
          <w:tcPr>
            <w:tcW w:type="dxa" w:w="5185"/>
            <w:vAlign w:val="center"/>
          </w:tcPr>
          <w:p>
            <w:pPr>
              <w:spacing w:after="0"/>
            </w:pPr>
            <w:r/>
            <w:r>
              <w:rPr>
                <w:rFonts w:ascii="Arial" w:hAnsi="Arial"/>
                <w:b w:val="0"/>
                <w:sz w:val="14"/>
              </w:rPr>
              <w:t>Offers are the same for all players.</w:t>
            </w:r>
          </w:p>
        </w:tc>
      </w:tr>
      <w:tr>
        <w:tc>
          <w:tcPr>
            <w:tcW w:type="dxa" w:w="5185"/>
            <w:vAlign w:val="center"/>
          </w:tcPr>
          <w:p>
            <w:pPr>
              <w:spacing w:after="0"/>
            </w:pPr>
            <w:r/>
            <w:r>
              <w:rPr>
                <w:rFonts w:ascii="Arial" w:hAnsi="Arial"/>
                <w:b/>
                <w:sz w:val="15"/>
              </w:rPr>
              <w:t>0.5</w:t>
            </w:r>
          </w:p>
        </w:tc>
        <w:tc>
          <w:tcPr>
            <w:tcW w:type="dxa" w:w="5185"/>
            <w:vAlign w:val="center"/>
          </w:tcPr>
          <w:p>
            <w:pPr>
              <w:spacing w:after="0"/>
            </w:pPr>
            <w:r/>
            <w:r>
              <w:rPr>
                <w:rFonts w:ascii="Arial" w:hAnsi="Arial"/>
                <w:b w:val="0"/>
                <w:sz w:val="14"/>
              </w:rPr>
              <w:t>Differences are limited to region, platform or technical conditions.</w:t>
            </w:r>
          </w:p>
        </w:tc>
      </w:tr>
      <w:tr>
        <w:tc>
          <w:tcPr>
            <w:tcW w:type="dxa" w:w="5185"/>
            <w:vAlign w:val="center"/>
          </w:tcPr>
          <w:p>
            <w:pPr>
              <w:spacing w:after="0"/>
            </w:pPr>
            <w:r/>
            <w:r>
              <w:rPr>
                <w:rFonts w:ascii="Arial" w:hAnsi="Arial"/>
                <w:b/>
                <w:sz w:val="15"/>
              </w:rPr>
              <w:t>1</w:t>
            </w:r>
          </w:p>
        </w:tc>
        <w:tc>
          <w:tcPr>
            <w:tcW w:type="dxa" w:w="5185"/>
            <w:vAlign w:val="center"/>
          </w:tcPr>
          <w:p>
            <w:pPr>
              <w:spacing w:after="0"/>
            </w:pPr>
            <w:r/>
            <w:r>
              <w:rPr>
                <w:rFonts w:ascii="Arial" w:hAnsi="Arial"/>
                <w:b w:val="0"/>
                <w:sz w:val="14"/>
              </w:rPr>
              <w:t>Offers depend on level, progression stage or another broad player segment.</w:t>
            </w:r>
          </w:p>
        </w:tc>
      </w:tr>
      <w:tr>
        <w:tc>
          <w:tcPr>
            <w:tcW w:type="dxa" w:w="5185"/>
            <w:vAlign w:val="center"/>
          </w:tcPr>
          <w:p>
            <w:pPr>
              <w:spacing w:after="0"/>
            </w:pPr>
            <w:r/>
            <w:r>
              <w:rPr>
                <w:rFonts w:ascii="Arial" w:hAnsi="Arial"/>
                <w:b/>
                <w:sz w:val="15"/>
              </w:rPr>
              <w:t>1.5</w:t>
            </w:r>
          </w:p>
        </w:tc>
        <w:tc>
          <w:tcPr>
            <w:tcW w:type="dxa" w:w="5185"/>
            <w:vAlign w:val="center"/>
          </w:tcPr>
          <w:p>
            <w:pPr>
              <w:spacing w:after="0"/>
            </w:pPr>
            <w:r/>
            <w:r>
              <w:rPr>
                <w:rFonts w:ascii="Arial" w:hAnsi="Arial"/>
                <w:b w:val="0"/>
                <w:sz w:val="14"/>
              </w:rPr>
              <w:t>Offers change after player behavior such as returning, losing, or running out of resources.</w:t>
            </w:r>
          </w:p>
        </w:tc>
      </w:tr>
      <w:tr>
        <w:tc>
          <w:tcPr>
            <w:tcW w:type="dxa" w:w="5185"/>
            <w:vAlign w:val="center"/>
          </w:tcPr>
          <w:p>
            <w:pPr>
              <w:spacing w:after="0"/>
            </w:pPr>
            <w:r/>
            <w:r>
              <w:rPr>
                <w:rFonts w:ascii="Arial" w:hAnsi="Arial"/>
                <w:b/>
                <w:sz w:val="15"/>
              </w:rPr>
              <w:t>2</w:t>
            </w:r>
          </w:p>
        </w:tc>
        <w:tc>
          <w:tcPr>
            <w:tcW w:type="dxa" w:w="5185"/>
            <w:vAlign w:val="center"/>
          </w:tcPr>
          <w:p>
            <w:pPr>
              <w:spacing w:after="0"/>
            </w:pPr>
            <w:r/>
            <w:r>
              <w:rPr>
                <w:rFonts w:ascii="Arial" w:hAnsi="Arial"/>
                <w:b w:val="0"/>
                <w:sz w:val="14"/>
              </w:rPr>
              <w:t>Price, content, timing or frequency of offers are actively personalized using behavior or spending history.</w:t>
            </w:r>
          </w:p>
        </w:tc>
      </w:tr>
    </w:tbl>
    <w:p>
      <w:pPr>
        <w:pStyle w:val="Heading2"/>
      </w:pPr>
      <w:r>
        <w:t>Monetization Presence</w:t>
      </w:r>
    </w:p>
    <w:tbl>
      <w:tblPr>
        <w:tblStyle w:val="TableGrid"/>
        <w:tblW w:type="auto" w:w="0"/>
        <w:jc w:val="center"/>
        <w:tblLook w:firstColumn="1" w:firstRow="1" w:lastColumn="0" w:lastRow="0" w:noHBand="0" w:noVBand="1" w:val="04A0"/>
      </w:tblPr>
      <w:tblGrid>
        <w:gridCol w:w="5185"/>
        <w:gridCol w:w="5185"/>
      </w:tblGrid>
      <w:tr>
        <w:tc>
          <w:tcPr>
            <w:tcW w:type="dxa" w:w="5185"/>
            <w:vAlign w:val="center"/>
            <w:shd w:fill="D9E2F3"/>
          </w:tcPr>
          <w:p>
            <w:pPr>
              <w:spacing w:after="0"/>
            </w:pPr>
            <w:r/>
            <w:r>
              <w:rPr>
                <w:rFonts w:ascii="Arial" w:hAnsi="Arial"/>
                <w:b/>
                <w:sz w:val="15"/>
              </w:rPr>
              <w:t>Score</w:t>
            </w:r>
          </w:p>
        </w:tc>
        <w:tc>
          <w:tcPr>
            <w:tcW w:type="dxa" w:w="5185"/>
            <w:vAlign w:val="center"/>
            <w:shd w:fill="D9E2F3"/>
          </w:tcPr>
          <w:p>
            <w:pPr>
              <w:spacing w:after="0"/>
            </w:pPr>
            <w:r/>
            <w:r>
              <w:rPr>
                <w:rFonts w:ascii="Arial" w:hAnsi="Arial"/>
                <w:b/>
                <w:sz w:val="15"/>
              </w:rPr>
              <w:t>Rule</w:t>
            </w:r>
          </w:p>
        </w:tc>
      </w:tr>
      <w:tr>
        <w:tc>
          <w:tcPr>
            <w:tcW w:type="dxa" w:w="5185"/>
            <w:vAlign w:val="center"/>
          </w:tcPr>
          <w:p>
            <w:pPr>
              <w:spacing w:after="0"/>
            </w:pPr>
            <w:r/>
            <w:r>
              <w:rPr>
                <w:rFonts w:ascii="Arial" w:hAnsi="Arial"/>
                <w:b/>
                <w:sz w:val="15"/>
              </w:rPr>
              <w:t>0</w:t>
            </w:r>
          </w:p>
        </w:tc>
        <w:tc>
          <w:tcPr>
            <w:tcW w:type="dxa" w:w="5185"/>
            <w:vAlign w:val="center"/>
          </w:tcPr>
          <w:p>
            <w:pPr>
              <w:spacing w:after="0"/>
            </w:pPr>
            <w:r/>
            <w:r>
              <w:rPr>
                <w:rFonts w:ascii="Arial" w:hAnsi="Arial"/>
                <w:b w:val="0"/>
                <w:sz w:val="14"/>
              </w:rPr>
              <w:t>The game has no in-game purchase system.</w:t>
            </w:r>
          </w:p>
        </w:tc>
      </w:tr>
      <w:tr>
        <w:tc>
          <w:tcPr>
            <w:tcW w:type="dxa" w:w="5185"/>
            <w:vAlign w:val="center"/>
          </w:tcPr>
          <w:p>
            <w:pPr>
              <w:spacing w:after="0"/>
            </w:pPr>
            <w:r/>
            <w:r>
              <w:rPr>
                <w:rFonts w:ascii="Arial" w:hAnsi="Arial"/>
                <w:b/>
                <w:sz w:val="15"/>
              </w:rPr>
              <w:t>2</w:t>
            </w:r>
          </w:p>
        </w:tc>
        <w:tc>
          <w:tcPr>
            <w:tcW w:type="dxa" w:w="5185"/>
            <w:vAlign w:val="center"/>
          </w:tcPr>
          <w:p>
            <w:pPr>
              <w:spacing w:after="0"/>
            </w:pPr>
            <w:r/>
            <w:r>
              <w:rPr>
                <w:rFonts w:ascii="Arial" w:hAnsi="Arial"/>
                <w:b w:val="0"/>
                <w:sz w:val="14"/>
              </w:rPr>
              <w:t>The game has at least one in-game purchase system.</w:t>
            </w:r>
          </w:p>
        </w:tc>
      </w:tr>
    </w:tbl>
    <w:p>
      <w:pPr>
        <w:pStyle w:val="Heading1"/>
      </w:pPr>
      <w:r>
        <w:t>5. Applying the scale</w:t>
      </w:r>
    </w:p>
    <w:p>
      <w:r>
        <w:t>The process is always the same: (1) collect evidence; (2) determine the relevant factor; (3) compare the evidence with the predefined thresholds; (4) record the score and evidence link. Scores should not be assigned by intuition.</w:t>
      </w:r>
    </w:p>
    <w:p>
      <w:r>
        <w:t>Evidence may include official store pages, FAQs, patch notes, screenshots, gacha rules, prices, currency bundles, timers, pop-ups, progression skips, VIP systems, collection screens and personalized offers.</w:t>
      </w:r>
    </w:p>
    <w:p>
      <w:pPr>
        <w:pStyle w:val="Heading1"/>
      </w:pPr>
      <w:r>
        <w:t>6. Why Monetization Presence exists</w:t>
      </w:r>
    </w:p>
    <w:p>
      <w:r>
        <w:t>This factor is a technical safeguard. A game with actual in-game purchases should not receive PS = 0 merely because the other nine factors are weak. Therefore, no IAP system = 0; at least one IAP system = 2.</w:t>
      </w:r>
    </w:p>
    <w:p>
      <w:pPr>
        <w:pStyle w:val="Heading1"/>
      </w:pPr>
      <w:r>
        <w:t>7. Calculation example</w:t>
      </w:r>
    </w:p>
    <w:p>
      <w:r>
        <w:t>Hypothetical game: FOMO 1.5; Randomness 1; Price Obscurity 1.5; Purchase Prompting 1; Progress Pressure 1; Competitive Advantage 0.5; Social Pressure 0.5; Completion Pressure 1; Personalized Offers 0.5; Monetization Presence 2.</w:t>
      </w:r>
    </w:p>
    <w:p>
      <w:pPr>
        <w:jc w:val="center"/>
      </w:pPr>
      <w:r>
        <w:rPr>
          <w:rFonts w:ascii="Cambria Math" w:hAnsi="Cambria Math"/>
          <w:b/>
          <w:sz w:val="22"/>
        </w:rPr>
        <w:t>Raw PS = 10.5</w:t>
      </w:r>
    </w:p>
    <w:p>
      <w:pPr>
        <w:jc w:val="center"/>
      </w:pPr>
      <w:r>
        <w:rPr>
          <w:rFonts w:ascii="Cambria Math" w:hAnsi="Cambria Math"/>
          <w:b/>
          <w:sz w:val="22"/>
        </w:rPr>
        <w:t>Normalized PS = 10.5 / 20 = 52.5%</w:t>
      </w:r>
    </w:p>
    <w:p>
      <w:pPr>
        <w:pStyle w:val="Heading1"/>
      </w:pPr>
      <w:r>
        <w:t>8. Real sources and factor relevance</w:t>
      </w:r>
    </w:p>
    <w:p>
      <w:r>
        <w:t>The FTC's Genshin Impact case (2025) discusses limited-time promotion, randomized rewards and multi-step virtual-currency conversion, directly supporting the relevance of FOMO, Randomness and Price Obscurity.</w:t>
      </w:r>
    </w:p>
    <w:p>
      <w:r>
        <w:t>The European Commission / CPC Network (2025) requires clear real-money pricing and specifically warns about multiple currencies and multiple exchanges that make the true cost difficult to understand. This directly supports Price Obscurity.</w:t>
      </w:r>
    </w:p>
    <w:p>
      <w:r>
        <w:t>The FTC's Epic Games / Fortnite action (2023) describes dark patterns and confusing purchase interfaces that caused unwanted purchases, supporting a separate Purchase Prompting factor.</w:t>
      </w:r>
    </w:p>
    <w:p>
      <w:r>
        <w:t>King &amp; Delfabbro (2018) describe predatory monetization as systems that may conceal long-term cost, use intrusive solicitations and exploit knowledge of player preferences or spending habits, supporting Price Obscurity, Purchase Prompting and Personalized Offers.</w:t>
      </w:r>
    </w:p>
    <w:p>
      <w:r>
        <w:t>Petrovskaya &amp; Zendle (2022) categorize unfair, misleading and aggressive monetisation techniques from the player perspective, supporting a multi-factor rather than single-impression approach.</w:t>
      </w:r>
    </w:p>
    <w:p>
      <w:r>
        <w:t>Zendle, Meyer &amp; Ballou (2020) separately coded loot boxes, cosmetics and pay-to-win features across 463 Steam games, showing that monetization features can be recorded reproducibly at game level.</w:t>
      </w:r>
    </w:p>
    <w:p>
      <w:pPr>
        <w:pStyle w:val="Heading1"/>
      </w:pPr>
      <w:r>
        <w:t>9. Reproducibility and dataset</w:t>
      </w:r>
    </w:p>
    <w:p>
      <w:r>
        <w:t>Recommended schema: Game | Factor | Score | Evidence URL | Evidence Date | Notes. Every score should be tied to an observable fact. If the game changes after an update, the analysis date remains part of the record.</w:t>
      </w:r>
    </w:p>
    <w:p>
      <w:r>
        <w:t>A future validation step is inter-rater testing: multiple researchers independently score the same games and their agreement is measured. Frequent disagreements indicate that a threshold needs clearer wording.</w:t>
      </w:r>
    </w:p>
    <w:p>
      <w:pPr>
        <w:pStyle w:val="Heading1"/>
      </w:pPr>
      <w:r>
        <w:t>10. Limitations</w:t>
      </w:r>
    </w:p>
    <w:p>
      <w:r>
        <w:t>PS is not a clinical addiction scale and does not claim that a high score automatically means harm. It describes monetization structure. One mechanic may legitimately affect multiple independent factors: a limited-time loot box can contribute to both FOMO and Randomness.</w:t>
      </w:r>
    </w:p>
    <w:p>
      <w:pPr>
        <w:pStyle w:val="Heading1"/>
      </w:pPr>
      <w:r>
        <w:t>11. References</w:t>
      </w:r>
    </w:p>
    <w:p>
      <w:r>
        <w:rPr>
          <w:sz w:val="16"/>
        </w:rPr>
        <w:t>1. Federal Trade Commission (2025). Genshin Impact settlement: randomized rewards, limited-time promotion and virtual-currency price obscurity. ftc.gov.</w:t>
      </w:r>
    </w:p>
    <w:p>
      <w:r>
        <w:rPr>
          <w:sz w:val="16"/>
        </w:rPr>
        <w:t>2. European Commission / CPC Network (2025). Key Principles on In-Game Virtual Currencies. commission.europa.eu.</w:t>
      </w:r>
    </w:p>
    <w:p>
      <w:r>
        <w:rPr>
          <w:sz w:val="16"/>
        </w:rPr>
        <w:t>3. Federal Trade Commission (2023). Epic Games / Fortnite: dark patterns and unwanted in-game purchases. ftc.gov.</w:t>
      </w:r>
    </w:p>
    <w:p>
      <w:r>
        <w:rPr>
          <w:sz w:val="16"/>
        </w:rPr>
        <w:t>4. King, D. L. &amp; Delfabbro, P. H. (2018). Predatory monetization schemes in video games. Addiction, 113, 1967-1969. DOI: 10.1111/add.14286.</w:t>
      </w:r>
    </w:p>
    <w:p>
      <w:r>
        <w:rPr>
          <w:sz w:val="16"/>
        </w:rPr>
        <w:t>5. Petrovskaya, E. &amp; Zendle, D. (2022). Predatory Monetisation? Journal of Business Ethics, 181, 1065-1081. DOI: 10.1007/s10551-021-04970-6.</w:t>
      </w:r>
    </w:p>
    <w:p>
      <w:r>
        <w:rPr>
          <w:sz w:val="16"/>
        </w:rPr>
        <w:t>6. Zendle, D., Meyer, R. &amp; Ballou, N. (2020). The changing face of desktop video game monetisation. PLOS ONE 15(5): e0232780. DOI: 10.1371/journal.pone.0232780.</w:t>
      </w:r>
    </w:p>
    <w:sectPr w:rsidR="00FC693F" w:rsidRPr="0006063C" w:rsidSect="00034616">
      <w:pgSz w:w="12240" w:h="15840"/>
      <w:pgMar w:top="794" w:right="935" w:bottom="794"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80"/>
      <w:contextualSpacing/>
    </w:pPr>
    <w:rPr>
      <w:rFonts w:asciiTheme="majorHAnsi" w:eastAsiaTheme="majorEastAsia" w:hAnsiTheme="majorHAnsi" w:cstheme="majorBidi" w:ascii="Arial" w:hAnsi="Arial"/>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