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60" w:after="60"/>
      </w:pPr>
      <w:r>
        <w:rPr>
          <w:rFonts w:ascii="Calibri" w:hAnsi="Calibri" w:eastAsia="Calibri"/>
          <w:b/>
          <w:i w:val="0"/>
          <w:color w:val="2E74B5"/>
          <w:sz w:val="18"/>
        </w:rPr>
        <w:t>РУССКАЯ ВЕРСИЯ</w:t>
      </w:r>
    </w:p>
    <w:p>
      <w:pPr>
        <w:pStyle w:val="Title"/>
      </w:pPr>
      <w:r>
        <w:t>Monetization Pressure Index (MPI)</w:t>
      </w:r>
    </w:p>
    <w:p>
      <w:pPr>
        <w:pStyle w:val="Subtitle"/>
      </w:pPr>
      <w:r>
        <w:t>Методология сводного индекса монетизационной структуры и давления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667085"/>
          <w:sz w:val="19"/>
        </w:rPr>
        <w:t>Monetization Lens  |  Methodology note  |  Document v1.0  |  28 August 2026</w:t>
      </w:r>
    </w:p>
    <w:p>
      <w:pPr>
        <w:spacing w:before="60" w:after="140" w:line="259" w:lineRule="auto"/>
        <w:ind w:left="144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i w:val="0"/>
          <w:color w:val="2E74B5"/>
          <w:sz w:val="18"/>
        </w:rPr>
        <w:t>КЛЮЧЕВАЯ ФОРМУЛА</w:t>
        <w:br/>
      </w:r>
      <w:r>
        <w:rPr>
          <w:rFonts w:ascii="Calibri" w:hAnsi="Calibri" w:eastAsia="Calibri"/>
          <w:b/>
          <w:i w:val="0"/>
          <w:color w:val="23354D"/>
          <w:sz w:val="30"/>
        </w:rPr>
        <w:t>MPI = Transaction Score x (Raw Pressure Score / 20)</w:t>
        <w:br/>
      </w:r>
      <w:r>
        <w:rPr>
          <w:rFonts w:ascii="Calibri" w:hAnsi="Calibri" w:eastAsia="Calibri"/>
          <w:b w:val="0"/>
          <w:i w:val="0"/>
          <w:color w:val="3F4B5A"/>
          <w:sz w:val="21"/>
        </w:rPr>
        <w:t>Диапазон MPI: 0-100. Формула фиксирована: Transaction Score не складывается с Pressure Score и не заменяется средним значением.</w:t>
      </w:r>
    </w:p>
    <w:p>
      <w:pPr>
        <w:pStyle w:val="Heading1"/>
      </w:pPr>
      <w:r>
        <w:t>1. Что измеряет MPI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Monetization Pressure Index (MPI) - составной описательный показатель проекта Monetization Lens. Он показывает, насколько широкая транзакционная структура игры сочетается с наблюдаемым давлением, которое побуждает игрока взаимодействовать с монетизацией. Индекс описывает конфигурацию системы на зафиксированную дату, а не намерения разработчика и не личный опыт отдельного игрока.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MPI отвечает на совместный вопрос: присутствуют ли в игре значимые типы транзакций и насколько заметно дизайн подталкивает к их использованию? Поэтому индекс требует двух независимых входов: Transaction Score и Pressure Score.</w:t>
      </w:r>
    </w:p>
    <w:p>
      <w:pPr>
        <w:pStyle w:val="Heading1"/>
      </w:pPr>
      <w:r>
        <w:t>2. Два компонента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420"/>
        <w:gridCol w:w="1100"/>
        <w:gridCol w:w="264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Компонент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Расчёт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Диапазон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Смысл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Transaction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Сумма фиксированных TW присутствующих типов транзакций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0-100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Ширина и состав транзакционной структуры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Raw Pressure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Сумма 10 факторов по фиксированным правилам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0-20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Наблюдаемая интенсивность монетизационного давления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Normalized Pressure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Raw PS / 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0-1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Множитель давления в общей шкале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Transaction Score (TS). Каждый тип транзакции сначала классифицируется по действующей таксономии. Если тип присутствует, к сумме добавляется его заранее установленный Transaction Weight (TW). Один и тот же тип учитывается один раз; частота отдельных покупок не умножает его вес. Архитектура весов задаёт максимум TS = 100.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Pressure Score (PS). Для каждого из 10 факторов собираются доказательства и применяется фиксированное правило оценки. Сумма образует Raw PS с максимумом 20. Нормализация делит эту сумму на 20, поэтому Normalized PS находится между 0 и 1 и может выступать множителем.</w:t>
      </w:r>
    </w:p>
    <w:p>
      <w:pPr>
        <w:pStyle w:val="Heading1"/>
      </w:pPr>
      <w:r>
        <w:t>3. Почему компоненты перемножаются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Умножение кодирует принцип совместной достаточности: высокий MPI возможен только тогда, когда одновременно высоки и транзакционная насыщенность, и измеренное давление. Сложение допустило бы компенсацию - крайне высокий показатель одного компонента мог бы скрыть низкий показатель другого.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Если TS = 0, то MPI = 0 независимо от Raw PS.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Если Raw PS = 0, то Normalized PS = 0 и MPI = 0 независимо от TS.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Если один компонент низкий, он пропорционально ограничивает итог; это намеренное свойство модели.</w:t>
      </w:r>
    </w:p>
    <w:p>
      <w:pPr>
        <w:keepLines w:val="0"/>
        <w:spacing w:after="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Математически MPI сохраняет шкалу 0-100: TS уже лежит в диапазоне 0-100, а нормализованный PS - в диапазоне 0-1.</w:t>
      </w:r>
    </w:p>
    <w:p>
      <w:pPr>
        <w:pStyle w:val="Heading1"/>
      </w:pPr>
      <w:r>
        <w:t>4. Воспроизводимый путь от фактов к индексу</w:t>
      </w:r>
    </w:p>
    <w:p>
      <w:pPr>
        <w:spacing w:before="60" w:after="140" w:line="259" w:lineRule="auto"/>
        <w:ind w:left="144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i w:val="0"/>
          <w:color w:val="2E74B5"/>
          <w:sz w:val="18"/>
        </w:rPr>
        <w:t>КОНВЕЙЕР</w:t>
        <w:br/>
      </w:r>
      <w:r>
        <w:rPr>
          <w:rFonts w:ascii="Calibri" w:hAnsi="Calibri" w:eastAsia="Calibri"/>
          <w:b/>
          <w:i w:val="0"/>
          <w:color w:val="23354D"/>
          <w:sz w:val="30"/>
        </w:rPr>
        <w:t>facts -&gt; classification -&gt; fixed TW -&gt; TS</w:t>
        <w:br/>
      </w:r>
      <w:r>
        <w:rPr>
          <w:rFonts w:ascii="Calibri" w:hAnsi="Calibri" w:eastAsia="Calibri"/>
          <w:b w:val="0"/>
          <w:i w:val="0"/>
          <w:color w:val="3F4B5A"/>
          <w:sz w:val="21"/>
        </w:rPr>
        <w:t>evidence -&gt; fixed PS rules -&gt; Raw PS -&gt; Raw PS / 20 -&gt; MPI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Воспроизводимость означает, что решение можно восстановить до исходного факта, правила и версии справочника. Факт сам по себе не является баллом: между наблюдением и числом всегда должна быть документированная классификация.</w:t>
      </w:r>
    </w:p>
    <w:p>
      <w:pPr>
        <w:spacing w:after="80" w:line="252" w:lineRule="auto"/>
        <w:numPr>
          <w:ilvl w:val="0"/>
          <w:numId w:val="11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Зафиксировать объект и дату наблюдения: версия игры, платформа, регион, аккаунт/возрастной контекст и доступные режимы.</w:t>
      </w:r>
    </w:p>
    <w:p>
      <w:pPr>
        <w:spacing w:after="80" w:line="252" w:lineRule="auto"/>
        <w:numPr>
          <w:ilvl w:val="0"/>
          <w:numId w:val="11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Собрать проверяемые факты о транзакциях и evidence по каждому из 10 факторов давления.</w:t>
      </w:r>
    </w:p>
    <w:p>
      <w:pPr>
        <w:spacing w:after="80" w:line="252" w:lineRule="auto"/>
        <w:numPr>
          <w:ilvl w:val="0"/>
          <w:numId w:val="11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Классифицировать уникальные типы транзакций; присвоить им TW только из указанной версии таблицы весов.</w:t>
      </w:r>
    </w:p>
    <w:p>
      <w:pPr>
        <w:spacing w:after="80" w:line="252" w:lineRule="auto"/>
        <w:numPr>
          <w:ilvl w:val="0"/>
          <w:numId w:val="11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Оценить каждый фактор давления по указанной версии правил; сложить 10 значений в Raw PS.</w:t>
      </w:r>
    </w:p>
    <w:p>
      <w:pPr>
        <w:spacing w:after="80" w:line="252" w:lineRule="auto"/>
        <w:numPr>
          <w:ilvl w:val="0"/>
          <w:numId w:val="11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Рассчитать Normalized PS = Raw PS / 20, затем MPI = TS x Normalized PS; проверить границы и сохранить аудит-трейл.</w:t>
      </w:r>
    </w:p>
    <w:p>
      <w:pPr>
        <w:pStyle w:val="Heading1"/>
      </w:pPr>
      <w:r>
        <w:t>5. Минимальная схема данных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8"/>
              </w:rPr>
              <w:t>Слой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8"/>
              </w:rPr>
              <w:t>Обязательные поля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Наблюдение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game_id; platform; region; observation_date; build/version; analyst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Evidence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evidence_id; source; captured_at; claim/note; reliability/status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Транзакции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transaction_type; present; classification_reason; TW; TW_table_version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Давление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factor_id (1-10); evidence_ids; score; rule_id; PS_rules_version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TS; Raw_PS; Normalized_PS; MPI; rounding; method_version; data_snapshot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6. Алгоритм и контроль</w:t>
      </w:r>
    </w:p>
    <w:p>
      <w:pPr>
        <w:keepLines/>
        <w:spacing w:after="80" w:line="247" w:lineRule="auto"/>
        <w:ind w:left="173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 w:val="0"/>
          <w:i w:val="0"/>
          <w:color w:val="000000"/>
          <w:sz w:val="21"/>
        </w:rPr>
        <w:t>1) Проверить полноту и совместимость версий входов. 2) TS = сумма TW для уникальных типов с present = true. 3) Raw PS = сумма 10 факторных оценок. 4) Normalized PS = Raw PS / 20. 5) MPI = TS x Normalized PS. 6) Проверить 0 &lt;= TS &lt;= 100, 0 &lt;= Raw PS &lt;= 20, 0 &lt;= MPI &lt;= 100. 7) Сохранить значения без промежуточного округления; округлить только отображаемый MPI.</w:t>
      </w:r>
    </w:p>
    <w:p>
      <w:pPr>
        <w:pStyle w:val="Heading1"/>
      </w:pPr>
      <w:r>
        <w:t>7. Почему одинаковые факты дают одинаковый MPI</w:t>
      </w:r>
    </w:p>
    <w:p>
      <w:pPr>
        <w:keepLines w:val="0"/>
        <w:spacing w:after="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При одинаковых фактах, версиях правил TW/PS, политике отсутствующих данных и округлении все операции детерминированы, поэтому MPI одинаков. Различия допустимы только при иных входах, версии методологии или документированном пограничном решении; причина сохраняется в аудит-трейле.</w:t>
      </w:r>
    </w:p>
    <w:p>
      <w:pPr>
        <w:pStyle w:val="Heading1"/>
      </w:pPr>
      <w:r>
        <w:t>8. Пошаговые числовые примеры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20"/>
        <w:gridCol w:w="650"/>
        <w:gridCol w:w="900"/>
        <w:gridCol w:w="1680"/>
        <w:gridCol w:w="1730"/>
        <w:gridCol w:w="3080"/>
      </w:tblGrid>
      <w:tr>
        <w:trPr>
          <w:tblHeader w:val="true"/>
        </w:trPr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Сценарий</w:t>
            </w:r>
          </w:p>
        </w:tc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TS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Raw PS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Normalized PS</w:t>
            </w:r>
          </w:p>
        </w:tc>
        <w:tc>
          <w:tcPr>
            <w:tcW w:type="dxa" w:w="1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MPI</w:t>
            </w:r>
          </w:p>
        </w:tc>
        <w:tc>
          <w:tcPr>
            <w:tcW w:type="dxa" w:w="3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Интерпретация</w:t>
            </w:r>
          </w:p>
        </w:tc>
      </w:tr>
      <w:tr>
        <w:tc>
          <w:tcPr>
            <w:tcW w:type="dxa" w:w="132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Низкий</w:t>
            </w:r>
          </w:p>
        </w:tc>
        <w:tc>
          <w:tcPr>
            <w:tcW w:type="dxa" w:w="65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90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68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 / 20 = 0.25</w:t>
            </w:r>
          </w:p>
        </w:tc>
        <w:tc>
          <w:tcPr>
            <w:tcW w:type="dxa" w:w="173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20 x 0.25 = 5.0</w:t>
            </w:r>
          </w:p>
        </w:tc>
        <w:tc>
          <w:tcPr>
            <w:tcW w:type="dxa" w:w="308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Небольшая структура и слабое давление</w:t>
            </w:r>
          </w:p>
        </w:tc>
      </w:tr>
      <w:tr>
        <w:tc>
          <w:tcPr>
            <w:tcW w:type="dxa" w:w="132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Средний</w:t>
            </w:r>
          </w:p>
        </w:tc>
        <w:tc>
          <w:tcPr>
            <w:tcW w:type="dxa" w:w="65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90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68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10 / 20 = 0.50</w:t>
            </w:r>
          </w:p>
        </w:tc>
        <w:tc>
          <w:tcPr>
            <w:tcW w:type="dxa" w:w="173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50 x 0.50 = 25.0</w:t>
            </w:r>
          </w:p>
        </w:tc>
        <w:tc>
          <w:tcPr>
            <w:tcW w:type="dxa" w:w="308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Средняя структура и умеренное давление</w:t>
            </w:r>
          </w:p>
        </w:tc>
      </w:tr>
      <w:tr>
        <w:tc>
          <w:tcPr>
            <w:tcW w:type="dxa" w:w="132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Высокий</w:t>
            </w:r>
          </w:p>
        </w:tc>
        <w:tc>
          <w:tcPr>
            <w:tcW w:type="dxa" w:w="65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65</w:t>
            </w:r>
          </w:p>
        </w:tc>
        <w:tc>
          <w:tcPr>
            <w:tcW w:type="dxa" w:w="90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68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14 / 20 = 0.70</w:t>
            </w:r>
          </w:p>
        </w:tc>
        <w:tc>
          <w:tcPr>
            <w:tcW w:type="dxa" w:w="173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65 x 0.70 = 45.5</w:t>
            </w:r>
          </w:p>
        </w:tc>
        <w:tc>
          <w:tcPr>
            <w:tcW w:type="dxa" w:w="308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Широкая структура и давление выше порога высокого MPI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Строки читаются слева направо: TS; Raw PS / 20; умножение. Результаты: низкий MPI = 5.0, средний = 25.0, высокий = 45.5.</w:t>
      </w:r>
    </w:p>
    <w:p>
      <w:pPr>
        <w:pStyle w:val="Heading1"/>
      </w:pPr>
      <w:r>
        <w:t>9. Описательные диапазоны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Диапазон MPI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Рабочее описание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 &lt;= MPI &lt;= 15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Низкий MPI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15 &lt; MPI &lt;= 45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Средний MPI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45 &lt; MPI &lt;= 100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Высокий MPI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Это только descriptive bands для чтения и сравнения. Они не являются моральными ярлыками, клиническими категориями, диагнозом, рейтингом безопасности или юридическим выводом. Публикуйте их вместе с версией методологии, компонентами и evidence.</w:t>
      </w:r>
    </w:p>
    <w:p>
      <w:pPr>
        <w:pStyle w:val="Heading1"/>
      </w:pPr>
      <w:r>
        <w:t>10. Ограничения, версии и обновление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Неполное evidence, региональные предложения, A/B-тесты и временные события могут менять наблюдаемые факты.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Одинаковый MPI может скрывать разные сочетания TS и PS; оба компонента следует показывать рядом.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Весы и правила - конструкция Monetization Lens, а не причинная оценка вреда или поведения игрока.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Новый data snapshot пересчитывается с той же методологией и сохраняет прежний результат; изменение TW, PS-правил, диапазонов или округления требует новой method_version и changelog.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Пограничные и отсутствующие данные не угадываются: их маркируют, проверяют и обрабатывают по фиксированной политике.</w:t>
      </w:r>
    </w:p>
    <w:p>
      <w:pPr>
        <w:spacing w:after="0"/>
      </w:pPr>
      <w:r>
        <w:br w:type="page"/>
      </w:r>
    </w:p>
    <w:p>
      <w:pPr>
        <w:keepNext/>
        <w:spacing w:before="160" w:after="60"/>
      </w:pPr>
      <w:r>
        <w:rPr>
          <w:rFonts w:ascii="Calibri" w:hAnsi="Calibri" w:eastAsia="Calibri"/>
          <w:b/>
          <w:i w:val="0"/>
          <w:color w:val="2E74B5"/>
          <w:sz w:val="18"/>
        </w:rPr>
        <w:t>ENGLISH VERSION</w:t>
      </w:r>
    </w:p>
    <w:p>
      <w:pPr>
        <w:pStyle w:val="Title"/>
      </w:pPr>
      <w:r>
        <w:t>Monetization Pressure Index (MPI)</w:t>
      </w:r>
    </w:p>
    <w:p>
      <w:pPr>
        <w:pStyle w:val="Subtitle"/>
      </w:pPr>
      <w:r>
        <w:t>Methodology for the combined index of transaction structure and monetization pressure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667085"/>
          <w:sz w:val="19"/>
        </w:rPr>
        <w:t>Monetization Lens  |  Methodology note  |  Document v1.0  |  28 August 2026</w:t>
      </w:r>
    </w:p>
    <w:p>
      <w:pPr>
        <w:spacing w:before="60" w:after="140" w:line="259" w:lineRule="auto"/>
        <w:ind w:left="144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i w:val="0"/>
          <w:color w:val="2E74B5"/>
          <w:sz w:val="18"/>
        </w:rPr>
        <w:t>CORE FORMULA</w:t>
        <w:br/>
      </w:r>
      <w:r>
        <w:rPr>
          <w:rFonts w:ascii="Calibri" w:hAnsi="Calibri" w:eastAsia="Calibri"/>
          <w:b/>
          <w:i w:val="0"/>
          <w:color w:val="23354D"/>
          <w:sz w:val="30"/>
        </w:rPr>
        <w:t>MPI = Transaction Score x (Raw Pressure Score / 20)</w:t>
        <w:br/>
      </w:r>
      <w:r>
        <w:rPr>
          <w:rFonts w:ascii="Calibri" w:hAnsi="Calibri" w:eastAsia="Calibri"/>
          <w:b w:val="0"/>
          <w:i w:val="0"/>
          <w:color w:val="3F4B5A"/>
          <w:sz w:val="21"/>
        </w:rPr>
        <w:t>MPI ranges from 0 to 100. The formula is fixed: Transaction Score is not added to Pressure Score and the components are not averaged.</w:t>
      </w:r>
    </w:p>
    <w:p>
      <w:pPr>
        <w:pStyle w:val="Heading1"/>
      </w:pPr>
      <w:r>
        <w:t>1. What MPI measures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 Monetization Pressure Index (MPI) is a composite descriptive measure used by Monetization Lens. It indicates how a game's transaction structure combines with observable pressure that encourages players to engage with monetization. The index describes the system at a documented point in time; it does not infer developer intent or represent the experience of every player.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MPI answers a joint question: does the game contain meaningful transaction types, and how strongly does its design steer players toward using them? The calculation therefore requires two independent inputs: Transaction Score and Pressure Score.</w:t>
      </w:r>
    </w:p>
    <w:p>
      <w:pPr>
        <w:pStyle w:val="Heading1"/>
      </w:pPr>
      <w:r>
        <w:t>2. The two components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420"/>
        <w:gridCol w:w="1100"/>
        <w:gridCol w:w="264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Component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Calculation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Range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Meaning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Transaction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Sum of fixed TWs for transaction types that are present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0-100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Breadth and composition of the transaction structure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Raw Pressure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Sum of 10 factors under fixed scoring rules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0-20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Observed intensity of monetization pressure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Normalized Pressure Score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Raw PS / 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0-1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Pressure multiplier on a common scale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Transaction Score (TS). Each transaction type is classified under the current taxonomy. When a type is present, its predetermined Transaction Weight (TW) is added to the score. A type is counted once; repeated purchase opportunities do not multiply its weight. The weight architecture sets the maximum TS at 100.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Pressure Score (PS). Evidence is collected for each of 10 factors and a fixed scoring rule is applied. Their sum is Raw PS, with a maximum of 20. Dividing by 20 produces Normalized PS between 0 and 1, allowing it to operate as a multiplier.</w:t>
      </w:r>
    </w:p>
    <w:p>
      <w:pPr>
        <w:pStyle w:val="Heading1"/>
      </w:pPr>
      <w:r>
        <w:t>3. Why multiplication is used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Multiplication encodes joint sufficiency: a high MPI requires both a broad transaction structure and material measured pressure. Addition would permit compensation, allowing an extreme score on one component to conceal a low score on the other.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If TS = 0, MPI = 0 regardless of Raw PS.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If Raw PS = 0, Normalized PS = 0 and MPI = 0 regardless of TS.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When either component is low, it proportionally constrains the result; this is an intended property of the model.</w:t>
      </w:r>
    </w:p>
    <w:p>
      <w:pPr>
        <w:keepLines w:val="0"/>
        <w:spacing w:after="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 multiplication also preserves the 0-100 scale: TS already ranges from 0 to 100, while Normalized PS ranges from 0 to 1.</w:t>
      </w:r>
    </w:p>
    <w:p>
      <w:pPr>
        <w:pStyle w:val="Heading1"/>
      </w:pPr>
      <w:r>
        <w:t>4. Reproducible path from facts to the index</w:t>
      </w:r>
    </w:p>
    <w:p>
      <w:pPr>
        <w:spacing w:before="60" w:after="140" w:line="259" w:lineRule="auto"/>
        <w:ind w:left="144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i w:val="0"/>
          <w:color w:val="2E74B5"/>
          <w:sz w:val="18"/>
        </w:rPr>
        <w:t>PIPELINE</w:t>
        <w:br/>
      </w:r>
      <w:r>
        <w:rPr>
          <w:rFonts w:ascii="Calibri" w:hAnsi="Calibri" w:eastAsia="Calibri"/>
          <w:b/>
          <w:i w:val="0"/>
          <w:color w:val="23354D"/>
          <w:sz w:val="30"/>
        </w:rPr>
        <w:t>facts -&gt; classification -&gt; fixed TW -&gt; TS</w:t>
        <w:br/>
      </w:r>
      <w:r>
        <w:rPr>
          <w:rFonts w:ascii="Calibri" w:hAnsi="Calibri" w:eastAsia="Calibri"/>
          <w:b w:val="0"/>
          <w:i w:val="0"/>
          <w:color w:val="3F4B5A"/>
          <w:sz w:val="21"/>
        </w:rPr>
        <w:t>evidence -&gt; fixed PS rules -&gt; Raw PS -&gt; Raw PS / 20 -&gt; MPI</w:t>
      </w: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Reproducibility means that every result can be traced back to an observed fact, an applied rule, and a versioned reference. A fact is not itself a score: the classification step between observation and number must always be documented.</w:t>
      </w:r>
    </w:p>
    <w:p>
      <w:pPr>
        <w:spacing w:after="80" w:line="252" w:lineRule="auto"/>
        <w:numPr>
          <w:ilvl w:val="0"/>
          <w:numId w:val="12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Fix the observation context: game build/version, platform, region, account/age context, available modes, and observation date.</w:t>
      </w:r>
    </w:p>
    <w:p>
      <w:pPr>
        <w:spacing w:after="80" w:line="252" w:lineRule="auto"/>
        <w:numPr>
          <w:ilvl w:val="0"/>
          <w:numId w:val="12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Collect verifiable transaction facts and evidence for each of the 10 pressure factors.</w:t>
      </w:r>
    </w:p>
    <w:p>
      <w:pPr>
        <w:spacing w:after="80" w:line="252" w:lineRule="auto"/>
        <w:numPr>
          <w:ilvl w:val="0"/>
          <w:numId w:val="12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Classify unique transaction types and assign TWs only from the declared version of the weight table.</w:t>
      </w:r>
    </w:p>
    <w:p>
      <w:pPr>
        <w:spacing w:after="80" w:line="252" w:lineRule="auto"/>
        <w:numPr>
          <w:ilvl w:val="0"/>
          <w:numId w:val="12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Score each pressure factor using the declared rule version and sum the 10 values into Raw PS.</w:t>
      </w:r>
    </w:p>
    <w:p>
      <w:pPr>
        <w:spacing w:after="80" w:line="252" w:lineRule="auto"/>
        <w:numPr>
          <w:ilvl w:val="0"/>
          <w:numId w:val="12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Calculate Normalized PS = Raw PS / 20, then MPI = TS x Normalized PS; validate bounds and retain the audit trail.</w:t>
      </w:r>
    </w:p>
    <w:p>
      <w:pPr>
        <w:pStyle w:val="Heading1"/>
      </w:pPr>
      <w:r>
        <w:t>5. Minimum data schema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8"/>
              </w:rPr>
              <w:t>Layer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8"/>
              </w:rPr>
              <w:t>Required fields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Observation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game_id; platform; region; observation_date; build/version; analyst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Evidence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evidence_id; source; captured_at; claim/note; reliability/status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Transactions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transaction_type; present; classification_reason; TW; TW_table_version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Pressure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factor_id (1-10); evidence_ids; score; rule_id; PS_rules_version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Result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TS; Raw_PS; Normalized_PS; MPI; rounding; method_version; data_snapshot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6. Algorithm and validation</w:t>
      </w:r>
    </w:p>
    <w:p>
      <w:pPr>
        <w:keepLines/>
        <w:spacing w:after="80" w:line="247" w:lineRule="auto"/>
        <w:ind w:left="173" w:right="115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 w:val="0"/>
          <w:i w:val="0"/>
          <w:color w:val="000000"/>
          <w:sz w:val="21"/>
        </w:rPr>
        <w:t>1) Validate completeness and version compatibility. 2) TS = sum of TWs for unique types with present = true. 3) Raw PS = sum of the 10 factor scores. 4) Normalized PS = Raw PS / 20. 5) MPI = TS x Normalized PS. 6) Validate 0 &lt;= TS &lt;= 100, 0 &lt;= Raw PS &lt;= 20, and 0 &lt;= MPI &lt;= 100. 7) Retain unrounded intermediate values and round only the displayed MPI.</w:t>
      </w:r>
    </w:p>
    <w:p>
      <w:pPr>
        <w:pStyle w:val="Heading1"/>
      </w:pPr>
      <w:r>
        <w:t>7. Why identical facts produce the same MPI</w:t>
      </w:r>
    </w:p>
    <w:p>
      <w:pPr>
        <w:keepLines w:val="0"/>
        <w:spacing w:after="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With the same facts, classification rules, TW table, PS rules, missing-data policy, and rounding policy, every operation is deterministic. Different results are legitimate only when the inputs, methodology version, or a documented boundary classification differ; the cause must remain visible in the audit trail.</w:t>
      </w:r>
    </w:p>
    <w:p>
      <w:pPr>
        <w:pStyle w:val="Heading1"/>
      </w:pPr>
      <w:r>
        <w:t>8. Step-by-step numerical examples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20"/>
        <w:gridCol w:w="650"/>
        <w:gridCol w:w="900"/>
        <w:gridCol w:w="1680"/>
        <w:gridCol w:w="1730"/>
        <w:gridCol w:w="3080"/>
      </w:tblGrid>
      <w:tr>
        <w:trPr>
          <w:tblHeader w:val="true"/>
        </w:trPr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Scenario</w:t>
            </w:r>
          </w:p>
        </w:tc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TS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Raw PS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Normalized PS</w:t>
            </w:r>
          </w:p>
        </w:tc>
        <w:tc>
          <w:tcPr>
            <w:tcW w:type="dxa" w:w="1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MPI</w:t>
            </w:r>
          </w:p>
        </w:tc>
        <w:tc>
          <w:tcPr>
            <w:tcW w:type="dxa" w:w="3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6"/>
              </w:rPr>
              <w:t>Interpretation</w:t>
            </w:r>
          </w:p>
        </w:tc>
      </w:tr>
      <w:tr>
        <w:tc>
          <w:tcPr>
            <w:tcW w:type="dxa" w:w="132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65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90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68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 / 20 = 0.25</w:t>
            </w:r>
          </w:p>
        </w:tc>
        <w:tc>
          <w:tcPr>
            <w:tcW w:type="dxa" w:w="173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20 x 0.25 = 5.0</w:t>
            </w:r>
          </w:p>
        </w:tc>
        <w:tc>
          <w:tcPr>
            <w:tcW w:type="dxa" w:w="3080"/>
            <w:shd w:fill="EAF4EC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Narrow structure and weak pressure</w:t>
            </w:r>
          </w:p>
        </w:tc>
      </w:tr>
      <w:tr>
        <w:tc>
          <w:tcPr>
            <w:tcW w:type="dxa" w:w="132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65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90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68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10 / 20 = 0.50</w:t>
            </w:r>
          </w:p>
        </w:tc>
        <w:tc>
          <w:tcPr>
            <w:tcW w:type="dxa" w:w="173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50 x 0.50 = 25.0</w:t>
            </w:r>
          </w:p>
        </w:tc>
        <w:tc>
          <w:tcPr>
            <w:tcW w:type="dxa" w:w="3080"/>
            <w:shd w:fill="FFF4D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Moderate structure and pressure</w:t>
            </w:r>
          </w:p>
        </w:tc>
      </w:tr>
      <w:tr>
        <w:tc>
          <w:tcPr>
            <w:tcW w:type="dxa" w:w="132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High</w:t>
            </w:r>
          </w:p>
        </w:tc>
        <w:tc>
          <w:tcPr>
            <w:tcW w:type="dxa" w:w="65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65</w:t>
            </w:r>
          </w:p>
        </w:tc>
        <w:tc>
          <w:tcPr>
            <w:tcW w:type="dxa" w:w="90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68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14 / 20 = 0.70</w:t>
            </w:r>
          </w:p>
        </w:tc>
        <w:tc>
          <w:tcPr>
            <w:tcW w:type="dxa" w:w="173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65 x 0.70 = 45.5</w:t>
            </w:r>
          </w:p>
        </w:tc>
        <w:tc>
          <w:tcPr>
            <w:tcW w:type="dxa" w:w="3080"/>
            <w:shd w:fill="FCE8E6" w:val="clea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Broad structure and pressure above the high-MPI threshold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Read each row from left to right: fix TS, divide Raw PS by 20, and multiply TS by the resulting coefficient. The three paths yield a low MPI of 5.0, a medium MPI of 25.0, and a high MPI of 45.5.</w:t>
      </w:r>
    </w:p>
    <w:p>
      <w:pPr>
        <w:pStyle w:val="Heading1"/>
      </w:pPr>
      <w:r>
        <w:t>9. Descriptive bands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MPI range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shd w:fill="F2F4F7" w:val="clea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23354D"/>
                <w:sz w:val="17"/>
              </w:rPr>
              <w:t>Working 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 &lt;= MPI &lt;= 15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Low MPI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15 &lt; MPI &lt;= 45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Medium MPI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45 &lt; MPI &lt;= 100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C9D2DF"/>
              <w:start w:val="single" w:sz="6" w:space="0" w:color="C9D2DF"/>
              <w:bottom w:val="single" w:sz="6" w:space="0" w:color="C9D2DF"/>
              <w:end w:val="single" w:sz="6" w:space="0" w:color="C9D2DF"/>
              <w:insideH w:val="single" w:sz="6" w:space="0" w:color="C9D2DF"/>
              <w:insideV w:val="single" w:sz="6" w:space="0" w:color="C9D2DF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High MPI</w:t>
            </w:r>
          </w:p>
        </w:tc>
      </w:tr>
    </w:tbl>
    <w:p>
      <w:pPr>
        <w:spacing w:before="80" w:after="0"/>
      </w:pPr>
    </w:p>
    <w:p>
      <w:pPr>
        <w:keepLines w:val="0"/>
        <w:spacing w:after="80" w:line="247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These are descriptive bands: convenient intervals for reading and comparison. They are not moral labels, clinical categories, a diagnosis of addiction, a safety rating, or a legal conclusion. Thresholds should be published with the methodology version and should never replace inspection of the two components and their evidence.</w:t>
      </w:r>
    </w:p>
    <w:p>
      <w:pPr>
        <w:pStyle w:val="Heading1"/>
      </w:pPr>
      <w:r>
        <w:t>10. Limitations, versioning, and updates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Evidence coverage limits precision: region-specific offers, A/B tests, and temporary events may change the observed facts.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A single number compresses the profile: different TS/PS combinations can yield the same MPI, so both components should be displayed alongside it.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Weights and rules are constructs of Monetization Lens, not a causal estimate of harm or the behavior of an individual player.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A data refresh creates a new snapshot and recalculation under the same methodology while retaining the old result. Changes to TWs, PS rules, bands, or rounding require a new method_version and changelog.</w:t>
      </w:r>
    </w:p>
    <w:p>
      <w:pPr>
        <w:spacing w:after="80" w:line="252" w:lineRule="auto"/>
        <w:numPr>
          <w:ilvl w:val="0"/>
          <w:numId w:val="10"/>
        </w:numPr>
      </w:pPr>
      <w:r>
        <w:rPr>
          <w:rFonts w:ascii="Calibri" w:hAnsi="Calibri" w:eastAsia="Calibri"/>
          <w:b w:val="0"/>
          <w:i w:val="0"/>
          <w:color w:val="000000"/>
          <w:sz w:val="21"/>
        </w:rPr>
        <w:t>Boundary cases and missing data should not be guessed; they should be flagged, reviewed, and published only under a predetermined policy.</w:t>
      </w:r>
    </w:p>
    <w:p>
      <w:pPr>
        <w:keepLines w:val="0"/>
        <w:spacing w:after="0" w:line="247" w:lineRule="auto"/>
      </w:pPr>
      <w:r>
        <w:rPr>
          <w:rFonts w:ascii="Calibri" w:hAnsi="Calibri" w:eastAsia="Calibri"/>
          <w:b/>
          <w:i w:val="0"/>
          <w:color w:val="000000"/>
          <w:sz w:val="21"/>
        </w:rPr>
        <w:t>Publication rule:</w:t>
      </w: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 show MPI together with TS, Raw PS, Normalized PS, observation date, table/rule versions, and evidence-completeness status. This makes the index comparable, auditable, and updateable.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Monetization Lens  |  MPI Methodology  |  </w:t>
    </w:r>
    <w:r>
      <w:rPr>
        <w:rFonts w:ascii="Calibri" w:hAnsi="Calibri" w:eastAsia="Calibri"/>
        <w:b w:val="0"/>
        <w:i w:val="0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rPr>
        <w:rFonts w:ascii="Calibri" w:hAnsi="Calibri" w:eastAsia="Calibri"/>
        <w:b/>
        <w:i w:val="0"/>
        <w:color w:val="2E74B5"/>
        <w:sz w:val="18"/>
      </w:rPr>
      <w:t>MONETIZATION LENS</w:t>
    </w:r>
    <w:r>
      <w:rPr>
        <w:rFonts w:ascii="Calibri" w:hAnsi="Calibri" w:eastAsia="Calibri"/>
        <w:b w:val="0"/>
        <w:i w:val="0"/>
        <w:color w:val="667085"/>
        <w:sz w:val="18"/>
      </w:rPr>
      <w:t xml:space="preserve">  /  Monetization Pressure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80" w:line="252" w:lineRule="auto"/>
      </w:pPr>
      <w:rPr>
        <w:rFonts w:ascii="Arial" w:hAnsi="Arial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52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47" w:lineRule="auto"/>
    </w:pPr>
    <w:rPr>
      <w:rFonts w:ascii="Calibri" w:hAnsi="Calibri" w:eastAsia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200"/>
      <w:contextualSpacing/>
    </w:pPr>
    <w:rPr>
      <w:rFonts w:asciiTheme="majorHAnsi" w:eastAsiaTheme="majorEastAsia" w:hAnsiTheme="majorHAnsi" w:cstheme="majorBidi" w:ascii="Calibri" w:hAnsi="Calibri" w:eastAsia="Calibri"/>
      <w:b/>
      <w:color w:val="2335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 w:eastAsia="Calibri"/>
      <w:i w:val="0"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Monetization Pressure Index (MPI) - Monetization Lens</dc:title>
  <dc:subject>Bilingual methodology note: Russian and English</dc:subject>
  <dc:creator>Monetization Lens</dc:creator>
  <cp:keywords>MPI, Transaction Score, Pressure Score, monetization, methodology</cp:keywords>
  <dc:description>Formula preserved: MPI = Transaction Score x (Raw Pressure Score / 20).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