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CB316" w14:textId="77777777" w:rsidR="00301C36" w:rsidRPr="00562310" w:rsidRDefault="00301C36" w:rsidP="00C92A67">
      <w:pPr>
        <w:pStyle w:val="berschrift1"/>
      </w:pPr>
      <w:r w:rsidRPr="00562310">
        <w:t>Allgemeine Hinweise</w:t>
      </w:r>
    </w:p>
    <w:p w14:paraId="598F0DF6" w14:textId="5083343B" w:rsidR="00CA06E1" w:rsidRPr="00562310" w:rsidRDefault="00301C36" w:rsidP="00C92A67">
      <w:r w:rsidRPr="00562310">
        <w:t>„item“ enthält den O</w:t>
      </w:r>
      <w:r w:rsidR="00CA06E1" w:rsidRPr="00562310">
        <w:t xml:space="preserve">riginalbeleg in bereinigter Form (ohne Artikel und weitere Angaben) aber mit allen </w:t>
      </w:r>
      <w:r w:rsidR="0041152D">
        <w:t>Sonderzeichen.</w:t>
      </w:r>
    </w:p>
    <w:p w14:paraId="60176E55" w14:textId="77777777" w:rsidR="00CA06E1" w:rsidRPr="00562310" w:rsidRDefault="00CA06E1" w:rsidP="00C92A67">
      <w:r w:rsidRPr="00562310">
        <w:t>„phontype“ enthält eine Typisierung unter Beachtung von phonetisch-phonologischen U</w:t>
      </w:r>
      <w:r w:rsidRPr="00C92A67">
        <w:t>nterschiede</w:t>
      </w:r>
      <w:r w:rsidRPr="00562310">
        <w:t xml:space="preserve">n, von denen wir ausgehen, dass sie durch die Laientranskriptionen zuverlässig dargestellt werden konnten. </w:t>
      </w:r>
      <w:r w:rsidR="002974EB" w:rsidRPr="00562310">
        <w:t>Dabei gelten folgende Regeln</w:t>
      </w:r>
      <w:r w:rsidRPr="00562310">
        <w:t>:</w:t>
      </w:r>
    </w:p>
    <w:p w14:paraId="7DF09628" w14:textId="77777777" w:rsidR="00CA06E1" w:rsidRPr="00562310" w:rsidRDefault="002974EB" w:rsidP="00C92A67">
      <w:pPr>
        <w:pStyle w:val="Listenabsatz"/>
        <w:numPr>
          <w:ilvl w:val="0"/>
          <w:numId w:val="2"/>
        </w:numPr>
      </w:pPr>
      <w:r w:rsidRPr="00562310">
        <w:t xml:space="preserve">Keine Unterscheidung </w:t>
      </w:r>
      <w:r w:rsidR="00CA06E1" w:rsidRPr="00562310">
        <w:t>Doppelkonsonanten vs. einfache</w:t>
      </w:r>
    </w:p>
    <w:p w14:paraId="11BD7039" w14:textId="77777777" w:rsidR="00CA06E1" w:rsidRPr="00562310" w:rsidRDefault="002974EB" w:rsidP="00C92A67">
      <w:pPr>
        <w:pStyle w:val="Listenabsatz"/>
        <w:numPr>
          <w:ilvl w:val="0"/>
          <w:numId w:val="2"/>
        </w:numPr>
      </w:pPr>
      <w:r w:rsidRPr="00562310">
        <w:t xml:space="preserve">Keine </w:t>
      </w:r>
      <w:r w:rsidR="00CA06E1" w:rsidRPr="00562310">
        <w:t>Sonderzeichen und Diakritika</w:t>
      </w:r>
    </w:p>
    <w:p w14:paraId="1E415C5E" w14:textId="39AB7BDB" w:rsidR="00F907C9" w:rsidRPr="00562310" w:rsidRDefault="00CA06E1" w:rsidP="00F907C9">
      <w:pPr>
        <w:pStyle w:val="Listenabsatz"/>
        <w:numPr>
          <w:ilvl w:val="0"/>
          <w:numId w:val="2"/>
        </w:numPr>
      </w:pPr>
      <w:r w:rsidRPr="00562310">
        <w:t xml:space="preserve">Auslautende Reduktionsvokale (ausgenommen Diminutiv-Suffixe) immer als </w:t>
      </w:r>
      <w:r w:rsidR="002974EB" w:rsidRPr="00562310">
        <w:t>&lt;-</w:t>
      </w:r>
      <w:r w:rsidRPr="00562310">
        <w:t>e</w:t>
      </w:r>
      <w:r w:rsidR="002974EB" w:rsidRPr="00562310">
        <w:t>&gt;</w:t>
      </w:r>
      <w:r w:rsidRPr="00562310">
        <w:t xml:space="preserve"> übertragen</w:t>
      </w:r>
    </w:p>
    <w:p w14:paraId="750734BD" w14:textId="77777777" w:rsidR="00CA06E1" w:rsidRPr="00562310" w:rsidRDefault="00CA06E1" w:rsidP="00C92A67">
      <w:pPr>
        <w:pStyle w:val="Listenabsatz"/>
        <w:numPr>
          <w:ilvl w:val="0"/>
          <w:numId w:val="2"/>
        </w:numPr>
      </w:pPr>
      <w:r w:rsidRPr="00562310">
        <w:t>Keine Unterscheidung von Vokalquantität</w:t>
      </w:r>
    </w:p>
    <w:p w14:paraId="307F3969" w14:textId="3F61A4AE" w:rsidR="00CA06E1" w:rsidRPr="00562310" w:rsidRDefault="0041152D" w:rsidP="00C92A67">
      <w:pPr>
        <w:pStyle w:val="Listenabsatz"/>
        <w:numPr>
          <w:ilvl w:val="0"/>
          <w:numId w:val="2"/>
        </w:numPr>
      </w:pPr>
      <w:r>
        <w:t xml:space="preserve">Wird zum Schluss eingefügt: </w:t>
      </w:r>
      <w:r w:rsidR="00CA06E1" w:rsidRPr="00562310">
        <w:t xml:space="preserve">Bei </w:t>
      </w:r>
      <w:r w:rsidR="00CA06E1" w:rsidRPr="00562310">
        <w:rPr>
          <w:i/>
        </w:rPr>
        <w:t>item</w:t>
      </w:r>
      <w:r w:rsidR="00CA06E1" w:rsidRPr="00562310">
        <w:t xml:space="preserve"> und </w:t>
      </w:r>
      <w:r w:rsidR="00CA06E1" w:rsidRPr="00562310">
        <w:rPr>
          <w:i/>
        </w:rPr>
        <w:t>phontype</w:t>
      </w:r>
      <w:r w:rsidR="00CA06E1" w:rsidRPr="00562310">
        <w:t>: &lt;X&gt; für &lt;ch&gt; (wenn als Frikativ [χ, x] zu verstehen), &lt;S&gt; für &lt;sch&gt; bzw. [ʃ]</w:t>
      </w:r>
      <w:r w:rsidR="002974EB" w:rsidRPr="00562310">
        <w:t>; ansonsten ausschließlich Kleinbuchstaben</w:t>
      </w:r>
    </w:p>
    <w:p w14:paraId="1BCA49A3" w14:textId="77777777" w:rsidR="002974EB" w:rsidRPr="00562310" w:rsidRDefault="002974EB" w:rsidP="00C92A67">
      <w:pPr>
        <w:pStyle w:val="Listenabsatz"/>
        <w:numPr>
          <w:ilvl w:val="0"/>
          <w:numId w:val="2"/>
        </w:numPr>
      </w:pPr>
      <w:r w:rsidRPr="00562310">
        <w:t xml:space="preserve">Keine Unterscheidung von </w:t>
      </w:r>
      <w:r w:rsidR="00D138E1" w:rsidRPr="00562310">
        <w:t>&lt;</w:t>
      </w:r>
      <w:r w:rsidRPr="00562310">
        <w:t>a, å</w:t>
      </w:r>
      <w:r w:rsidR="00D138E1" w:rsidRPr="00562310">
        <w:t>&gt;</w:t>
      </w:r>
      <w:r w:rsidRPr="00562310">
        <w:t xml:space="preserve"> und </w:t>
      </w:r>
      <w:r w:rsidR="00D138E1" w:rsidRPr="00562310">
        <w:t>&lt;</w:t>
      </w:r>
      <w:r w:rsidRPr="00562310">
        <w:t>o</w:t>
      </w:r>
      <w:r w:rsidR="00D138E1" w:rsidRPr="00562310">
        <w:t>&gt;</w:t>
      </w:r>
      <w:r w:rsidRPr="00562310">
        <w:t xml:space="preserve"> </w:t>
      </w:r>
      <w:r w:rsidRPr="00562310">
        <w:sym w:font="Wingdings" w:char="F0E0"/>
      </w:r>
      <w:r w:rsidR="00D138E1" w:rsidRPr="00562310">
        <w:t xml:space="preserve"> umgesetzt als </w:t>
      </w:r>
      <w:r w:rsidR="00D138E1" w:rsidRPr="00562310">
        <w:rPr>
          <w:i/>
        </w:rPr>
        <w:t>a</w:t>
      </w:r>
    </w:p>
    <w:p w14:paraId="3A77B98C" w14:textId="77777777" w:rsidR="002974EB" w:rsidRPr="00562310" w:rsidRDefault="002974EB" w:rsidP="00C92A67">
      <w:pPr>
        <w:pStyle w:val="Listenabsatz"/>
        <w:numPr>
          <w:ilvl w:val="0"/>
          <w:numId w:val="2"/>
        </w:numPr>
      </w:pPr>
      <w:r w:rsidRPr="00562310">
        <w:t xml:space="preserve">Diminutive: Unterscheidung zwischen vier Varianten </w:t>
      </w:r>
      <w:r w:rsidRPr="00562310">
        <w:rPr>
          <w:i/>
        </w:rPr>
        <w:t>-(e)le</w:t>
      </w:r>
      <w:r w:rsidRPr="00562310">
        <w:t xml:space="preserve">, </w:t>
      </w:r>
      <w:r w:rsidRPr="00562310">
        <w:rPr>
          <w:i/>
        </w:rPr>
        <w:t>-(e/a)la</w:t>
      </w:r>
      <w:r w:rsidRPr="00562310">
        <w:t xml:space="preserve">, </w:t>
      </w:r>
      <w:r w:rsidRPr="00562310">
        <w:rPr>
          <w:i/>
        </w:rPr>
        <w:t>-(e)li</w:t>
      </w:r>
      <w:r w:rsidRPr="00562310">
        <w:t xml:space="preserve"> und </w:t>
      </w:r>
      <w:r w:rsidRPr="00562310">
        <w:rPr>
          <w:i/>
        </w:rPr>
        <w:t>-(e)l</w:t>
      </w:r>
    </w:p>
    <w:p w14:paraId="1E1606B4" w14:textId="77777777" w:rsidR="002974EB" w:rsidRPr="00562310" w:rsidRDefault="002974EB" w:rsidP="00C92A67">
      <w:pPr>
        <w:pStyle w:val="Listenabsatz"/>
        <w:numPr>
          <w:ilvl w:val="0"/>
          <w:numId w:val="2"/>
        </w:numPr>
      </w:pPr>
      <w:r w:rsidRPr="00562310">
        <w:t xml:space="preserve">i.d.R. keine Unterscheidung </w:t>
      </w:r>
      <w:r w:rsidRPr="00562310">
        <w:rPr>
          <w:i/>
        </w:rPr>
        <w:t xml:space="preserve">von </w:t>
      </w:r>
      <w:r w:rsidR="00D138E1" w:rsidRPr="00562310">
        <w:rPr>
          <w:i/>
        </w:rPr>
        <w:t>&lt;</w:t>
      </w:r>
      <w:r w:rsidRPr="00562310">
        <w:rPr>
          <w:i/>
        </w:rPr>
        <w:t>e</w:t>
      </w:r>
      <w:r w:rsidR="00D138E1" w:rsidRPr="00562310">
        <w:rPr>
          <w:i/>
        </w:rPr>
        <w:t>&gt;</w:t>
      </w:r>
      <w:r w:rsidRPr="00562310">
        <w:rPr>
          <w:i/>
        </w:rPr>
        <w:t xml:space="preserve"> und </w:t>
      </w:r>
      <w:r w:rsidR="00D138E1" w:rsidRPr="00562310">
        <w:rPr>
          <w:i/>
        </w:rPr>
        <w:t>&lt;</w:t>
      </w:r>
      <w:r w:rsidRPr="00562310">
        <w:rPr>
          <w:i/>
        </w:rPr>
        <w:t>ä</w:t>
      </w:r>
      <w:r w:rsidR="00D138E1" w:rsidRPr="00562310">
        <w:rPr>
          <w:i/>
        </w:rPr>
        <w:t>&gt;</w:t>
      </w:r>
      <w:r w:rsidRPr="00562310">
        <w:t xml:space="preserve"> </w:t>
      </w:r>
      <w:r w:rsidRPr="00562310">
        <w:sym w:font="Wingdings" w:char="F0E0"/>
      </w:r>
      <w:r w:rsidR="00D138E1" w:rsidRPr="00562310">
        <w:t xml:space="preserve"> umgesetzt als </w:t>
      </w:r>
      <w:r w:rsidR="00D138E1" w:rsidRPr="00562310">
        <w:rPr>
          <w:i/>
        </w:rPr>
        <w:t>e</w:t>
      </w:r>
      <w:r w:rsidRPr="00562310">
        <w:t xml:space="preserve"> </w:t>
      </w:r>
    </w:p>
    <w:p w14:paraId="4E0BEEDF" w14:textId="77777777" w:rsidR="002974EB" w:rsidRPr="00562310" w:rsidRDefault="002974EB" w:rsidP="00C92A67">
      <w:pPr>
        <w:pStyle w:val="Listenabsatz"/>
        <w:numPr>
          <w:ilvl w:val="0"/>
          <w:numId w:val="2"/>
        </w:numPr>
      </w:pPr>
      <w:r w:rsidRPr="00562310">
        <w:t xml:space="preserve">i.d.R. kann &lt;ie&gt; als langes </w:t>
      </w:r>
      <w:r w:rsidRPr="00562310">
        <w:rPr>
          <w:i/>
        </w:rPr>
        <w:t>i</w:t>
      </w:r>
      <w:r w:rsidRPr="00562310">
        <w:t xml:space="preserve"> oder als Diphthong/Diphthongoid eingesetzt werden </w:t>
      </w:r>
      <w:r w:rsidRPr="00562310">
        <w:sym w:font="Wingdings" w:char="F0E0"/>
      </w:r>
      <w:r w:rsidRPr="00562310">
        <w:t xml:space="preserve"> i.d.R. alles in &lt;i&gt; umgesetzt (dann auch einzelne &lt;iä, ié, ia&gt; o.ä.!)</w:t>
      </w:r>
    </w:p>
    <w:p w14:paraId="3AD7C5CA" w14:textId="1FF781BA" w:rsidR="00D138E1" w:rsidRPr="0041152D" w:rsidRDefault="00D138E1" w:rsidP="00C92A67">
      <w:pPr>
        <w:pStyle w:val="Listenabsatz"/>
        <w:numPr>
          <w:ilvl w:val="0"/>
          <w:numId w:val="2"/>
        </w:numPr>
      </w:pPr>
      <w:r w:rsidRPr="00562310">
        <w:t xml:space="preserve">&lt;z,tz,ts,dz&gt; </w:t>
      </w:r>
      <w:r w:rsidRPr="00562310">
        <w:sym w:font="Wingdings" w:char="F0E0"/>
      </w:r>
      <w:r w:rsidRPr="00562310">
        <w:t xml:space="preserve"> umgesetzt als </w:t>
      </w:r>
      <w:r w:rsidRPr="00562310">
        <w:rPr>
          <w:i/>
        </w:rPr>
        <w:t>ts</w:t>
      </w:r>
    </w:p>
    <w:p w14:paraId="7538803A" w14:textId="02BB5515" w:rsidR="0041152D" w:rsidRDefault="0041152D" w:rsidP="00C92A67">
      <w:pPr>
        <w:pStyle w:val="Listenabsatz"/>
        <w:numPr>
          <w:ilvl w:val="0"/>
          <w:numId w:val="2"/>
        </w:numPr>
      </w:pPr>
      <w:r w:rsidRPr="0041152D">
        <w:t xml:space="preserve">Diphthonge </w:t>
      </w:r>
      <w:r>
        <w:t xml:space="preserve">grob </w:t>
      </w:r>
      <w:r w:rsidRPr="0041152D">
        <w:t xml:space="preserve">unterschieden in Gruppe </w:t>
      </w:r>
      <w:r>
        <w:t>ausgleitend (i.d.R. steigend): ei (ei,ai,oi,eu,äu</w:t>
      </w:r>
      <w:r w:rsidR="00C45DF4">
        <w:t>,öu</w:t>
      </w:r>
      <w:r>
        <w:t xml:space="preserve">) und au (au,ou, </w:t>
      </w:r>
      <w:commentRangeStart w:id="0"/>
      <w:r>
        <w:t>manchmal ao</w:t>
      </w:r>
      <w:commentRangeEnd w:id="0"/>
      <w:r>
        <w:rPr>
          <w:rStyle w:val="Kommentarzeichen"/>
        </w:rPr>
        <w:commentReference w:id="0"/>
      </w:r>
      <w:r>
        <w:t>) und eingleitenden (i.d.R. fallend): ie (ia,ie,ue,</w:t>
      </w:r>
      <w:r w:rsidR="00C45DF4">
        <w:t>ua,uo)</w:t>
      </w:r>
      <w:r>
        <w:t>, genaue Unterscheidung und Abgrenzbarkeit muss ja nach Wort entschieden werden.</w:t>
      </w:r>
    </w:p>
    <w:p w14:paraId="67BBB5E8" w14:textId="6C7D3D0E" w:rsidR="00F907C9" w:rsidRPr="0041152D" w:rsidRDefault="00F907C9" w:rsidP="00F907C9">
      <w:pPr>
        <w:pStyle w:val="Listenabsatz"/>
        <w:numPr>
          <w:ilvl w:val="1"/>
          <w:numId w:val="2"/>
        </w:numPr>
      </w:pPr>
      <w:r>
        <w:t>a vor r kann als Vokalisierung interpretiert werden bzw. mit dieser zusammenfallen, z.B. „Stoar“ als „Star“</w:t>
      </w:r>
    </w:p>
    <w:p w14:paraId="14D2044A" w14:textId="67C2E219" w:rsidR="00625C3D" w:rsidRDefault="003A533E" w:rsidP="00715057">
      <w:pPr>
        <w:pStyle w:val="berschrift1"/>
      </w:pPr>
      <w:r>
        <w:t>Fledermaus (mhd. vledarmûs)</w:t>
      </w:r>
    </w:p>
    <w:p w14:paraId="365DF9CA" w14:textId="522AA272" w:rsidR="003A533E" w:rsidRPr="003A533E" w:rsidRDefault="003A533E" w:rsidP="003A533E">
      <w:pPr>
        <w:pStyle w:val="Listenabsatz"/>
        <w:numPr>
          <w:ilvl w:val="0"/>
          <w:numId w:val="2"/>
        </w:numPr>
      </w:pPr>
      <w:r>
        <w:t>Etymologie nach DWDS: „</w:t>
      </w:r>
      <w:r>
        <w:rPr>
          <w:rStyle w:val="etymwb-orth"/>
        </w:rPr>
        <w:t>Fledermaus</w:t>
      </w:r>
      <w:r>
        <w:rPr>
          <w:rStyle w:val="etymwb-headword"/>
        </w:rPr>
        <w:t xml:space="preserve"> </w:t>
      </w:r>
      <w:r>
        <w:rPr>
          <w:rStyle w:val="etymwb-gramgrp"/>
        </w:rPr>
        <w:t xml:space="preserve">f. </w:t>
      </w:r>
      <w:r>
        <w:t xml:space="preserve">geflügeltes, mausähnliches Nachtsäugetier, ahd. </w:t>
      </w:r>
      <w:r>
        <w:rPr>
          <w:rStyle w:val="etymwb-mentioned"/>
        </w:rPr>
        <w:t>fledarmūs</w:t>
      </w:r>
      <w:r>
        <w:t xml:space="preserve"> f. (9. Jh.) und die Weiterbildungen </w:t>
      </w:r>
      <w:r>
        <w:rPr>
          <w:rStyle w:val="etymwb-mentioned"/>
        </w:rPr>
        <w:t>fledarmūstra</w:t>
      </w:r>
      <w:r>
        <w:t xml:space="preserve"> f., </w:t>
      </w:r>
      <w:r>
        <w:rPr>
          <w:rStyle w:val="etymwb-mentioned"/>
        </w:rPr>
        <w:t>-stro</w:t>
      </w:r>
      <w:r>
        <w:t xml:space="preserve"> m. (9. Jh.), mhd. </w:t>
      </w:r>
      <w:r>
        <w:rPr>
          <w:rStyle w:val="etymwb-mentioned"/>
        </w:rPr>
        <w:t>vledermūs</w:t>
      </w:r>
      <w:r>
        <w:t xml:space="preserve">, eigentlich ‘Flattermaus’, sind Zusammensetzungen mit dem erst spät belegten Verb mhd. </w:t>
      </w:r>
      <w:r>
        <w:rPr>
          <w:rStyle w:val="etymwb-mentioned"/>
        </w:rPr>
        <w:t>vlederen</w:t>
      </w:r>
      <w:r>
        <w:t xml:space="preserve">, </w:t>
      </w:r>
      <w:r>
        <w:rPr>
          <w:rStyle w:val="etymwb-mentioned"/>
        </w:rPr>
        <w:t>vledern</w:t>
      </w:r>
      <w:r>
        <w:t xml:space="preserve"> ‘flattern’ (doch vgl. ahd. </w:t>
      </w:r>
      <w:r>
        <w:rPr>
          <w:rStyle w:val="etymwb-mentioned"/>
        </w:rPr>
        <w:t>fledirōnti</w:t>
      </w:r>
      <w:r>
        <w:t xml:space="preserve"> Part.adj. ‘in ein locker, lose fallendes Gewand gekleidet’, Hs. 12. Jh.), das wohl mit </w:t>
      </w:r>
      <w:hyperlink r:id="rId8" w:history="1">
        <w:r>
          <w:rPr>
            <w:rStyle w:val="Hyperlink"/>
          </w:rPr>
          <w:t>flattern</w:t>
        </w:r>
      </w:hyperlink>
      <w:r>
        <w:t xml:space="preserve"> (s. d.) im Ablautverhältnis steht und nur noch als Kompositionsglied in </w:t>
      </w:r>
      <w:hyperlink r:id="rId9" w:history="1">
        <w:r>
          <w:rPr>
            <w:rStyle w:val="Hyperlink"/>
          </w:rPr>
          <w:t>Fledermaus</w:t>
        </w:r>
      </w:hyperlink>
      <w:r>
        <w:t xml:space="preserve">, </w:t>
      </w:r>
      <w:hyperlink r:id="rId10" w:history="1">
        <w:r>
          <w:rPr>
            <w:rStyle w:val="Hyperlink"/>
          </w:rPr>
          <w:t>Flederwisch</w:t>
        </w:r>
      </w:hyperlink>
      <w:r>
        <w:t xml:space="preserve"> und </w:t>
      </w:r>
      <w:hyperlink r:id="rId11" w:history="1">
        <w:r>
          <w:rPr>
            <w:rStyle w:val="Hyperlink"/>
          </w:rPr>
          <w:t>zerfledern</w:t>
        </w:r>
      </w:hyperlink>
      <w:r>
        <w:t xml:space="preserve"> (s. d.) weiterlebt.“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00"/>
        <w:gridCol w:w="6657"/>
      </w:tblGrid>
      <w:tr w:rsidR="00482E82" w14:paraId="614BFEF5" w14:textId="77777777" w:rsidTr="00450843">
        <w:tc>
          <w:tcPr>
            <w:tcW w:w="1705" w:type="dxa"/>
          </w:tcPr>
          <w:p w14:paraId="2716A2B2" w14:textId="793200A2" w:rsidR="00482E82" w:rsidRDefault="00482E82" w:rsidP="00482E82">
            <w:r w:rsidRPr="00C92A67">
              <w:rPr>
                <w:b/>
              </w:rPr>
              <w:t>lextype</w:t>
            </w:r>
          </w:p>
        </w:tc>
        <w:tc>
          <w:tcPr>
            <w:tcW w:w="700" w:type="dxa"/>
          </w:tcPr>
          <w:p w14:paraId="2A6C453B" w14:textId="0E4F35AD" w:rsidR="00482E82" w:rsidRDefault="00482E82" w:rsidP="00482E82">
            <w:r w:rsidRPr="00C92A67">
              <w:rPr>
                <w:b/>
              </w:rPr>
              <w:t>n</w:t>
            </w:r>
          </w:p>
        </w:tc>
        <w:tc>
          <w:tcPr>
            <w:tcW w:w="6657" w:type="dxa"/>
          </w:tcPr>
          <w:p w14:paraId="16A8B59D" w14:textId="0FCAD3D7" w:rsidR="00482E82" w:rsidRDefault="00482E82" w:rsidP="00482E82">
            <w:r w:rsidRPr="00C92A67">
              <w:rPr>
                <w:b/>
              </w:rPr>
              <w:t>Hinweise für phontype (</w:t>
            </w:r>
            <w:r w:rsidRPr="00C92A67">
              <w:rPr>
                <w:b/>
                <w:i/>
              </w:rPr>
              <w:t>phontype</w:t>
            </w:r>
            <w:r w:rsidRPr="00C92A67">
              <w:rPr>
                <w:b/>
              </w:rPr>
              <w:t xml:space="preserve"> kursiv, item/Laientranskription in &lt; &gt;)</w:t>
            </w:r>
          </w:p>
        </w:tc>
      </w:tr>
      <w:tr w:rsidR="009F08FC" w:rsidRPr="008D3DAC" w14:paraId="77BDE5B4" w14:textId="77777777" w:rsidTr="00450843">
        <w:tc>
          <w:tcPr>
            <w:tcW w:w="1705" w:type="dxa"/>
          </w:tcPr>
          <w:p w14:paraId="419041B0" w14:textId="31A6CAD6" w:rsidR="009F08FC" w:rsidRDefault="003A533E" w:rsidP="000E2A03">
            <w:r>
              <w:t>Fledermaus</w:t>
            </w:r>
          </w:p>
        </w:tc>
        <w:tc>
          <w:tcPr>
            <w:tcW w:w="700" w:type="dxa"/>
          </w:tcPr>
          <w:p w14:paraId="5634E623" w14:textId="6EC5CDE8" w:rsidR="009F08FC" w:rsidRDefault="009F08FC" w:rsidP="00472468"/>
        </w:tc>
        <w:tc>
          <w:tcPr>
            <w:tcW w:w="6657" w:type="dxa"/>
          </w:tcPr>
          <w:p w14:paraId="5F9F7B6C" w14:textId="77777777" w:rsidR="009F08FC" w:rsidRPr="003A533E" w:rsidRDefault="003A533E" w:rsidP="00EF06B1">
            <w:r w:rsidRPr="003A533E">
              <w:rPr>
                <w:b/>
                <w:i/>
              </w:rPr>
              <w:t>fleder</w:t>
            </w:r>
            <w:r w:rsidRPr="003A533E">
              <w:t xml:space="preserve"> unterscheiden nach:</w:t>
            </w:r>
          </w:p>
          <w:p w14:paraId="7710A41F" w14:textId="77777777" w:rsidR="003A533E" w:rsidRDefault="003A533E" w:rsidP="00EF06B1">
            <w:r>
              <w:t xml:space="preserve">Anlaut </w:t>
            </w:r>
            <w:r w:rsidRPr="003A533E">
              <w:rPr>
                <w:i/>
              </w:rPr>
              <w:t>pf</w:t>
            </w:r>
            <w:r>
              <w:t xml:space="preserve"> vs. </w:t>
            </w:r>
            <w:r w:rsidRPr="003A533E">
              <w:rPr>
                <w:i/>
              </w:rPr>
              <w:t>f</w:t>
            </w:r>
            <w:r>
              <w:t xml:space="preserve"> </w:t>
            </w:r>
          </w:p>
          <w:p w14:paraId="4DCBC796" w14:textId="77777777" w:rsidR="003A533E" w:rsidRDefault="003A533E" w:rsidP="00EF06B1">
            <w:r>
              <w:t xml:space="preserve">Senkung: </w:t>
            </w:r>
            <w:r w:rsidRPr="003A533E">
              <w:rPr>
                <w:i/>
              </w:rPr>
              <w:t xml:space="preserve">e </w:t>
            </w:r>
            <w:r>
              <w:t xml:space="preserve">vs. </w:t>
            </w:r>
            <w:r w:rsidRPr="003A533E">
              <w:rPr>
                <w:i/>
              </w:rPr>
              <w:t>ä</w:t>
            </w:r>
            <w:r>
              <w:t xml:space="preserve"> vs. </w:t>
            </w:r>
            <w:r w:rsidRPr="003A533E">
              <w:rPr>
                <w:i/>
              </w:rPr>
              <w:t>a</w:t>
            </w:r>
          </w:p>
          <w:p w14:paraId="1B94E759" w14:textId="77777777" w:rsidR="003A533E" w:rsidRDefault="003A533E" w:rsidP="00EF06B1">
            <w:r>
              <w:t>(Quantität und Fortis/Lenis-Plosiv wird nicht unterschieden)</w:t>
            </w:r>
          </w:p>
          <w:p w14:paraId="660EAE90" w14:textId="77777777" w:rsidR="003A533E" w:rsidRDefault="003A533E" w:rsidP="00EF06B1">
            <w:r w:rsidRPr="003A533E">
              <w:rPr>
                <w:b/>
                <w:i/>
              </w:rPr>
              <w:lastRenderedPageBreak/>
              <w:t>maus</w:t>
            </w:r>
            <w:r>
              <w:t xml:space="preserve"> unterschieden nach:</w:t>
            </w:r>
          </w:p>
          <w:p w14:paraId="2BFB52E5" w14:textId="77777777" w:rsidR="003A533E" w:rsidRDefault="003A533E" w:rsidP="003A533E">
            <w:pPr>
              <w:rPr>
                <w:i/>
              </w:rPr>
            </w:pPr>
            <w:r>
              <w:t xml:space="preserve">diphthongiert mit </w:t>
            </w:r>
            <w:r w:rsidRPr="003A533E">
              <w:rPr>
                <w:i/>
              </w:rPr>
              <w:t>au</w:t>
            </w:r>
            <w:r>
              <w:t xml:space="preserve"> &lt;au,ou,åu&gt; vs. </w:t>
            </w:r>
            <w:r w:rsidRPr="003A533E">
              <w:rPr>
                <w:i/>
              </w:rPr>
              <w:t>u</w:t>
            </w:r>
            <w:r>
              <w:t xml:space="preserve"> vs. </w:t>
            </w:r>
            <w:r w:rsidRPr="003A533E">
              <w:rPr>
                <w:i/>
              </w:rPr>
              <w:t>ü</w:t>
            </w:r>
          </w:p>
          <w:p w14:paraId="466DA774" w14:textId="3FB02D11" w:rsidR="008D3DAC" w:rsidRPr="008D3DAC" w:rsidRDefault="008D3DAC" w:rsidP="003A533E">
            <w:pPr>
              <w:rPr>
                <w:lang w:val="en-GB"/>
              </w:rPr>
            </w:pPr>
            <w:r w:rsidRPr="008D3DAC">
              <w:rPr>
                <w:i/>
                <w:lang w:val="en-GB"/>
              </w:rPr>
              <w:t xml:space="preserve">-s </w:t>
            </w:r>
            <w:r w:rsidRPr="008D3DAC">
              <w:rPr>
                <w:lang w:val="en-GB"/>
              </w:rPr>
              <w:t>&lt;s,ss,hs,ß&gt; vs</w:t>
            </w:r>
            <w:r w:rsidRPr="008D3DAC">
              <w:rPr>
                <w:i/>
                <w:lang w:val="en-GB"/>
              </w:rPr>
              <w:t>. sch</w:t>
            </w:r>
          </w:p>
        </w:tc>
      </w:tr>
      <w:tr w:rsidR="009F08FC" w:rsidRPr="005711A6" w14:paraId="5DE28A63" w14:textId="77777777" w:rsidTr="00450843">
        <w:tc>
          <w:tcPr>
            <w:tcW w:w="1705" w:type="dxa"/>
          </w:tcPr>
          <w:p w14:paraId="3C5E9483" w14:textId="0B8949AB" w:rsidR="009F08FC" w:rsidRDefault="003A533E" w:rsidP="00FE1950">
            <w:r>
              <w:lastRenderedPageBreak/>
              <w:t>Speckmaus</w:t>
            </w:r>
          </w:p>
        </w:tc>
        <w:tc>
          <w:tcPr>
            <w:tcW w:w="700" w:type="dxa"/>
          </w:tcPr>
          <w:p w14:paraId="13744A4C" w14:textId="63749138" w:rsidR="009F08FC" w:rsidRDefault="009F08FC" w:rsidP="00472468"/>
        </w:tc>
        <w:tc>
          <w:tcPr>
            <w:tcW w:w="6657" w:type="dxa"/>
          </w:tcPr>
          <w:p w14:paraId="03DF930A" w14:textId="68D698B6" w:rsidR="003A533E" w:rsidRPr="003A533E" w:rsidRDefault="003A533E" w:rsidP="003A533E">
            <w:r>
              <w:rPr>
                <w:b/>
                <w:i/>
              </w:rPr>
              <w:t>speck</w:t>
            </w:r>
            <w:r w:rsidRPr="003A533E">
              <w:t xml:space="preserve"> unterscheiden nach:</w:t>
            </w:r>
          </w:p>
          <w:p w14:paraId="51D1765C" w14:textId="77777777" w:rsidR="003A533E" w:rsidRDefault="003A533E" w:rsidP="003A533E">
            <w:r>
              <w:t xml:space="preserve">Senkung: </w:t>
            </w:r>
            <w:r w:rsidRPr="003A533E">
              <w:rPr>
                <w:i/>
              </w:rPr>
              <w:t xml:space="preserve">e </w:t>
            </w:r>
            <w:r>
              <w:t xml:space="preserve">vs. </w:t>
            </w:r>
            <w:r w:rsidRPr="003A533E">
              <w:rPr>
                <w:i/>
              </w:rPr>
              <w:t>ä</w:t>
            </w:r>
            <w:r>
              <w:t xml:space="preserve"> vs. </w:t>
            </w:r>
            <w:r w:rsidRPr="003A533E">
              <w:rPr>
                <w:i/>
              </w:rPr>
              <w:t>a</w:t>
            </w:r>
          </w:p>
          <w:p w14:paraId="6BB6914B" w14:textId="77777777" w:rsidR="003A533E" w:rsidRDefault="003A533E" w:rsidP="003A533E">
            <w:r>
              <w:t>(Quantität und Fortis/Lenis-Plosiv wird nicht unterschieden)</w:t>
            </w:r>
          </w:p>
          <w:p w14:paraId="5C7DAC04" w14:textId="77777777" w:rsidR="009F08FC" w:rsidRDefault="003A533E" w:rsidP="0068236C">
            <w:r>
              <w:t xml:space="preserve"> </w:t>
            </w:r>
          </w:p>
          <w:p w14:paraId="5C3CEC38" w14:textId="77777777" w:rsidR="003A533E" w:rsidRDefault="003A533E" w:rsidP="003A533E">
            <w:r w:rsidRPr="003A533E">
              <w:rPr>
                <w:b/>
                <w:i/>
              </w:rPr>
              <w:t>maus</w:t>
            </w:r>
            <w:r>
              <w:t xml:space="preserve"> unterschieden nach:</w:t>
            </w:r>
          </w:p>
          <w:p w14:paraId="40CFF10B" w14:textId="77777777" w:rsidR="003A533E" w:rsidRDefault="003A533E" w:rsidP="003A533E">
            <w:pPr>
              <w:rPr>
                <w:i/>
              </w:rPr>
            </w:pPr>
            <w:r>
              <w:t xml:space="preserve">diphthongiert mit </w:t>
            </w:r>
            <w:r w:rsidRPr="003A533E">
              <w:rPr>
                <w:i/>
              </w:rPr>
              <w:t>au</w:t>
            </w:r>
            <w:r>
              <w:t xml:space="preserve"> &lt;au,ou,åu&gt; vs. </w:t>
            </w:r>
            <w:r w:rsidRPr="003A533E">
              <w:rPr>
                <w:i/>
              </w:rPr>
              <w:t>u</w:t>
            </w:r>
            <w:r>
              <w:t xml:space="preserve"> vs. </w:t>
            </w:r>
            <w:r w:rsidRPr="003A533E">
              <w:rPr>
                <w:i/>
              </w:rPr>
              <w:t>ü</w:t>
            </w:r>
          </w:p>
          <w:p w14:paraId="6F52FDE1" w14:textId="045EFF5A" w:rsidR="005711A6" w:rsidRPr="005711A6" w:rsidRDefault="005711A6" w:rsidP="003A533E">
            <w:pPr>
              <w:rPr>
                <w:lang w:val="en-GB"/>
              </w:rPr>
            </w:pPr>
            <w:r w:rsidRPr="008D3DAC">
              <w:rPr>
                <w:i/>
                <w:lang w:val="en-GB"/>
              </w:rPr>
              <w:t xml:space="preserve">-s </w:t>
            </w:r>
            <w:r w:rsidRPr="008D3DAC">
              <w:rPr>
                <w:lang w:val="en-GB"/>
              </w:rPr>
              <w:t>&lt;s,ss,hs,ß&gt; vs</w:t>
            </w:r>
            <w:r w:rsidRPr="008D3DAC">
              <w:rPr>
                <w:i/>
                <w:lang w:val="en-GB"/>
              </w:rPr>
              <w:t>. sch</w:t>
            </w:r>
          </w:p>
        </w:tc>
      </w:tr>
      <w:tr w:rsidR="009F08FC" w:rsidRPr="005711A6" w14:paraId="79FB5F35" w14:textId="77777777" w:rsidTr="00450843">
        <w:tc>
          <w:tcPr>
            <w:tcW w:w="1705" w:type="dxa"/>
          </w:tcPr>
          <w:p w14:paraId="77701552" w14:textId="0EB13D8E" w:rsidR="009F08FC" w:rsidRPr="005711A6" w:rsidRDefault="009F08FC" w:rsidP="000E2A03">
            <w:pPr>
              <w:rPr>
                <w:lang w:val="en-GB"/>
              </w:rPr>
            </w:pPr>
          </w:p>
        </w:tc>
        <w:tc>
          <w:tcPr>
            <w:tcW w:w="700" w:type="dxa"/>
          </w:tcPr>
          <w:p w14:paraId="21EEF123" w14:textId="68D2805C" w:rsidR="009F08FC" w:rsidRPr="005711A6" w:rsidRDefault="009F08FC" w:rsidP="00472468">
            <w:pPr>
              <w:rPr>
                <w:lang w:val="en-GB"/>
              </w:rPr>
            </w:pPr>
          </w:p>
        </w:tc>
        <w:tc>
          <w:tcPr>
            <w:tcW w:w="6657" w:type="dxa"/>
          </w:tcPr>
          <w:p w14:paraId="66A5996A" w14:textId="04501138" w:rsidR="009F08FC" w:rsidRPr="005711A6" w:rsidRDefault="009F08FC" w:rsidP="00EF06B1">
            <w:pPr>
              <w:rPr>
                <w:i/>
                <w:lang w:val="en-GB"/>
              </w:rPr>
            </w:pPr>
          </w:p>
        </w:tc>
      </w:tr>
    </w:tbl>
    <w:p w14:paraId="3A13ABF2" w14:textId="77777777" w:rsidR="00482E82" w:rsidRPr="005711A6" w:rsidRDefault="00482E82" w:rsidP="00482E82">
      <w:pPr>
        <w:rPr>
          <w:lang w:val="en-GB"/>
        </w:rPr>
      </w:pPr>
      <w:bookmarkStart w:id="1" w:name="_GoBack"/>
      <w:bookmarkEnd w:id="1"/>
    </w:p>
    <w:sectPr w:rsidR="00482E82" w:rsidRPr="005711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j-Brit Strobel" w:date="2023-06-23T10:59:00Z" w:initials="MS">
    <w:p w14:paraId="5807D207" w14:textId="5457CCA4" w:rsidR="0041152D" w:rsidRDefault="0041152D">
      <w:pPr>
        <w:pStyle w:val="Kommentartext"/>
      </w:pPr>
      <w:r>
        <w:rPr>
          <w:rStyle w:val="Kommentarzeichen"/>
        </w:rPr>
        <w:annotationRef/>
      </w:r>
      <w:r>
        <w:t>Vorsicht, manchmal wird &lt;ao&gt; auch für Monophthong mit Qualität zwischen a und o verwendet!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07D20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ntium Plus">
    <w:altName w:val="Cambria Math"/>
    <w:panose1 w:val="02000503060000020004"/>
    <w:charset w:val="00"/>
    <w:family w:val="auto"/>
    <w:pitch w:val="variable"/>
    <w:sig w:usb0="E00003FF" w:usb1="5200E1FF" w:usb2="0A000029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1EFA"/>
    <w:multiLevelType w:val="hybridMultilevel"/>
    <w:tmpl w:val="18B42346"/>
    <w:lvl w:ilvl="0" w:tplc="25B86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77231"/>
    <w:multiLevelType w:val="hybridMultilevel"/>
    <w:tmpl w:val="97C4DC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B4DE0"/>
    <w:multiLevelType w:val="hybridMultilevel"/>
    <w:tmpl w:val="05528496"/>
    <w:lvl w:ilvl="0" w:tplc="C7045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B70B8"/>
    <w:multiLevelType w:val="hybridMultilevel"/>
    <w:tmpl w:val="BE7C27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j-Brit Strobel">
    <w15:presenceInfo w15:providerId="None" w15:userId="Maj-Brit Strob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A4"/>
    <w:rsid w:val="00002FF6"/>
    <w:rsid w:val="00042C9F"/>
    <w:rsid w:val="000655B6"/>
    <w:rsid w:val="00090FAD"/>
    <w:rsid w:val="000914C4"/>
    <w:rsid w:val="0009460C"/>
    <w:rsid w:val="00097ABF"/>
    <w:rsid w:val="000A2450"/>
    <w:rsid w:val="000A3F64"/>
    <w:rsid w:val="000B030A"/>
    <w:rsid w:val="000C0784"/>
    <w:rsid w:val="000E1573"/>
    <w:rsid w:val="000E2A03"/>
    <w:rsid w:val="000F046D"/>
    <w:rsid w:val="00135F00"/>
    <w:rsid w:val="00145E01"/>
    <w:rsid w:val="00166522"/>
    <w:rsid w:val="001955C7"/>
    <w:rsid w:val="001B2B62"/>
    <w:rsid w:val="001B388A"/>
    <w:rsid w:val="001B4A75"/>
    <w:rsid w:val="001C7C3A"/>
    <w:rsid w:val="001D60BC"/>
    <w:rsid w:val="001F24D5"/>
    <w:rsid w:val="00207374"/>
    <w:rsid w:val="0021474C"/>
    <w:rsid w:val="0022284D"/>
    <w:rsid w:val="00224E28"/>
    <w:rsid w:val="00225F66"/>
    <w:rsid w:val="0023000C"/>
    <w:rsid w:val="00233D73"/>
    <w:rsid w:val="002419CA"/>
    <w:rsid w:val="002610D6"/>
    <w:rsid w:val="002822FD"/>
    <w:rsid w:val="00290B97"/>
    <w:rsid w:val="002915A4"/>
    <w:rsid w:val="0029228D"/>
    <w:rsid w:val="002974EB"/>
    <w:rsid w:val="002B4F09"/>
    <w:rsid w:val="002C3303"/>
    <w:rsid w:val="002C4183"/>
    <w:rsid w:val="002C73E8"/>
    <w:rsid w:val="002D2333"/>
    <w:rsid w:val="002D3158"/>
    <w:rsid w:val="002D5CAE"/>
    <w:rsid w:val="002E3E53"/>
    <w:rsid w:val="002F12B6"/>
    <w:rsid w:val="00301C36"/>
    <w:rsid w:val="00334D72"/>
    <w:rsid w:val="0034080B"/>
    <w:rsid w:val="00353937"/>
    <w:rsid w:val="00356E44"/>
    <w:rsid w:val="00357463"/>
    <w:rsid w:val="0039646E"/>
    <w:rsid w:val="003A01B4"/>
    <w:rsid w:val="003A533E"/>
    <w:rsid w:val="003C5F1D"/>
    <w:rsid w:val="003D6224"/>
    <w:rsid w:val="003E3CF9"/>
    <w:rsid w:val="0041152D"/>
    <w:rsid w:val="00412534"/>
    <w:rsid w:val="00450843"/>
    <w:rsid w:val="00462D4C"/>
    <w:rsid w:val="00471E45"/>
    <w:rsid w:val="00472468"/>
    <w:rsid w:val="00480BB3"/>
    <w:rsid w:val="00481DC3"/>
    <w:rsid w:val="00482E82"/>
    <w:rsid w:val="004A1E4F"/>
    <w:rsid w:val="004A4CD4"/>
    <w:rsid w:val="004B66B3"/>
    <w:rsid w:val="004F4789"/>
    <w:rsid w:val="0050565C"/>
    <w:rsid w:val="0051538E"/>
    <w:rsid w:val="00523552"/>
    <w:rsid w:val="00523664"/>
    <w:rsid w:val="0053775F"/>
    <w:rsid w:val="0054202B"/>
    <w:rsid w:val="0054661A"/>
    <w:rsid w:val="00562310"/>
    <w:rsid w:val="00565603"/>
    <w:rsid w:val="005711A6"/>
    <w:rsid w:val="005838EE"/>
    <w:rsid w:val="005A6ABA"/>
    <w:rsid w:val="005D1329"/>
    <w:rsid w:val="005D5332"/>
    <w:rsid w:val="005D55DB"/>
    <w:rsid w:val="005E0011"/>
    <w:rsid w:val="00605BB4"/>
    <w:rsid w:val="0062456F"/>
    <w:rsid w:val="00625C3D"/>
    <w:rsid w:val="006261CC"/>
    <w:rsid w:val="00630D87"/>
    <w:rsid w:val="00674919"/>
    <w:rsid w:val="0068236C"/>
    <w:rsid w:val="006926D1"/>
    <w:rsid w:val="00696CC0"/>
    <w:rsid w:val="006973D3"/>
    <w:rsid w:val="006E22B5"/>
    <w:rsid w:val="007029D7"/>
    <w:rsid w:val="007112B7"/>
    <w:rsid w:val="007118DB"/>
    <w:rsid w:val="00715057"/>
    <w:rsid w:val="00725625"/>
    <w:rsid w:val="00740D14"/>
    <w:rsid w:val="00741715"/>
    <w:rsid w:val="007510C1"/>
    <w:rsid w:val="00765E78"/>
    <w:rsid w:val="007673A3"/>
    <w:rsid w:val="00773915"/>
    <w:rsid w:val="007811DD"/>
    <w:rsid w:val="0078676F"/>
    <w:rsid w:val="00786A2A"/>
    <w:rsid w:val="00790708"/>
    <w:rsid w:val="00795B84"/>
    <w:rsid w:val="007A5F4C"/>
    <w:rsid w:val="007B1CA8"/>
    <w:rsid w:val="007E17C7"/>
    <w:rsid w:val="008130D2"/>
    <w:rsid w:val="00813E0C"/>
    <w:rsid w:val="008278A5"/>
    <w:rsid w:val="00833FFA"/>
    <w:rsid w:val="00846CFD"/>
    <w:rsid w:val="0085393E"/>
    <w:rsid w:val="0086580A"/>
    <w:rsid w:val="00882AA4"/>
    <w:rsid w:val="008861AB"/>
    <w:rsid w:val="00892958"/>
    <w:rsid w:val="008D3DAC"/>
    <w:rsid w:val="008E26B2"/>
    <w:rsid w:val="008E65E8"/>
    <w:rsid w:val="009079B6"/>
    <w:rsid w:val="00925F77"/>
    <w:rsid w:val="009360C1"/>
    <w:rsid w:val="009606CA"/>
    <w:rsid w:val="00984BE7"/>
    <w:rsid w:val="00991206"/>
    <w:rsid w:val="00993EA7"/>
    <w:rsid w:val="009A22E9"/>
    <w:rsid w:val="009C0A16"/>
    <w:rsid w:val="009C0CBF"/>
    <w:rsid w:val="009C4C5E"/>
    <w:rsid w:val="009D1CA7"/>
    <w:rsid w:val="009E00D3"/>
    <w:rsid w:val="009E0D7B"/>
    <w:rsid w:val="009E4289"/>
    <w:rsid w:val="009F08FC"/>
    <w:rsid w:val="00A25EDC"/>
    <w:rsid w:val="00A43C38"/>
    <w:rsid w:val="00A527AD"/>
    <w:rsid w:val="00A615A0"/>
    <w:rsid w:val="00A64038"/>
    <w:rsid w:val="00A8158D"/>
    <w:rsid w:val="00A872A7"/>
    <w:rsid w:val="00A96D67"/>
    <w:rsid w:val="00AB4903"/>
    <w:rsid w:val="00AC58BD"/>
    <w:rsid w:val="00AD144D"/>
    <w:rsid w:val="00AD16C8"/>
    <w:rsid w:val="00AD3ECC"/>
    <w:rsid w:val="00B05E35"/>
    <w:rsid w:val="00B06257"/>
    <w:rsid w:val="00B12733"/>
    <w:rsid w:val="00B21FD1"/>
    <w:rsid w:val="00B25350"/>
    <w:rsid w:val="00B76EC1"/>
    <w:rsid w:val="00B801AA"/>
    <w:rsid w:val="00B94A62"/>
    <w:rsid w:val="00BB7E3F"/>
    <w:rsid w:val="00BC013F"/>
    <w:rsid w:val="00BC5045"/>
    <w:rsid w:val="00C26FDE"/>
    <w:rsid w:val="00C32235"/>
    <w:rsid w:val="00C446A5"/>
    <w:rsid w:val="00C45DF4"/>
    <w:rsid w:val="00C53FBC"/>
    <w:rsid w:val="00C72F0C"/>
    <w:rsid w:val="00C92A67"/>
    <w:rsid w:val="00CA06E1"/>
    <w:rsid w:val="00CA293F"/>
    <w:rsid w:val="00CB0CF0"/>
    <w:rsid w:val="00CB71BF"/>
    <w:rsid w:val="00CC60C8"/>
    <w:rsid w:val="00CC6BEE"/>
    <w:rsid w:val="00CD2056"/>
    <w:rsid w:val="00CD33BA"/>
    <w:rsid w:val="00CE7B9A"/>
    <w:rsid w:val="00CF365F"/>
    <w:rsid w:val="00D004AF"/>
    <w:rsid w:val="00D07DA3"/>
    <w:rsid w:val="00D138E1"/>
    <w:rsid w:val="00D200F9"/>
    <w:rsid w:val="00D23C86"/>
    <w:rsid w:val="00D24995"/>
    <w:rsid w:val="00D31EFA"/>
    <w:rsid w:val="00D45BDC"/>
    <w:rsid w:val="00D5100A"/>
    <w:rsid w:val="00D5468A"/>
    <w:rsid w:val="00D91F05"/>
    <w:rsid w:val="00DC14F8"/>
    <w:rsid w:val="00DC412C"/>
    <w:rsid w:val="00DD0A90"/>
    <w:rsid w:val="00DD5F38"/>
    <w:rsid w:val="00DE693A"/>
    <w:rsid w:val="00E01DEC"/>
    <w:rsid w:val="00E158F1"/>
    <w:rsid w:val="00E177FE"/>
    <w:rsid w:val="00E20F4D"/>
    <w:rsid w:val="00E22135"/>
    <w:rsid w:val="00E26EFA"/>
    <w:rsid w:val="00E272CE"/>
    <w:rsid w:val="00E3160A"/>
    <w:rsid w:val="00E56D99"/>
    <w:rsid w:val="00E5705D"/>
    <w:rsid w:val="00E63E4A"/>
    <w:rsid w:val="00EB5765"/>
    <w:rsid w:val="00EF06B1"/>
    <w:rsid w:val="00EF1768"/>
    <w:rsid w:val="00EF7E57"/>
    <w:rsid w:val="00F15E0A"/>
    <w:rsid w:val="00F317AB"/>
    <w:rsid w:val="00F5306B"/>
    <w:rsid w:val="00F76C36"/>
    <w:rsid w:val="00F907C9"/>
    <w:rsid w:val="00F9302B"/>
    <w:rsid w:val="00FA3FC0"/>
    <w:rsid w:val="00FC40B6"/>
    <w:rsid w:val="00FC4F31"/>
    <w:rsid w:val="00FD5A97"/>
    <w:rsid w:val="00FD7D60"/>
    <w:rsid w:val="00FE1950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80F2C"/>
  <w15:chartTrackingRefBased/>
  <w15:docId w15:val="{DC2C0C16-362D-4BDE-A744-CCD85F30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A67"/>
    <w:rPr>
      <w:rFonts w:ascii="Gentium Plus" w:hAnsi="Gentium Plus" w:cs="Gentium Pl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2A67"/>
    <w:pPr>
      <w:keepNext/>
      <w:keepLines/>
      <w:spacing w:before="240" w:after="0"/>
      <w:outlineLvl w:val="0"/>
    </w:pPr>
    <w:rPr>
      <w:rFonts w:ascii="Bahnschrift SemiBold" w:eastAsiaTheme="majorEastAsia" w:hAnsi="Bahnschrift SemiBold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2A67"/>
    <w:rPr>
      <w:rFonts w:ascii="Bahnschrift SemiBold" w:eastAsiaTheme="majorEastAsia" w:hAnsi="Bahnschrift SemiBold" w:cs="Gentium Plus"/>
      <w:sz w:val="24"/>
    </w:rPr>
  </w:style>
  <w:style w:type="paragraph" w:styleId="Listenabsatz">
    <w:name w:val="List Paragraph"/>
    <w:basedOn w:val="Standard"/>
    <w:uiPriority w:val="34"/>
    <w:qFormat/>
    <w:rsid w:val="002915A4"/>
    <w:pPr>
      <w:ind w:left="720"/>
      <w:contextualSpacing/>
    </w:pPr>
  </w:style>
  <w:style w:type="character" w:customStyle="1" w:styleId="etymwb-mentioned">
    <w:name w:val="etymwb-mentioned"/>
    <w:basedOn w:val="Absatz-Standardschriftart"/>
    <w:rsid w:val="00E3160A"/>
  </w:style>
  <w:style w:type="table" w:styleId="Tabellenraster">
    <w:name w:val="Table Grid"/>
    <w:basedOn w:val="NormaleTabelle"/>
    <w:uiPriority w:val="39"/>
    <w:rsid w:val="002E3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35F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35F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35F0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5F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5F0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5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5F00"/>
    <w:rPr>
      <w:rFonts w:ascii="Segoe UI" w:hAnsi="Segoe UI" w:cs="Segoe UI"/>
      <w:sz w:val="18"/>
      <w:szCs w:val="18"/>
    </w:rPr>
  </w:style>
  <w:style w:type="character" w:customStyle="1" w:styleId="etymwb-headword">
    <w:name w:val="etymwb-headword"/>
    <w:basedOn w:val="Absatz-Standardschriftart"/>
    <w:rsid w:val="00EF1768"/>
  </w:style>
  <w:style w:type="character" w:customStyle="1" w:styleId="etymwb-orth">
    <w:name w:val="etymwb-orth"/>
    <w:basedOn w:val="Absatz-Standardschriftart"/>
    <w:rsid w:val="00EF1768"/>
  </w:style>
  <w:style w:type="character" w:customStyle="1" w:styleId="etymwb-gramgrp">
    <w:name w:val="etymwb-gramgrp"/>
    <w:basedOn w:val="Absatz-Standardschriftart"/>
    <w:rsid w:val="00EF1768"/>
  </w:style>
  <w:style w:type="character" w:styleId="Hyperlink">
    <w:name w:val="Hyperlink"/>
    <w:basedOn w:val="Absatz-Standardschriftart"/>
    <w:uiPriority w:val="99"/>
    <w:semiHidden/>
    <w:unhideWhenUsed/>
    <w:rsid w:val="00EF1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wds.de/wb/etymwb/flattern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dwds.de/wb/etymwb/zerfleder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wds.de/wb/etymwb/Flederwis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wds.de/wb/etymwb/Flederma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859CE-5986-4DCC-9637-B39F828E8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Maj-Brit Strobel</dc:creator>
  <cp:keywords/>
  <dc:description/>
  <cp:lastModifiedBy>Maj-Brit Strobel</cp:lastModifiedBy>
  <cp:revision>6</cp:revision>
  <dcterms:created xsi:type="dcterms:W3CDTF">2023-06-23T09:16:00Z</dcterms:created>
  <dcterms:modified xsi:type="dcterms:W3CDTF">2023-06-26T09:35:00Z</dcterms:modified>
</cp:coreProperties>
</file>