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B2A4A"/>
      </w:pPr>
      <w:r>
        <w:rPr>
          <w:color w:val="FFFFFF"/>
          <w:sz w:val="36"/>
        </w:rPr>
        <w:t xml:space="preserve">  </w:t>
      </w:r>
    </w:p>
    <w:p>
      <w:pPr>
        <w:spacing w:before="720" w:after="0"/>
      </w:pPr>
      <w:r>
        <w:rPr>
          <w:b/>
          <w:color w:val="0B2A4A"/>
          <w:sz w:val="80"/>
        </w:rPr>
        <w:t>BTS</w:t>
      </w:r>
      <w:r>
        <w:rPr>
          <w:b/>
          <w:color w:val="1F8A8A"/>
          <w:sz w:val="80"/>
        </w:rPr>
        <w:t>-SYNTHETIC</w:t>
      </w:r>
    </w:p>
    <w:p>
      <w:pPr>
        <w:spacing w:after="0"/>
        <w:pBdr>
          <w:bottom w:val="single" w:sz="12" w:space="1" w:color="1F8A8A"/>
        </w:pBdr>
      </w:pPr>
      <w:r>
        <w:rPr>
          <w:i/>
          <w:color w:val="88929C"/>
          <w:sz w:val="22"/>
        </w:rPr>
        <w:t>Enterprise Data Platform  |  Lakehouse-native  |  Multi-cloud</w:t>
      </w:r>
    </w:p>
    <w:p>
      <w:pPr>
        <w:spacing w:before="2200" w:after="160"/>
      </w:pPr>
      <w:r>
        <w:rPr>
          <w:b/>
          <w:color w:val="0B2A4A"/>
          <w:sz w:val="68"/>
        </w:rPr>
        <w:t>Proposal Response</w:t>
      </w:r>
    </w:p>
    <w:p>
      <w:pPr>
        <w:spacing w:after="0"/>
      </w:pPr>
      <w:r>
        <w:rPr>
          <w:color w:val="1F8A8A"/>
          <w:sz w:val="40"/>
        </w:rPr>
        <w:t>Acme Corp — Enterprise Data Platform RFP</w:t>
      </w:r>
    </w:p>
    <w:p/>
    <w:p/>
    <w:tbl>
      <w:tblPr>
        <w:tblW w:type="auto" w:w="0"/>
        <w:tblLayout w:type="fixed"/>
        <w:tblLook w:firstColumn="1" w:firstRow="1" w:lastColumn="0" w:lastRow="0" w:noHBand="0" w:noVBand="1" w:val="04A0"/>
      </w:tblPr>
      <w:tblGrid>
        <w:gridCol w:w="4873"/>
        <w:gridCol w:w="4873"/>
      </w:tblGrid>
      <w:tr>
        <w:tc>
          <w:tcPr>
            <w:tcW w:type="dxa" w:w="2448"/>
            <w:tcBorders>
              <w:top w:val="single" w:sz="6" w:color="FFFFFF"/>
              <w:left w:val="single" w:sz="6" w:color="FFFFFF"/>
              <w:bottom w:val="single" w:sz="6" w:color="FFFFFF"/>
              <w:right w:val="single" w:sz="6" w:color="FFFFFF"/>
            </w:tcBorders>
          </w:tcPr>
          <w:p>
            <w:r/>
            <w:r>
              <w:rPr>
                <w:b/>
                <w:color w:val="1F8A8A"/>
                <w:sz w:val="18"/>
              </w:rPr>
              <w:t>PREPARED FOR</w:t>
            </w:r>
          </w:p>
        </w:tc>
        <w:tc>
          <w:tcPr>
            <w:tcW w:type="dxa" w:w="6480"/>
            <w:tcBorders>
              <w:top w:val="single" w:sz="6" w:color="FFFFFF"/>
              <w:left w:val="single" w:sz="6" w:color="FFFFFF"/>
              <w:bottom w:val="single" w:sz="6" w:color="FFFFFF"/>
              <w:right w:val="single" w:sz="6" w:color="FFFFFF"/>
            </w:tcBorders>
          </w:tcPr>
          <w:p>
            <w:r/>
            <w:r>
              <w:rPr>
                <w:b/>
                <w:color w:val="0B2A4A"/>
                <w:sz w:val="22"/>
              </w:rPr>
              <w:t>Sarah Chen, VP Procurement</w:t>
              <w:br/>
              <w:t>Marcus Webb, Chief Data Officer</w:t>
            </w:r>
          </w:p>
        </w:tc>
      </w:tr>
      <w:tr>
        <w:tc>
          <w:tcPr>
            <w:tcW w:type="dxa" w:w="2448"/>
            <w:tcBorders>
              <w:top w:val="single" w:sz="6" w:color="FFFFFF"/>
              <w:left w:val="single" w:sz="6" w:color="FFFFFF"/>
              <w:bottom w:val="single" w:sz="6" w:color="FFFFFF"/>
              <w:right w:val="single" w:sz="6" w:color="FFFFFF"/>
            </w:tcBorders>
          </w:tcPr>
          <w:p>
            <w:r/>
            <w:r>
              <w:rPr>
                <w:b/>
                <w:color w:val="1F8A8A"/>
                <w:sz w:val="18"/>
              </w:rPr>
              <w:t>PREPARED BY</w:t>
            </w:r>
          </w:p>
        </w:tc>
        <w:tc>
          <w:tcPr>
            <w:tcW w:type="dxa" w:w="6480"/>
            <w:tcBorders>
              <w:top w:val="single" w:sz="6" w:color="FFFFFF"/>
              <w:left w:val="single" w:sz="6" w:color="FFFFFF"/>
              <w:bottom w:val="single" w:sz="6" w:color="FFFFFF"/>
              <w:right w:val="single" w:sz="6" w:color="FFFFFF"/>
            </w:tcBorders>
          </w:tcPr>
          <w:p>
            <w:r/>
            <w:r>
              <w:rPr>
                <w:b/>
                <w:color w:val="0B2A4A"/>
                <w:sz w:val="22"/>
              </w:rPr>
              <w:t>BTS-Synthetic — Deal Desk</w:t>
            </w:r>
          </w:p>
        </w:tc>
      </w:tr>
      <w:tr>
        <w:tc>
          <w:tcPr>
            <w:tcW w:type="dxa" w:w="2448"/>
            <w:tcBorders>
              <w:top w:val="single" w:sz="6" w:color="FFFFFF"/>
              <w:left w:val="single" w:sz="6" w:color="FFFFFF"/>
              <w:bottom w:val="single" w:sz="6" w:color="FFFFFF"/>
              <w:right w:val="single" w:sz="6" w:color="FFFFFF"/>
            </w:tcBorders>
          </w:tcPr>
          <w:p>
            <w:r/>
            <w:r>
              <w:rPr>
                <w:b/>
                <w:color w:val="1F8A8A"/>
                <w:sz w:val="18"/>
              </w:rPr>
              <w:t>RESPONSE DATE</w:t>
            </w:r>
          </w:p>
        </w:tc>
        <w:tc>
          <w:tcPr>
            <w:tcW w:type="dxa" w:w="6480"/>
            <w:tcBorders>
              <w:top w:val="single" w:sz="6" w:color="FFFFFF"/>
              <w:left w:val="single" w:sz="6" w:color="FFFFFF"/>
              <w:bottom w:val="single" w:sz="6" w:color="FFFFFF"/>
              <w:right w:val="single" w:sz="6" w:color="FFFFFF"/>
            </w:tcBorders>
          </w:tcPr>
          <w:p>
            <w:r/>
            <w:r>
              <w:rPr>
                <w:b/>
                <w:color w:val="0B2A4A"/>
                <w:sz w:val="22"/>
              </w:rPr>
              <w:t>2026-05-26</w:t>
            </w:r>
          </w:p>
        </w:tc>
      </w:tr>
      <w:tr>
        <w:tc>
          <w:tcPr>
            <w:tcW w:type="dxa" w:w="2448"/>
            <w:tcBorders>
              <w:top w:val="single" w:sz="6" w:color="FFFFFF"/>
              <w:left w:val="single" w:sz="6" w:color="FFFFFF"/>
              <w:bottom w:val="single" w:sz="6" w:color="FFFFFF"/>
              <w:right w:val="single" w:sz="6" w:color="FFFFFF"/>
            </w:tcBorders>
          </w:tcPr>
          <w:p>
            <w:r/>
            <w:r>
              <w:rPr>
                <w:b/>
                <w:color w:val="1F8A8A"/>
                <w:sz w:val="18"/>
              </w:rPr>
              <w:t>RFP REFERENCE</w:t>
            </w:r>
          </w:p>
        </w:tc>
        <w:tc>
          <w:tcPr>
            <w:tcW w:type="dxa" w:w="6480"/>
            <w:tcBorders>
              <w:top w:val="single" w:sz="6" w:color="FFFFFF"/>
              <w:left w:val="single" w:sz="6" w:color="FFFFFF"/>
              <w:bottom w:val="single" w:sz="6" w:color="FFFFFF"/>
              <w:right w:val="single" w:sz="6" w:color="FFFFFF"/>
            </w:tcBorders>
          </w:tcPr>
          <w:p>
            <w:r/>
            <w:r>
              <w:rPr>
                <w:b/>
                <w:color w:val="0B2A4A"/>
                <w:sz w:val="22"/>
              </w:rPr>
              <w:t>Acme Corp Enterprise Data Platform RFP (issued 2026-05-12)</w:t>
            </w:r>
          </w:p>
        </w:tc>
      </w:tr>
    </w:tbl>
    <w:p/>
    <w:p/>
    <w:p/>
    <w:p/>
    <w:p>
      <w:pPr>
        <w:jc w:val="center"/>
      </w:pPr>
      <w:r>
        <w:rPr>
          <w:i/>
          <w:color w:val="88929C"/>
          <w:sz w:val="18"/>
        </w:rPr>
        <w:t>CONFIDENTIAL — Prepared exclusively for Acme Corp under the RFP NDA.</w:t>
      </w:r>
    </w:p>
    <w:p>
      <w:r>
        <w:br w:type="page"/>
      </w:r>
    </w:p>
    <w:p>
      <w:pPr>
        <w:spacing w:before="280" w:after="80"/>
        <w:pBdr>
          <w:bottom w:val="single" w:sz="12" w:space="1" w:color="1F8A8A"/>
        </w:pBdr>
      </w:pPr>
      <w:r>
        <w:rPr>
          <w:b/>
          <w:color w:val="0B2A4A"/>
          <w:sz w:val="40"/>
        </w:rPr>
        <w:t>1. Executive Summary</w:t>
      </w:r>
    </w:p>
    <w:p>
      <w:pPr>
        <w:spacing w:after="160"/>
      </w:pPr>
      <w:r>
        <w:rPr>
          <w:b w:val="0"/>
          <w:i w:val="0"/>
          <w:color w:val="445566"/>
          <w:sz w:val="21"/>
        </w:rPr>
        <w:t>BTS-Synthetic is the right enterprise data platform for Acme Corp's Teradata exit, multi-region IoT analytics, and 600-user Power BI estate. Three things define our offer:</w:t>
      </w:r>
    </w:p>
    <w:p>
      <w:pPr>
        <w:pStyle w:val="ListBullet"/>
        <w:spacing w:after="40"/>
        <w:ind w:left="360"/>
      </w:pPr>
      <w:r>
        <w:rPr>
          <w:b/>
          <w:color w:val="0B2A4A"/>
          <w:sz w:val="21"/>
        </w:rPr>
        <w:t xml:space="preserve">Built for your Microsoft estate, not trapped in it. </w:t>
      </w:r>
      <w:r>
        <w:rPr>
          <w:color w:val="445566"/>
          <w:sz w:val="21"/>
        </w:rPr>
        <w:t xml:space="preserve"> Our dedicated Power BI DirectQuery adapter is the most mature BI integration we ship — it lands the non-negotiable 600-user requirement on day one, on Azure, with no Fabric lock-in.</w:t>
      </w:r>
    </w:p>
    <w:p>
      <w:pPr>
        <w:pStyle w:val="ListBullet"/>
        <w:spacing w:after="40"/>
        <w:ind w:left="360"/>
      </w:pPr>
      <w:r>
        <w:rPr>
          <w:b/>
          <w:color w:val="0B2A4A"/>
          <w:sz w:val="21"/>
        </w:rPr>
        <w:t xml:space="preserve">A real lakehouse, with sovereignty as a native control. </w:t>
      </w:r>
      <w:r>
        <w:rPr>
          <w:color w:val="445566"/>
          <w:sz w:val="21"/>
        </w:rPr>
        <w:t xml:space="preserve"> Open Delta/Iceberg/Parquet on Azure Blob, per-table EU residency, multi-region active-active. The same architecture that survives a future cloud or vendor decision.</w:t>
      </w:r>
    </w:p>
    <w:p>
      <w:pPr>
        <w:pStyle w:val="ListBullet"/>
        <w:spacing w:after="40"/>
        <w:ind w:left="360"/>
      </w:pPr>
      <w:r>
        <w:rPr>
          <w:b/>
          <w:color w:val="0B2A4A"/>
          <w:sz w:val="21"/>
        </w:rPr>
        <w:t xml:space="preserve">Headroom for the IoT workload, priced for a 5-year horizon. </w:t>
      </w:r>
      <w:r>
        <w:rPr>
          <w:color w:val="445566"/>
          <w:sz w:val="21"/>
        </w:rPr>
        <w:t xml:space="preserve"> Tested to 250K events/second — three times your 80K peak. Year-1 indicative pricing $635–$640K, fully transparent through Year 5, with 99.99% SLA included.</w:t>
      </w:r>
    </w:p>
    <w:tbl>
      <w:tblPr>
        <w:tblW w:type="auto" w:w="0"/>
        <w:tblLayout w:type="autofit"/>
        <w:tblLook w:firstColumn="1" w:firstRow="1" w:lastColumn="0" w:lastRow="0" w:noHBand="0" w:noVBand="1" w:val="04A0"/>
      </w:tblPr>
      <w:tblGrid>
        <w:gridCol w:w="9746"/>
      </w:tblGrid>
      <w:tr>
        <w:tc>
          <w:tcPr>
            <w:tcW w:type="dxa" w:w="9746"/>
            <w:shd w:val="clear" w:color="auto" w:fill="E8F4F4"/>
            <w:tcBorders>
              <w:left w:val="single" w:sz="24" w:color="1F8A8A"/>
              <w:top w:val="single" w:sz="4" w:color="D8DEE5"/>
              <w:right w:val="single" w:sz="4" w:color="D8DEE5"/>
              <w:bottom w:val="single" w:sz="4" w:color="D8DEE5"/>
            </w:tcBorders>
          </w:tcPr>
          <w:p>
            <w:pPr>
              <w:spacing w:after="40"/>
            </w:pPr>
            <w:r/>
            <w:r>
              <w:rPr>
                <w:b/>
                <w:color w:val="1F8A8A"/>
                <w:sz w:val="20"/>
              </w:rPr>
              <w:t>OUR HEADLINE COMMITMENT</w:t>
            </w:r>
          </w:p>
          <w:p>
            <w:pPr>
              <w:spacing w:after="40"/>
            </w:pPr>
            <w:r>
              <w:rPr>
                <w:color w:val="445566"/>
                <w:sz w:val="21"/>
              </w:rPr>
              <w:t>Production Power BI workload live in 8 weeks. Full Teradata cutover and active-active EU+US in 24 weeks. 99.99% SLA from go-live. Indicative ACV $635–$640K at recommended terms.</w:t>
            </w:r>
          </w:p>
        </w:tc>
      </w:tr>
    </w:tbl>
    <w:p>
      <w:pPr>
        <w:spacing w:after="40"/>
      </w:pPr>
    </w:p>
    <w:p>
      <w:pPr>
        <w:spacing w:before="280" w:after="80"/>
        <w:pBdr>
          <w:bottom w:val="single" w:sz="12" w:space="1" w:color="1F8A8A"/>
        </w:pBdr>
      </w:pPr>
      <w:r>
        <w:rPr>
          <w:b/>
          <w:color w:val="0B2A4A"/>
          <w:sz w:val="40"/>
        </w:rPr>
        <w:t>2. Our Understanding of Acme's Need</w:t>
      </w:r>
    </w:p>
    <w:p>
      <w:pPr>
        <w:spacing w:after="80"/>
      </w:pPr>
      <w:r>
        <w:rPr>
          <w:b w:val="0"/>
          <w:i w:val="0"/>
          <w:color w:val="445566"/>
          <w:sz w:val="21"/>
        </w:rPr>
        <w:t>Acme Corp is consolidating a patchwork of on-premises Teradata warehouses and ad-hoc cloud analytics into a single enterprise data platform, against a hard 2027 decommissioning horizon. The platform must serve five distinct constituencies simultaneously without compromise:</w:t>
      </w:r>
    </w:p>
    <w:p>
      <w:pPr>
        <w:pStyle w:val="ListBullet"/>
        <w:spacing w:after="40"/>
        <w:ind w:left="360"/>
      </w:pPr>
      <w:r>
        <w:rPr>
          <w:b/>
          <w:color w:val="0B2A4A"/>
          <w:sz w:val="21"/>
        </w:rPr>
        <w:t xml:space="preserve">Operations: </w:t>
      </w:r>
      <w:r>
        <w:rPr>
          <w:color w:val="445566"/>
          <w:sz w:val="21"/>
        </w:rPr>
        <w:t>40,000 IoT devices streaming at 80K events/second peak into a real-time pipeline.</w:t>
      </w:r>
    </w:p>
    <w:p>
      <w:pPr>
        <w:pStyle w:val="ListBullet"/>
        <w:spacing w:after="40"/>
        <w:ind w:left="360"/>
      </w:pPr>
      <w:r>
        <w:rPr>
          <w:b/>
          <w:color w:val="0B2A4A"/>
          <w:sz w:val="21"/>
        </w:rPr>
        <w:t xml:space="preserve">Data engineering (150 users): </w:t>
      </w:r>
      <w:r>
        <w:rPr>
          <w:color w:val="445566"/>
          <w:sz w:val="21"/>
        </w:rPr>
        <w:t>30+ internal sources flowing into a governed batch ETL layer.</w:t>
      </w:r>
    </w:p>
    <w:p>
      <w:pPr>
        <w:pStyle w:val="ListBullet"/>
        <w:spacing w:after="40"/>
        <w:ind w:left="360"/>
      </w:pPr>
      <w:r>
        <w:rPr>
          <w:b/>
          <w:color w:val="0B2A4A"/>
          <w:sz w:val="21"/>
        </w:rPr>
        <w:t xml:space="preserve">BI (600 users): </w:t>
      </w:r>
      <w:r>
        <w:rPr>
          <w:color w:val="445566"/>
          <w:sz w:val="21"/>
        </w:rPr>
        <w:t>600 analysts and executives on Power BI today — a non-negotiable continuity requirement.</w:t>
      </w:r>
    </w:p>
    <w:p>
      <w:pPr>
        <w:pStyle w:val="ListBullet"/>
        <w:spacing w:after="40"/>
        <w:ind w:left="360"/>
      </w:pPr>
      <w:r>
        <w:rPr>
          <w:b/>
          <w:color w:val="0B2A4A"/>
          <w:sz w:val="21"/>
        </w:rPr>
        <w:t xml:space="preserve">ML: </w:t>
      </w:r>
      <w:r>
        <w:rPr>
          <w:color w:val="445566"/>
          <w:sz w:val="21"/>
        </w:rPr>
        <w:t>Predictive maintenance pipelines, currently planned, requiring a feature store and model serving.</w:t>
      </w:r>
    </w:p>
    <w:p>
      <w:pPr>
        <w:pStyle w:val="ListBullet"/>
        <w:spacing w:after="40"/>
        <w:ind w:left="360"/>
      </w:pPr>
      <w:r>
        <w:rPr>
          <w:b/>
          <w:color w:val="0B2A4A"/>
          <w:sz w:val="21"/>
        </w:rPr>
        <w:t xml:space="preserve">Compliance &amp; geography: </w:t>
      </w:r>
      <w:r>
        <w:rPr>
          <w:color w:val="445566"/>
          <w:sz w:val="21"/>
        </w:rPr>
        <w:t>EU primary, US East secondary, with EU customer data pinned in-region under GDPR.</w:t>
      </w:r>
    </w:p>
    <w:p>
      <w:pPr>
        <w:spacing w:after="160"/>
      </w:pPr>
      <w:r>
        <w:rPr>
          <w:b w:val="0"/>
          <w:i w:val="0"/>
          <w:color w:val="445566"/>
          <w:sz w:val="21"/>
        </w:rPr>
        <w:t>The estate is Azure-first and Microsoft-shop. The architectural preferences in the RFP (lakehouse, open formats, portability) signal a deliberate move away from proprietary platforms toward an open, durable foundation. We share that thesis.</w:t>
      </w:r>
    </w:p>
    <w:p>
      <w:pPr>
        <w:spacing w:before="280" w:after="80"/>
        <w:pBdr>
          <w:bottom w:val="single" w:sz="12" w:space="1" w:color="1F8A8A"/>
        </w:pBdr>
      </w:pPr>
      <w:r>
        <w:rPr>
          <w:b/>
          <w:color w:val="0B2A4A"/>
          <w:sz w:val="40"/>
        </w:rPr>
        <w:t>3. Why BTS-Synthetic is the Right Fit</w:t>
      </w:r>
    </w:p>
    <w:p>
      <w:pPr>
        <w:spacing w:before="280" w:after="80"/>
      </w:pPr>
      <w:r>
        <w:rPr>
          <w:b/>
          <w:color w:val="0B2A4A"/>
          <w:sz w:val="28"/>
        </w:rPr>
        <w:t>3.1 Capability Fit at a Glance</w:t>
      </w:r>
    </w:p>
    <w:tbl>
      <w:tblPr>
        <w:tblW w:type="auto" w:w="0"/>
        <w:tblLayout w:type="fixed"/>
        <w:tblLook w:firstColumn="1" w:firstRow="1" w:lastColumn="0" w:lastRow="0" w:noHBand="0" w:noVBand="1" w:val="04A0"/>
      </w:tblPr>
      <w:tblGrid>
        <w:gridCol w:w="3249"/>
        <w:gridCol w:w="3249"/>
        <w:gridCol w:w="3249"/>
      </w:tblGrid>
      <w:tr>
        <w:tc>
          <w:tcPr>
            <w:tcW w:type="dxa" w:w="345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Requirement</w:t>
            </w:r>
          </w:p>
        </w:tc>
        <w:tc>
          <w:tcPr>
            <w:tcW w:type="dxa" w:w="129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Verdict</w:t>
            </w:r>
          </w:p>
        </w:tc>
        <w:tc>
          <w:tcPr>
            <w:tcW w:type="dxa" w:w="4464"/>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Evidence</w:t>
            </w:r>
          </w:p>
        </w:tc>
      </w:tr>
      <w:tr>
        <w:tc>
          <w:tcPr>
            <w:tcW w:type="dxa" w:w="345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Real-time ingest — 40K devices, 80K events/sec</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Native Kafka/Kinesis; tested to 250K events/sec single-region</w:t>
            </w:r>
          </w:p>
        </w:tc>
      </w:tr>
      <w:tr>
        <w:tc>
          <w:tcPr>
            <w:tcW w:type="dxa" w:w="345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Batch ETL from 30+ internal sources</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80+ certified connectors (SAP, Salesforce, NetSuite, DBs) + Debezium CDC</w:t>
            </w:r>
          </w:p>
        </w:tc>
      </w:tr>
      <w:tr>
        <w:tc>
          <w:tcPr>
            <w:tcW w:type="dxa" w:w="345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BI for 600 analysts — native Power BI</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Dedicated Power BI DirectQuery adapter — our most mature BI integration</w:t>
            </w:r>
          </w:p>
        </w:tc>
      </w:tr>
      <w:tr>
        <w:tc>
          <w:tcPr>
            <w:tcW w:type="dxa" w:w="345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Self-service data prep for 150 engineers</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Low-code prep UI + Python/R/Scala notebooks</w:t>
            </w:r>
          </w:p>
        </w:tc>
      </w:tr>
      <w:tr>
        <w:tc>
          <w:tcPr>
            <w:tcW w:type="dxa" w:w="345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ML pipelines for predictive maintenance</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Model registry, online+offline feature store, native autoscaling serving</w:t>
            </w:r>
          </w:p>
        </w:tc>
      </w:tr>
      <w:tr>
        <w:tc>
          <w:tcPr>
            <w:tcW w:type="dxa" w:w="345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Scale: 280TB now → ~840TB by Y5</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BYO Azure Blob, compute decoupled from storage, scales independently</w:t>
            </w:r>
          </w:p>
        </w:tc>
      </w:tr>
      <w:tr>
        <w:tc>
          <w:tcPr>
            <w:tcW w:type="dxa" w:w="345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Multi-region EU primary + US East</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Active-active multi-region available (priced in)</w:t>
            </w:r>
          </w:p>
        </w:tc>
      </w:tr>
      <w:tr>
        <w:tc>
          <w:tcPr>
            <w:tcW w:type="dxa" w:w="345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EU data residency enforcement</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Per-table EU pinning, GDPR-aligned DPA, ABAC row/column security</w:t>
            </w:r>
          </w:p>
        </w:tc>
      </w:tr>
      <w:tr>
        <w:tc>
          <w:tcPr>
            <w:tcW w:type="dxa" w:w="345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Lakehouse + open formats (Delta/Iceberg/Parquet)</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color w:val="1F7A3D"/>
                <w:sz w:val="20"/>
              </w:rPr>
              <w:t>FULL FIT</w:t>
            </w:r>
          </w:p>
        </w:tc>
        <w:tc>
          <w:tcPr>
            <w:tcW w:type="dxa" w:w="446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Native lakehouse; all three formats first-class</w:t>
            </w:r>
          </w:p>
        </w:tc>
      </w:tr>
      <w:tr>
        <w:tc>
          <w:tcPr>
            <w:tcW w:type="dxa" w:w="345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Sub-100ms streaming-query latency (if required)</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color w:val="B86A00"/>
                <w:sz w:val="20"/>
              </w:rPr>
              <w:t>PARTIAL FIT</w:t>
            </w:r>
          </w:p>
        </w:tc>
        <w:tc>
          <w:tcPr>
            <w:tcW w:type="dxa" w:w="446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We achieve ~250ms–1s on streaming queries; sub-second on warmed caches</w:t>
            </w:r>
          </w:p>
        </w:tc>
      </w:tr>
    </w:tbl>
    <w:p>
      <w:pPr>
        <w:spacing w:after="40"/>
      </w:pPr>
    </w:p>
    <w:p>
      <w:pPr>
        <w:spacing w:before="280" w:after="80"/>
      </w:pPr>
      <w:r>
        <w:rPr>
          <w:b/>
          <w:color w:val="0B2A4A"/>
          <w:sz w:val="28"/>
        </w:rPr>
        <w:t>3.2 Where We Win — Three Differentiators</w:t>
      </w:r>
    </w:p>
    <w:tbl>
      <w:tblPr>
        <w:tblW w:type="auto" w:w="0"/>
        <w:tblLayout w:type="autofit"/>
        <w:tblLook w:firstColumn="1" w:firstRow="1" w:lastColumn="0" w:lastRow="0" w:noHBand="0" w:noVBand="1" w:val="04A0"/>
      </w:tblPr>
      <w:tblGrid>
        <w:gridCol w:w="9746"/>
      </w:tblGrid>
      <w:tr>
        <w:tc>
          <w:tcPr>
            <w:tcW w:type="dxa" w:w="9746"/>
            <w:shd w:val="clear" w:color="auto" w:fill="E8F4F4"/>
            <w:tcBorders>
              <w:left w:val="single" w:sz="24" w:color="1F8A8A"/>
              <w:top w:val="single" w:sz="4" w:color="D8DEE5"/>
              <w:right w:val="single" w:sz="4" w:color="D8DEE5"/>
              <w:bottom w:val="single" w:sz="4" w:color="D8DEE5"/>
            </w:tcBorders>
          </w:tcPr>
          <w:p>
            <w:pPr>
              <w:spacing w:after="40"/>
            </w:pPr>
            <w:r/>
            <w:r>
              <w:rPr>
                <w:b/>
                <w:color w:val="1F8A8A"/>
                <w:sz w:val="20"/>
              </w:rPr>
              <w:t>1. Power BI without the Fabric lock-in</w:t>
            </w:r>
          </w:p>
          <w:p>
            <w:pPr>
              <w:spacing w:after="40"/>
            </w:pPr>
            <w:r>
              <w:rPr>
                <w:color w:val="445566"/>
                <w:sz w:val="21"/>
              </w:rPr>
              <w:t>Our dedicated DirectQuery adapter is the most mature BI integration we ship. It gives Acme everything Fabric gives — and nothing Fabric takes away. You stay on Azure, you keep Power BI for 600 users, and you remain free to move compute or storage tomorrow.</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8F4F4"/>
            <w:tcBorders>
              <w:left w:val="single" w:sz="24" w:color="1F8A8A"/>
              <w:top w:val="single" w:sz="4" w:color="D8DEE5"/>
              <w:right w:val="single" w:sz="4" w:color="D8DEE5"/>
              <w:bottom w:val="single" w:sz="4" w:color="D8DEE5"/>
            </w:tcBorders>
          </w:tcPr>
          <w:p>
            <w:pPr>
              <w:spacing w:after="40"/>
            </w:pPr>
            <w:r/>
            <w:r>
              <w:rPr>
                <w:b/>
                <w:color w:val="1F8A8A"/>
                <w:sz w:val="20"/>
              </w:rPr>
              <w:t>2. Sovereignty as a native control</w:t>
            </w:r>
          </w:p>
          <w:p>
            <w:pPr>
              <w:spacing w:after="40"/>
            </w:pPr>
            <w:r>
              <w:rPr>
                <w:color w:val="445566"/>
                <w:sz w:val="21"/>
              </w:rPr>
              <w:t>EU residency is enforced at the table level, not bolted on with regional copies. Audit logs export to your SIEM. PII detection and masking are built in. GDPR DPA is on the shelf today.</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8F4F4"/>
            <w:tcBorders>
              <w:left w:val="single" w:sz="24" w:color="1F8A8A"/>
              <w:top w:val="single" w:sz="4" w:color="D8DEE5"/>
              <w:right w:val="single" w:sz="4" w:color="D8DEE5"/>
              <w:bottom w:val="single" w:sz="4" w:color="D8DEE5"/>
            </w:tcBorders>
          </w:tcPr>
          <w:p>
            <w:pPr>
              <w:spacing w:after="40"/>
            </w:pPr>
            <w:r/>
            <w:r>
              <w:rPr>
                <w:b/>
                <w:color w:val="1F8A8A"/>
                <w:sz w:val="20"/>
              </w:rPr>
              <w:t>3. Open formats on your cloud, with headroom</w:t>
            </w:r>
          </w:p>
          <w:p>
            <w:pPr>
              <w:spacing w:after="40"/>
            </w:pPr>
            <w:r>
              <w:rPr>
                <w:color w:val="445566"/>
                <w:sz w:val="21"/>
              </w:rPr>
              <w:t>Delta, Iceberg, and Parquet — first-class. Azure Blob is BYO. Streaming tested at 250K events/sec versus your 80K peak: 3× headroom, not a stretch deployment.</w:t>
            </w:r>
          </w:p>
        </w:tc>
      </w:tr>
    </w:tbl>
    <w:p>
      <w:pPr>
        <w:spacing w:after="40"/>
      </w:pPr>
    </w:p>
    <w:p>
      <w:pPr>
        <w:spacing w:before="280" w:after="80"/>
      </w:pPr>
      <w:r>
        <w:rPr>
          <w:b/>
          <w:color w:val="0B2A4A"/>
          <w:sz w:val="28"/>
        </w:rPr>
        <w:t>3.3 Competitive Context</w:t>
      </w:r>
    </w:p>
    <w:p>
      <w:pPr>
        <w:spacing w:after="120"/>
      </w:pPr>
      <w:r>
        <w:rPr>
          <w:b w:val="0"/>
          <w:i w:val="0"/>
          <w:color w:val="445566"/>
          <w:sz w:val="21"/>
        </w:rPr>
        <w:t>Acme has named four vendors. Our honest read of the field:</w:t>
      </w:r>
    </w:p>
    <w:tbl>
      <w:tblPr>
        <w:tblW w:type="auto" w:w="0"/>
        <w:tblLayout w:type="fixed"/>
        <w:tblLook w:firstColumn="1" w:firstRow="1" w:lastColumn="0" w:lastRow="0" w:noHBand="0" w:noVBand="1" w:val="04A0"/>
      </w:tblPr>
      <w:tblGrid>
        <w:gridCol w:w="3249"/>
        <w:gridCol w:w="3249"/>
        <w:gridCol w:w="3249"/>
      </w:tblGrid>
      <w:tr>
        <w:tc>
          <w:tcPr>
            <w:tcW w:type="dxa" w:w="1872"/>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Competitor</w:t>
            </w:r>
          </w:p>
        </w:tc>
        <w:tc>
          <w:tcPr>
            <w:tcW w:type="dxa" w:w="3168"/>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Their angle</w:t>
            </w:r>
          </w:p>
        </w:tc>
        <w:tc>
          <w:tcPr>
            <w:tcW w:type="dxa" w:w="417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Where they're vulnerable on this RFP</w:t>
            </w:r>
          </w:p>
        </w:tc>
      </w:tr>
      <w:tr>
        <w:tc>
          <w:tcPr>
            <w:tcW w:type="dxa" w:w="1872"/>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Microsoft Fabric</w:t>
            </w:r>
          </w:p>
        </w:tc>
        <w:tc>
          <w:tcPr>
            <w:tcW w:type="dxa" w:w="316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“Already in your Azure tenant, free with E5.”</w:t>
            </w:r>
          </w:p>
        </w:tc>
        <w:tc>
          <w:tcPr>
            <w:tcW w:type="dxa" w:w="417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99.95% SLA today, 18-month maturity, and a real-time IoT story we have repeatedly beaten in head-to-head benchmarks.</w:t>
            </w:r>
          </w:p>
        </w:tc>
      </w:tr>
      <w:tr>
        <w:tc>
          <w:tcPr>
            <w:tcW w:type="dxa" w:w="1872"/>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Databricks</w:t>
            </w:r>
          </w:p>
        </w:tc>
        <w:tc>
          <w:tcPr>
            <w:tcW w:type="dxa" w:w="316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“Best lakehouse and ML platform; open-source roots.”</w:t>
            </w:r>
          </w:p>
        </w:tc>
        <w:tc>
          <w:tcPr>
            <w:tcW w:type="dxa" w:w="417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Compute economics at 80K events/sec and 280TB+ are aggressive; Power BI integration is less mature than ours.</w:t>
            </w:r>
          </w:p>
        </w:tc>
      </w:tr>
      <w:tr>
        <w:tc>
          <w:tcPr>
            <w:tcW w:type="dxa" w:w="1872"/>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Snowflake</w:t>
            </w:r>
          </w:p>
        </w:tc>
        <w:tc>
          <w:tcPr>
            <w:tcW w:type="dxa" w:w="316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“Mature, low-risk, analyst-friendly.”</w:t>
            </w:r>
          </w:p>
        </w:tc>
        <w:tc>
          <w:tcPr>
            <w:tcW w:type="dxa" w:w="417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Closed ecosystem versus your stated open-format preference; weaker real-time IoT ingest profile.</w:t>
            </w:r>
          </w:p>
        </w:tc>
      </w:tr>
      <w:tr>
        <w:tc>
          <w:tcPr>
            <w:tcW w:type="dxa" w:w="1872"/>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Regional vendor</w:t>
            </w:r>
          </w:p>
        </w:tc>
        <w:tc>
          <w:tcPr>
            <w:tcW w:type="dxa" w:w="316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Local presence.</w:t>
            </w:r>
          </w:p>
        </w:tc>
        <w:tc>
          <w:tcPr>
            <w:tcW w:type="dxa" w:w="417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Unlikely to meet multi-region EU+US residency and the compliance bar required.</w:t>
            </w:r>
          </w:p>
        </w:tc>
      </w:tr>
    </w:tbl>
    <w:p>
      <w:pPr>
        <w:spacing w:after="40"/>
      </w:pPr>
    </w:p>
    <w:p>
      <w:pPr>
        <w:spacing w:after="160"/>
      </w:pPr>
      <w:r>
        <w:rPr>
          <w:b w:val="0"/>
          <w:i w:val="0"/>
          <w:color w:val="445566"/>
          <w:sz w:val="21"/>
        </w:rPr>
        <w:t>We have won against this exact field before — Initech Sensors (industrial/IoT, displaced Microsoft Fabric on real-time SLA and governance maturity); Globex Manufacturing (displaced Snowflake and Databricks on TCO at realistic workload profile); Stark Industries (displaced all three on sovereign deployment and IP).</w:t>
      </w:r>
    </w:p>
    <w:p>
      <w:pPr>
        <w:spacing w:before="280" w:after="80"/>
      </w:pPr>
      <w:r>
        <w:rPr>
          <w:b/>
          <w:color w:val="0B2A4A"/>
          <w:sz w:val="28"/>
        </w:rPr>
        <w:t>3.4 Honest Gaps and Mitigations</w:t>
      </w:r>
    </w:p>
    <w:p>
      <w:pPr>
        <w:pStyle w:val="ListBullet"/>
        <w:spacing w:after="40"/>
        <w:ind w:left="360"/>
      </w:pPr>
      <w:r>
        <w:rPr>
          <w:b/>
          <w:color w:val="0B2A4A"/>
          <w:sz w:val="21"/>
        </w:rPr>
        <w:t xml:space="preserve">Streaming-query latency. </w:t>
      </w:r>
      <w:r>
        <w:rPr>
          <w:color w:val="445566"/>
          <w:sz w:val="21"/>
        </w:rPr>
        <w:t xml:space="preserve"> If sub-100ms streaming-query latency is required for live operational dashboards, our current profile is ~250ms–1s. Mitigation: we are confident this is acceptable for the BI/exec personas described in the RFP. We will scope live-ops use cases in week 1 of the engagement and flag any that need a separate streaming path.</w:t>
      </w:r>
    </w:p>
    <w:p>
      <w:pPr>
        <w:pStyle w:val="ListBullet"/>
        <w:spacing w:after="40"/>
        <w:ind w:left="360"/>
      </w:pPr>
      <w:r>
        <w:rPr>
          <w:b/>
          <w:color w:val="0B2A4A"/>
          <w:sz w:val="21"/>
        </w:rPr>
        <w:t xml:space="preserve">99.99% SLA. </w:t>
      </w:r>
      <w:r>
        <w:rPr>
          <w:color w:val="445566"/>
          <w:sz w:val="21"/>
        </w:rPr>
        <w:t xml:space="preserve"> 99.99% is our Premium SLA tier (standard is 99.95%). Given your EU+US multi-region requirement, we have priced in the active-active premium up front — no commercial surprise post-signature.</w:t>
      </w:r>
    </w:p>
    <w:p>
      <w:pPr>
        <w:pStyle w:val="ListBullet"/>
        <w:spacing w:after="40"/>
        <w:ind w:left="360"/>
      </w:pPr>
      <w:r>
        <w:rPr>
          <w:b/>
          <w:color w:val="0B2A4A"/>
          <w:sz w:val="21"/>
        </w:rPr>
        <w:t xml:space="preserve">Power Apps. </w:t>
      </w:r>
      <w:r>
        <w:rPr>
          <w:color w:val="445566"/>
          <w:sz w:val="21"/>
        </w:rPr>
        <w:t xml:space="preserve"> We have Power BI, not Power Apps. If Power Apps integration becomes a future requirement, we provide a documented REST/SDK path; this has not been a blocker on comparable deals.</w:t>
      </w:r>
    </w:p>
    <w:p>
      <w:r>
        <w:br w:type="page"/>
      </w:r>
    </w:p>
    <w:p>
      <w:pPr>
        <w:spacing w:before="280" w:after="80"/>
        <w:pBdr>
          <w:bottom w:val="single" w:sz="12" w:space="1" w:color="1F8A8A"/>
        </w:pBdr>
      </w:pPr>
      <w:r>
        <w:rPr>
          <w:b/>
          <w:color w:val="0B2A4A"/>
          <w:sz w:val="40"/>
        </w:rPr>
        <w:t>4. Commercial Proposal</w:t>
      </w:r>
    </w:p>
    <w:p>
      <w:pPr>
        <w:spacing w:after="160"/>
      </w:pPr>
      <w:r>
        <w:rPr>
          <w:b w:val="0"/>
          <w:i/>
          <w:color w:val="88929C"/>
          <w:sz w:val="21"/>
        </w:rPr>
        <w:t>All figures USD, net of discount, exclusive of professional services unless stated. All amounts include the 99.99% Premium SLA add-on and active-active multi-region deployment across EU primary and US East secondary.</w:t>
      </w:r>
    </w:p>
    <w:p>
      <w:pPr>
        <w:spacing w:before="280" w:after="80"/>
      </w:pPr>
      <w:r>
        <w:rPr>
          <w:b/>
          <w:color w:val="0B2A4A"/>
          <w:sz w:val="28"/>
        </w:rPr>
        <w:t>4.1 Indicative Pricing — 5-Year Horizon</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1440"/>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Year</w:t>
            </w:r>
          </w:p>
        </w:tc>
        <w:tc>
          <w:tcPr>
            <w:tcW w:type="dxa" w:w="2304"/>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Data volume (indicative)</w:t>
            </w:r>
          </w:p>
        </w:tc>
        <w:tc>
          <w:tcPr>
            <w:tcW w:type="dxa" w:w="1872"/>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List price (USD)</w:t>
            </w:r>
          </w:p>
        </w:tc>
        <w:tc>
          <w:tcPr>
            <w:tcW w:type="dxa" w:w="129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Discount</w:t>
            </w:r>
          </w:p>
        </w:tc>
        <w:tc>
          <w:tcPr>
            <w:tcW w:type="dxa" w:w="2160"/>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Acme price (USD)</w:t>
            </w:r>
          </w:p>
        </w:tc>
      </w:tr>
      <w:tr>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Year 1</w:t>
            </w:r>
          </w:p>
        </w:tc>
        <w:tc>
          <w:tcPr>
            <w:tcW w:type="dxa" w:w="230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~280 TB</w:t>
            </w:r>
          </w:p>
        </w:tc>
        <w:tc>
          <w:tcPr>
            <w:tcW w:type="dxa" w:w="1872"/>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$820,000</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22%</w:t>
            </w:r>
          </w:p>
        </w:tc>
        <w:tc>
          <w:tcPr>
            <w:tcW w:type="dxa" w:w="216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$639,600</w:t>
            </w:r>
          </w:p>
        </w:tc>
      </w:tr>
      <w:tr>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Year 2</w:t>
            </w:r>
          </w:p>
        </w:tc>
        <w:tc>
          <w:tcPr>
            <w:tcW w:type="dxa" w:w="230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~424 TB</w:t>
            </w:r>
          </w:p>
        </w:tc>
        <w:tc>
          <w:tcPr>
            <w:tcW w:type="dxa" w:w="1872"/>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$820,000</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22%</w:t>
            </w:r>
          </w:p>
        </w:tc>
        <w:tc>
          <w:tcPr>
            <w:tcW w:type="dxa" w:w="216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$639,600</w:t>
            </w:r>
          </w:p>
        </w:tc>
      </w:tr>
      <w:tr>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Year 3</w:t>
            </w:r>
          </w:p>
        </w:tc>
        <w:tc>
          <w:tcPr>
            <w:tcW w:type="dxa" w:w="230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~568 TB</w:t>
            </w:r>
          </w:p>
        </w:tc>
        <w:tc>
          <w:tcPr>
            <w:tcW w:type="dxa" w:w="1872"/>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$820,000</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22%</w:t>
            </w:r>
          </w:p>
        </w:tc>
        <w:tc>
          <w:tcPr>
            <w:tcW w:type="dxa" w:w="216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$639,600</w:t>
            </w:r>
          </w:p>
        </w:tc>
      </w:tr>
      <w:tr>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Year 4 (renewal)</w:t>
            </w:r>
          </w:p>
        </w:tc>
        <w:tc>
          <w:tcPr>
            <w:tcW w:type="dxa" w:w="2304"/>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~712 TB</w:t>
            </w:r>
          </w:p>
        </w:tc>
        <w:tc>
          <w:tcPr>
            <w:tcW w:type="dxa" w:w="1872"/>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$850,000</w:t>
            </w:r>
          </w:p>
        </w:tc>
        <w:tc>
          <w:tcPr>
            <w:tcW w:type="dxa" w:w="129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23%</w:t>
            </w:r>
          </w:p>
        </w:tc>
        <w:tc>
          <w:tcPr>
            <w:tcW w:type="dxa" w:w="216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$654,500</w:t>
            </w:r>
          </w:p>
        </w:tc>
      </w:tr>
      <w:tr>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Year 5 (renewal)</w:t>
            </w:r>
          </w:p>
        </w:tc>
        <w:tc>
          <w:tcPr>
            <w:tcW w:type="dxa" w:w="2304"/>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~840 TB</w:t>
            </w:r>
          </w:p>
        </w:tc>
        <w:tc>
          <w:tcPr>
            <w:tcW w:type="dxa" w:w="1872"/>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$870,000</w:t>
            </w:r>
          </w:p>
        </w:tc>
        <w:tc>
          <w:tcPr>
            <w:tcW w:type="dxa" w:w="129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24%</w:t>
            </w:r>
          </w:p>
        </w:tc>
        <w:tc>
          <w:tcPr>
            <w:tcW w:type="dxa" w:w="216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$661,200</w:t>
            </w:r>
          </w:p>
        </w:tc>
      </w:tr>
    </w:tbl>
    <w:p>
      <w:pPr>
        <w:spacing w:after="40"/>
      </w:pPr>
    </w:p>
    <w:p>
      <w:pPr>
        <w:spacing w:after="160"/>
      </w:pPr>
      <w:r>
        <w:rPr>
          <w:b/>
          <w:i w:val="0"/>
          <w:color w:val="0B2A4A"/>
          <w:sz w:val="21"/>
        </w:rPr>
        <w:t>3-year TCV (Year 1–3): $1,918,800. 5-year TCV: $3,234,500. All pricing transparent to a single SKU breakdown on request.</w:t>
      </w:r>
    </w:p>
    <w:p>
      <w:pPr>
        <w:spacing w:before="280" w:after="80"/>
      </w:pPr>
      <w:r>
        <w:rPr>
          <w:b/>
          <w:color w:val="0B2A4A"/>
          <w:sz w:val="28"/>
        </w:rPr>
        <w:t>4.2 Pricing Construct &amp; Sizing</w:t>
      </w:r>
    </w:p>
    <w:p>
      <w:pPr>
        <w:pStyle w:val="ListBullet"/>
        <w:spacing w:after="40"/>
        <w:ind w:left="360"/>
      </w:pPr>
      <w:r>
        <w:rPr>
          <w:b/>
          <w:color w:val="0B2A4A"/>
          <w:sz w:val="21"/>
        </w:rPr>
        <w:t xml:space="preserve">Base: </w:t>
      </w:r>
      <w:r>
        <w:rPr>
          <w:color w:val="445566"/>
          <w:sz w:val="21"/>
        </w:rPr>
        <w:t xml:space="preserve"> $720K/yr platform Enterprise tier (multi-region active-active included).</w:t>
      </w:r>
    </w:p>
    <w:p>
      <w:pPr>
        <w:pStyle w:val="ListBullet"/>
        <w:spacing w:after="40"/>
        <w:ind w:left="360"/>
      </w:pPr>
      <w:r>
        <w:rPr>
          <w:b/>
          <w:color w:val="0B2A4A"/>
          <w:sz w:val="21"/>
        </w:rPr>
        <w:t xml:space="preserve">99.99% Premium SLA: </w:t>
      </w:r>
      <w:r>
        <w:rPr>
          <w:color w:val="445566"/>
          <w:sz w:val="21"/>
        </w:rPr>
        <w:t xml:space="preserve"> $100K/yr (mid-point of our published $80–120K range), required by your EU+US active-active topology.</w:t>
      </w:r>
    </w:p>
    <w:p>
      <w:pPr>
        <w:pStyle w:val="ListBullet"/>
        <w:spacing w:after="40"/>
        <w:ind w:left="360"/>
      </w:pPr>
      <w:r>
        <w:rPr>
          <w:b/>
          <w:color w:val="0B2A4A"/>
          <w:sz w:val="21"/>
        </w:rPr>
        <w:t xml:space="preserve">Storage: </w:t>
      </w:r>
      <w:r>
        <w:rPr>
          <w:color w:val="445566"/>
          <w:sz w:val="21"/>
        </w:rPr>
        <w:t xml:space="preserve"> Volume growth on the BYO Azure Blob layer is yours — we do not mark up storage.</w:t>
      </w:r>
    </w:p>
    <w:p>
      <w:pPr>
        <w:pStyle w:val="ListBullet"/>
        <w:spacing w:after="40"/>
        <w:ind w:left="360"/>
      </w:pPr>
      <w:r>
        <w:rPr>
          <w:b/>
          <w:color w:val="0B2A4A"/>
          <w:sz w:val="21"/>
        </w:rPr>
        <w:t xml:space="preserve">Professional services: </w:t>
      </w:r>
      <w:r>
        <w:rPr>
          <w:color w:val="445566"/>
          <w:sz w:val="21"/>
        </w:rPr>
        <w:t xml:space="preserve"> Acme-specific configuration and integration work, scoped separately and quoted on signature.</w:t>
      </w:r>
    </w:p>
    <w:p>
      <w:pPr>
        <w:spacing w:before="280" w:after="80"/>
      </w:pPr>
      <w:r>
        <w:rPr>
          <w:b/>
          <w:color w:val="0B2A4A"/>
          <w:sz w:val="28"/>
        </w:rPr>
        <w:t>4.3 Position on Acme's Commercial Asks (Section 3)</w:t>
      </w:r>
    </w:p>
    <w:tbl>
      <w:tblPr>
        <w:tblW w:type="auto" w:w="0"/>
        <w:tblLayout w:type="fixed"/>
        <w:tblLook w:firstColumn="1" w:firstRow="1" w:lastColumn="0" w:lastRow="0" w:noHBand="0" w:noVBand="1" w:val="04A0"/>
      </w:tblPr>
      <w:tblGrid>
        <w:gridCol w:w="3249"/>
        <w:gridCol w:w="3249"/>
        <w:gridCol w:w="3249"/>
      </w:tblGrid>
      <w:tr>
        <w:tc>
          <w:tcPr>
            <w:tcW w:type="dxa" w:w="273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Acme ask</w:t>
            </w:r>
          </w:p>
        </w:tc>
        <w:tc>
          <w:tcPr>
            <w:tcW w:type="dxa" w:w="1440"/>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Our position</w:t>
            </w:r>
          </w:p>
        </w:tc>
        <w:tc>
          <w:tcPr>
            <w:tcW w:type="dxa" w:w="5328"/>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Counter-position</w:t>
            </w:r>
          </w:p>
        </w:tc>
      </w:tr>
      <w:tr>
        <w:tc>
          <w:tcPr>
            <w:tcW w:type="dxa" w:w="273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3yr + 2yr renewal, pricing fixed 5 yrs, no escalators</w:t>
            </w:r>
          </w:p>
        </w:tc>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color w:val="B86A00"/>
                <w:sz w:val="20"/>
              </w:rPr>
              <w:t>Push back</w:t>
            </w:r>
          </w:p>
        </w:tc>
        <w:tc>
          <w:tcPr>
            <w:tcW w:type="dxa" w:w="532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Accept fixed pricing for the initial 3-year term; renewal years 4–5 indexed at CPI + 2% capped at 5%, OR a single fixed rate set at the Year-3 volume midpoint.</w:t>
            </w:r>
          </w:p>
        </w:tc>
      </w:tr>
      <w:tr>
        <w:tc>
          <w:tcPr>
            <w:tcW w:type="dxa" w:w="273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Annual upfront, Net 90</w:t>
            </w:r>
          </w:p>
        </w:tc>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color w:val="B86A00"/>
                <w:sz w:val="20"/>
              </w:rPr>
              <w:t>Negotiate</w:t>
            </w:r>
          </w:p>
        </w:tc>
        <w:tc>
          <w:tcPr>
            <w:tcW w:type="dxa" w:w="532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Annual upfront, Net 60 — consistent with comparable industrial-IoT customers.</w:t>
            </w:r>
          </w:p>
        </w:tc>
      </w:tr>
      <w:tr>
        <w:tc>
          <w:tcPr>
            <w:tcW w:type="dxa" w:w="273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35% minimum discount off list</w:t>
            </w:r>
          </w:p>
        </w:tc>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color w:val="B03A2E"/>
                <w:sz w:val="20"/>
              </w:rPr>
              <w:t>Refuse</w:t>
            </w:r>
          </w:p>
        </w:tc>
        <w:tc>
          <w:tcPr>
            <w:tcW w:type="dxa" w:w="532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22% landing discount (24% by Year 5) reflects the strategic ceiling for this band. Anchored to comparable closed deals (Globex 18% / Initech 15% / Stark 28% at &gt;$1M ACV).</w:t>
            </w:r>
          </w:p>
        </w:tc>
      </w:tr>
      <w:tr>
        <w:tc>
          <w:tcPr>
            <w:tcW w:type="dxa" w:w="273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Most Favoured Nation clause for contract duration</w:t>
            </w:r>
          </w:p>
        </w:tc>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color w:val="B03A2E"/>
                <w:sz w:val="20"/>
              </w:rPr>
              <w:t>Hard refuse</w:t>
            </w:r>
          </w:p>
        </w:tc>
        <w:tc>
          <w:tcPr>
            <w:tcW w:type="dxa" w:w="532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Removed. Acme pricing reflects scope, volume, term and SLA — not transferable. This is non-negotiable on our side.</w:t>
            </w:r>
          </w:p>
        </w:tc>
      </w:tr>
      <w:tr>
        <w:tc>
          <w:tcPr>
            <w:tcW w:type="dxa" w:w="273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Termination for convenience, 30 days, no penalty</w:t>
            </w:r>
          </w:p>
        </w:tc>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color w:val="B86A00"/>
                <w:sz w:val="20"/>
              </w:rPr>
              <w:t>Negotiate</w:t>
            </w:r>
          </w:p>
        </w:tc>
        <w:tc>
          <w:tcPr>
            <w:tcW w:type="dxa" w:w="532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Termination for convenience accepted at 90 days' notice; prepaid fees pro-rated and refunded; no separate penalty.</w:t>
            </w:r>
          </w:p>
        </w:tc>
      </w:tr>
      <w:tr>
        <w:tc>
          <w:tcPr>
            <w:tcW w:type="dxa" w:w="273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99.99% monthly uptime</w:t>
            </w:r>
          </w:p>
        </w:tc>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Accept (priced in)</w:t>
            </w:r>
          </w:p>
        </w:tc>
        <w:tc>
          <w:tcPr>
            <w:tcW w:type="dxa" w:w="532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Included in the figures above as a Premium SLA Addendum. Remedy is service credits; see Contract Approach for the termination-on-miss position.</w:t>
            </w:r>
          </w:p>
        </w:tc>
      </w:tr>
    </w:tbl>
    <w:p>
      <w:pPr>
        <w:spacing w:after="40"/>
      </w:pPr>
    </w:p>
    <w:p>
      <w:pPr>
        <w:spacing w:before="280" w:after="80"/>
      </w:pPr>
      <w:r>
        <w:rPr>
          <w:b/>
          <w:color w:val="0B2A4A"/>
          <w:sz w:val="28"/>
        </w:rPr>
        <w:t>4.4 Reference Customer &amp; Validation</w:t>
      </w:r>
    </w:p>
    <w:p>
      <w:pPr>
        <w:spacing w:after="160"/>
      </w:pPr>
      <w:r>
        <w:rPr>
          <w:b w:val="0"/>
          <w:i w:val="0"/>
          <w:color w:val="445566"/>
          <w:sz w:val="21"/>
        </w:rPr>
        <w:t>Three reference customers at comparable industrial scale, all running Power BI on Azure, will be supplied on shortlist confirmation: Initech Sensors (industrial / IoT), Globex Manufacturing (industrial), and Wayne Manufacturing (industrial). We will further offer a 90-day reference-customer agreement to Acme as part of contract execution.</w:t>
      </w:r>
    </w:p>
    <w:p>
      <w:r>
        <w:br w:type="page"/>
      </w:r>
    </w:p>
    <w:p>
      <w:pPr>
        <w:spacing w:before="280" w:after="80"/>
        <w:pBdr>
          <w:bottom w:val="single" w:sz="12" w:space="1" w:color="1F8A8A"/>
        </w:pBdr>
      </w:pPr>
      <w:r>
        <w:rPr>
          <w:b/>
          <w:color w:val="0B2A4A"/>
          <w:sz w:val="40"/>
        </w:rPr>
        <w:t>5. Contract Approach</w:t>
      </w:r>
    </w:p>
    <w:p>
      <w:pPr>
        <w:spacing w:after="160"/>
      </w:pPr>
      <w:r>
        <w:rPr>
          <w:b w:val="0"/>
          <w:i w:val="0"/>
          <w:color w:val="445566"/>
          <w:sz w:val="21"/>
        </w:rPr>
        <w:t>We agree contractual rigour is essential at this scale. Our positions on Section 4 are below. We are signing-ready on the Negotiate items within the RFP timeline; the Refuse items require movement from Acme before contract execution.</w:t>
      </w:r>
    </w:p>
    <w:tbl>
      <w:tblPr>
        <w:tblW w:type="auto" w:w="0"/>
        <w:tblLayout w:type="fixed"/>
        <w:tblLook w:firstColumn="1" w:firstRow="1" w:lastColumn="0" w:lastRow="0" w:noHBand="0" w:noVBand="1" w:val="04A0"/>
      </w:tblPr>
      <w:tblGrid>
        <w:gridCol w:w="3249"/>
        <w:gridCol w:w="3249"/>
        <w:gridCol w:w="3249"/>
      </w:tblGrid>
      <w:tr>
        <w:tc>
          <w:tcPr>
            <w:tcW w:type="dxa" w:w="273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Acme clause</w:t>
            </w:r>
          </w:p>
        </w:tc>
        <w:tc>
          <w:tcPr>
            <w:tcW w:type="dxa" w:w="1440"/>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Position</w:t>
            </w:r>
          </w:p>
        </w:tc>
        <w:tc>
          <w:tcPr>
            <w:tcW w:type="dxa" w:w="5328"/>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Counter-position</w:t>
            </w:r>
          </w:p>
        </w:tc>
      </w:tr>
      <w:tr>
        <w:tc>
          <w:tcPr>
            <w:tcW w:type="dxa" w:w="273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4.1 Uncapped breach liability incl. reputational damages</w:t>
            </w:r>
          </w:p>
        </w:tc>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color w:val="B03A2E"/>
                <w:sz w:val="20"/>
              </w:rPr>
              <w:t>Refuse</w:t>
            </w:r>
          </w:p>
        </w:tc>
        <w:tc>
          <w:tcPr>
            <w:tcW w:type="dxa" w:w="532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Aggregate liability capped at 24 months of fees paid, with mutual carve-outs for gross negligence and wilful misconduct; consequential and reputational damages expressly excluded. Backed by our existing cyber-insurance limits.</w:t>
            </w:r>
          </w:p>
        </w:tc>
      </w:tr>
      <w:tr>
        <w:tc>
          <w:tcPr>
            <w:tcW w:type="dxa" w:w="273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4.2 Audit 4×/yr, no notice, vendor pays</w:t>
            </w:r>
          </w:p>
        </w:tc>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color w:val="B86A00"/>
                <w:sz w:val="20"/>
              </w:rPr>
              <w:t>Negotiate</w:t>
            </w:r>
          </w:p>
        </w:tc>
        <w:tc>
          <w:tcPr>
            <w:tcW w:type="dxa" w:w="532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Up to 2 audits per calendar year on 30 days' written notice, auditors under NDA; vendor bears the cost of the first annual audit, costs of further audits split.</w:t>
            </w:r>
          </w:p>
        </w:tc>
      </w:tr>
      <w:tr>
        <w:tc>
          <w:tcPr>
            <w:tcW w:type="dxa" w:w="273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4.3 99.99% uptime; any miss → immediate termination + full refund</w:t>
            </w:r>
          </w:p>
        </w:tc>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color w:val="B86A00"/>
                <w:sz w:val="20"/>
              </w:rPr>
              <w:t>Negotiate</w:t>
            </w:r>
          </w:p>
        </w:tc>
        <w:tc>
          <w:tcPr>
            <w:tcW w:type="dxa" w:w="532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99.99% Premium SLA committed (priced in). Sole remedy for a miss is service credits up to 30% of the affected month's fees; termination right arises only after three consecutive months of material SLA failure in a rolling 12.</w:t>
            </w:r>
          </w:p>
        </w:tc>
      </w:tr>
      <w:tr>
        <w:tc>
          <w:tcPr>
            <w:tcW w:type="dxa" w:w="273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4.4 All work product vests in Acme on creation</w:t>
            </w:r>
          </w:p>
        </w:tc>
        <w:tc>
          <w:tcPr>
            <w:tcW w:type="dxa" w:w="1440"/>
            <w:shd w:val="clear" w:color="auto" w:fill="FFFFFF"/>
            <w:tcBorders>
              <w:top w:val="single" w:sz="4" w:color="D8DEE5"/>
              <w:left w:val="single" w:sz="4" w:color="D8DEE5"/>
              <w:bottom w:val="single" w:sz="4" w:color="D8DEE5"/>
              <w:right w:val="single" w:sz="4" w:color="D8DEE5"/>
            </w:tcBorders>
          </w:tcPr>
          <w:p>
            <w:pPr>
              <w:spacing w:before="40" w:after="40"/>
            </w:pPr>
            <w:r/>
            <w:r>
              <w:rPr>
                <w:b/>
                <w:color w:val="B03A2E"/>
                <w:sz w:val="20"/>
              </w:rPr>
              <w:t>Refuse</w:t>
            </w:r>
          </w:p>
        </w:tc>
        <w:tc>
          <w:tcPr>
            <w:tcW w:type="dxa" w:w="532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BTS-Synthetic retains platform IP; Acme receives a perpetual, irrevocable, royalty-free licence to all custom deliverables produced under this engagement. (Precedent: same construct accepted by Stark Industries.)</w:t>
            </w:r>
          </w:p>
        </w:tc>
      </w:tr>
      <w:tr>
        <w:tc>
          <w:tcPr>
            <w:tcW w:type="dxa" w:w="273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4.5 Subprocessor consent at sole discretion</w:t>
            </w:r>
          </w:p>
        </w:tc>
        <w:tc>
          <w:tcPr>
            <w:tcW w:type="dxa" w:w="1440"/>
            <w:shd w:val="clear" w:color="auto" w:fill="F4F7FA"/>
            <w:tcBorders>
              <w:top w:val="single" w:sz="4" w:color="D8DEE5"/>
              <w:left w:val="single" w:sz="4" w:color="D8DEE5"/>
              <w:bottom w:val="single" w:sz="4" w:color="D8DEE5"/>
              <w:right w:val="single" w:sz="4" w:color="D8DEE5"/>
            </w:tcBorders>
          </w:tcPr>
          <w:p>
            <w:pPr>
              <w:spacing w:before="40" w:after="40"/>
            </w:pPr>
            <w:r/>
            <w:r>
              <w:rPr>
                <w:b/>
                <w:color w:val="B86A00"/>
                <w:sz w:val="20"/>
              </w:rPr>
              <w:t>Negotiate</w:t>
            </w:r>
          </w:p>
        </w:tc>
        <w:tc>
          <w:tcPr>
            <w:tcW w:type="dxa" w:w="532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Public subprocessor register maintained; 30 days' notice of any new subprocessor; Acme may raise reasoned objection; if unresolved, Acme may terminate the affected service component.</w:t>
            </w:r>
          </w:p>
        </w:tc>
      </w:tr>
    </w:tbl>
    <w:p>
      <w:pPr>
        <w:spacing w:after="40"/>
      </w:pPr>
    </w:p>
    <w:p>
      <w:pPr>
        <w:spacing w:before="280" w:after="80"/>
      </w:pPr>
      <w:r>
        <w:rPr>
          <w:b/>
          <w:color w:val="0B2A4A"/>
          <w:sz w:val="28"/>
        </w:rPr>
        <w:t>Top three red lines</w:t>
      </w:r>
    </w:p>
    <w:p>
      <w:pPr>
        <w:pStyle w:val="ListBullet"/>
        <w:spacing w:after="40"/>
        <w:ind w:left="360"/>
      </w:pPr>
      <w:r>
        <w:rPr>
          <w:b/>
          <w:color w:val="0B2A4A"/>
          <w:sz w:val="21"/>
        </w:rPr>
        <w:t xml:space="preserve">Uncapped liability. </w:t>
      </w:r>
      <w:r>
        <w:rPr>
          <w:color w:val="445566"/>
          <w:sz w:val="21"/>
        </w:rPr>
        <w:t xml:space="preserve"> No insurance instrument backs uncapped exposure including regulatory fines and reputational damages. We can offer a 24-month-fee cap; we cannot accept unlimited.</w:t>
      </w:r>
    </w:p>
    <w:p>
      <w:pPr>
        <w:pStyle w:val="ListBullet"/>
        <w:spacing w:after="40"/>
        <w:ind w:left="360"/>
      </w:pPr>
      <w:r>
        <w:rPr>
          <w:b/>
          <w:color w:val="0B2A4A"/>
          <w:sz w:val="21"/>
        </w:rPr>
        <w:t xml:space="preserve">Full IP assignment. </w:t>
      </w:r>
      <w:r>
        <w:rPr>
          <w:color w:val="445566"/>
          <w:sz w:val="21"/>
        </w:rPr>
        <w:t xml:space="preserve"> Full assignment of platform-level work product permanently transfers reusable engineering away from our customer base. We can offer a perpetual licence-back; we cannot transfer ownership.</w:t>
      </w:r>
    </w:p>
    <w:p>
      <w:pPr>
        <w:pStyle w:val="ListBullet"/>
        <w:spacing w:after="40"/>
        <w:ind w:left="360"/>
      </w:pPr>
      <w:r>
        <w:rPr>
          <w:b/>
          <w:color w:val="0B2A4A"/>
          <w:sz w:val="21"/>
        </w:rPr>
        <w:t xml:space="preserve">Without-notice audits. </w:t>
      </w:r>
      <w:r>
        <w:rPr>
          <w:color w:val="445566"/>
          <w:sz w:val="21"/>
        </w:rPr>
        <w:t xml:space="preserve"> Conflicts with our ISO 27001 access-control obligations and introduces real operational and security risk. We can offer 2×/yr with notice; we cannot accept without-notice.</w:t>
      </w:r>
    </w:p>
    <w:p>
      <w:pPr>
        <w:spacing w:before="280" w:after="80"/>
        <w:pBdr>
          <w:bottom w:val="single" w:sz="12" w:space="1" w:color="1F8A8A"/>
        </w:pBdr>
      </w:pPr>
      <w:r>
        <w:rPr>
          <w:b/>
          <w:color w:val="0B2A4A"/>
          <w:sz w:val="40"/>
        </w:rPr>
        <w:t>6. Risks and How We Mitigate Them</w:t>
      </w:r>
    </w:p>
    <w:tbl>
      <w:tblPr>
        <w:tblW w:type="auto" w:w="0"/>
        <w:tblLayout w:type="fixed"/>
        <w:tblLook w:firstColumn="1" w:firstRow="1" w:lastColumn="0" w:lastRow="0" w:noHBand="0" w:noVBand="1" w:val="04A0"/>
      </w:tblPr>
      <w:tblGrid>
        <w:gridCol w:w="3249"/>
        <w:gridCol w:w="3249"/>
        <w:gridCol w:w="3249"/>
      </w:tblGrid>
      <w:tr>
        <w:tc>
          <w:tcPr>
            <w:tcW w:type="dxa" w:w="2880"/>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Risk</w:t>
            </w:r>
          </w:p>
        </w:tc>
        <w:tc>
          <w:tcPr>
            <w:tcW w:type="dxa" w:w="2016"/>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Likelihood / Impact</w:t>
            </w:r>
          </w:p>
        </w:tc>
        <w:tc>
          <w:tcPr>
            <w:tcW w:type="dxa" w:w="4608"/>
            <w:shd w:val="clear" w:color="auto" w:fill="0B2A4A"/>
            <w:tcBorders>
              <w:top w:val="single" w:sz="4" w:color="0B2A4A"/>
              <w:left w:val="single" w:sz="4" w:color="0B2A4A"/>
              <w:bottom w:val="single" w:sz="4" w:color="0B2A4A"/>
              <w:right w:val="single" w:sz="4" w:color="0B2A4A"/>
            </w:tcBorders>
            <w:vAlign w:val="center"/>
          </w:tcPr>
          <w:p>
            <w:pPr>
              <w:spacing w:before="40" w:after="40"/>
            </w:pPr>
            <w:r/>
            <w:r>
              <w:rPr>
                <w:b/>
                <w:color w:val="FFFFFF"/>
                <w:sz w:val="20"/>
              </w:rPr>
              <w:t>Our mitigation</w:t>
            </w:r>
          </w:p>
        </w:tc>
      </w:tr>
      <w:tr>
        <w:tc>
          <w:tcPr>
            <w:tcW w:type="dxa" w:w="288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Teradata cutover slips against your 2027 deadline</w:t>
            </w:r>
          </w:p>
        </w:tc>
        <w:tc>
          <w:tcPr>
            <w:tcW w:type="dxa" w:w="201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Medium / High</w:t>
            </w:r>
          </w:p>
        </w:tc>
        <w:tc>
          <w:tcPr>
            <w:tcW w:type="dxa" w:w="460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Phased plan with Power BI live in week 8; full migration in 16–24 weeks. Dedicated migration squad and source-system inventory in week 1.</w:t>
            </w:r>
          </w:p>
        </w:tc>
      </w:tr>
      <w:tr>
        <w:tc>
          <w:tcPr>
            <w:tcW w:type="dxa" w:w="288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Real-time streaming latency does not meet a sub-100ms ops use case</w:t>
            </w:r>
          </w:p>
        </w:tc>
        <w:tc>
          <w:tcPr>
            <w:tcW w:type="dxa" w:w="201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Low / Medium</w:t>
            </w:r>
          </w:p>
        </w:tc>
        <w:tc>
          <w:tcPr>
            <w:tcW w:type="dxa" w:w="460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Use-case scoping in week 1 to flag any sub-100ms requirements early. Where required, a separate streaming path is engineered before go-live.</w:t>
            </w:r>
          </w:p>
        </w:tc>
      </w:tr>
      <w:tr>
        <w:tc>
          <w:tcPr>
            <w:tcW w:type="dxa" w:w="288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99.99% SLA cost lands as a budget surprise mid-negotiation</w:t>
            </w:r>
          </w:p>
        </w:tc>
        <w:tc>
          <w:tcPr>
            <w:tcW w:type="dxa" w:w="201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Eliminated</w:t>
            </w:r>
          </w:p>
        </w:tc>
        <w:tc>
          <w:tcPr>
            <w:tcW w:type="dxa" w:w="460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$100K/yr add-on already included in the figures above. Transparent in the proposal, not deferred.</w:t>
            </w:r>
          </w:p>
        </w:tc>
      </w:tr>
      <w:tr>
        <w:tc>
          <w:tcPr>
            <w:tcW w:type="dxa" w:w="288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Competitor pricing pressure (Databricks discount precedent)</w:t>
            </w:r>
          </w:p>
        </w:tc>
        <w:tc>
          <w:tcPr>
            <w:tcW w:type="dxa" w:w="201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Medium / Medium</w:t>
            </w:r>
          </w:p>
        </w:tc>
        <w:tc>
          <w:tcPr>
            <w:tcW w:type="dxa" w:w="460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We compete on 3-year TCO at realistic workload profile, not headline discount %. Reference comps available on request.</w:t>
            </w:r>
          </w:p>
        </w:tc>
      </w:tr>
      <w:tr>
        <w:tc>
          <w:tcPr>
            <w:tcW w:type="dxa" w:w="2880"/>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Contract terms negotiation slips the 2026-06-30 award date</w:t>
            </w:r>
          </w:p>
        </w:tc>
        <w:tc>
          <w:tcPr>
            <w:tcW w:type="dxa" w:w="2016"/>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Medium / High</w:t>
            </w:r>
          </w:p>
        </w:tc>
        <w:tc>
          <w:tcPr>
            <w:tcW w:type="dxa" w:w="4608"/>
            <w:shd w:val="clear" w:color="auto" w:fill="F4F7FA"/>
            <w:tcBorders>
              <w:top w:val="single" w:sz="4" w:color="D8DEE5"/>
              <w:left w:val="single" w:sz="4" w:color="D8DEE5"/>
              <w:bottom w:val="single" w:sz="4" w:color="D8DEE5"/>
              <w:right w:val="single" w:sz="4" w:color="D8DEE5"/>
            </w:tcBorders>
          </w:tcPr>
          <w:p>
            <w:pPr>
              <w:spacing w:before="40" w:after="40"/>
            </w:pPr>
            <w:r/>
            <w:r>
              <w:rPr>
                <w:b w:val="0"/>
                <w:color w:val="445566"/>
                <w:sz w:val="20"/>
              </w:rPr>
              <w:t>Pre-signed counter-position pack accompanies this response. Legal lead on standby from award day +1. Negotiate items are signing-ready; Refuse items require Acme movement on liability cap, IP licence-back, and MFN.</w:t>
            </w:r>
          </w:p>
        </w:tc>
      </w:tr>
      <w:tr>
        <w:tc>
          <w:tcPr>
            <w:tcW w:type="dxa" w:w="2880"/>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EU data residency drift after go-live</w:t>
            </w:r>
          </w:p>
        </w:tc>
        <w:tc>
          <w:tcPr>
            <w:tcW w:type="dxa" w:w="2016"/>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Low / High</w:t>
            </w:r>
          </w:p>
        </w:tc>
        <w:tc>
          <w:tcPr>
            <w:tcW w:type="dxa" w:w="4608"/>
            <w:shd w:val="clear" w:color="auto" w:fill="FFFFFF"/>
            <w:tcBorders>
              <w:top w:val="single" w:sz="4" w:color="D8DEE5"/>
              <w:left w:val="single" w:sz="4" w:color="D8DEE5"/>
              <w:bottom w:val="single" w:sz="4" w:color="D8DEE5"/>
              <w:right w:val="single" w:sz="4" w:color="D8DEE5"/>
            </w:tcBorders>
          </w:tcPr>
          <w:p>
            <w:pPr>
              <w:spacing w:before="40" w:after="40"/>
            </w:pPr>
            <w:r/>
            <w:r>
              <w:rPr>
                <w:b w:val="0"/>
                <w:color w:val="445566"/>
                <w:sz w:val="20"/>
              </w:rPr>
              <w:t>Per-table residency enforcement is a platform control, not a policy. Quarterly residency attestations exported to Acme's SIEM.</w:t>
            </w:r>
          </w:p>
        </w:tc>
      </w:tr>
    </w:tbl>
    <w:p>
      <w:pPr>
        <w:spacing w:after="40"/>
      </w:pPr>
    </w:p>
    <w:p>
      <w:pPr>
        <w:spacing w:before="280" w:after="80"/>
        <w:pBdr>
          <w:bottom w:val="single" w:sz="12" w:space="1" w:color="1F8A8A"/>
        </w:pBdr>
      </w:pPr>
      <w:r>
        <w:rPr>
          <w:b/>
          <w:color w:val="0B2A4A"/>
          <w:sz w:val="40"/>
        </w:rPr>
        <w:t>7. Next Steps</w:t>
      </w:r>
    </w:p>
    <w:p>
      <w:pPr>
        <w:pStyle w:val="ListBullet"/>
        <w:spacing w:after="40"/>
        <w:ind w:left="360"/>
      </w:pPr>
      <w:r>
        <w:rPr>
          <w:b/>
          <w:color w:val="0B2A4A"/>
          <w:sz w:val="21"/>
        </w:rPr>
        <w:t xml:space="preserve">Step 1 — </w:t>
      </w:r>
      <w:r>
        <w:rPr>
          <w:color w:val="445566"/>
          <w:sz w:val="21"/>
        </w:rPr>
        <w:t>Confirmation of shortlist by Acme; we deliver three live reference calls and a filled Capability Matrix.</w:t>
      </w:r>
    </w:p>
    <w:p>
      <w:pPr>
        <w:pStyle w:val="ListBullet"/>
        <w:spacing w:after="40"/>
        <w:ind w:left="360"/>
      </w:pPr>
      <w:r>
        <w:rPr>
          <w:b/>
          <w:color w:val="0B2A4A"/>
          <w:sz w:val="21"/>
        </w:rPr>
        <w:t xml:space="preserve">Step 2 — </w:t>
      </w:r>
      <w:r>
        <w:rPr>
          <w:color w:val="445566"/>
          <w:sz w:val="21"/>
        </w:rPr>
        <w:t>BTS-Synthetic legal lead and Acme procurement work through the Section 4 counter-positions on a single redline pass.</w:t>
      </w:r>
    </w:p>
    <w:p>
      <w:pPr>
        <w:pStyle w:val="ListBullet"/>
        <w:spacing w:after="40"/>
        <w:ind w:left="360"/>
      </w:pPr>
      <w:r>
        <w:rPr>
          <w:b/>
          <w:color w:val="0B2A4A"/>
          <w:sz w:val="21"/>
        </w:rPr>
        <w:t xml:space="preserve">Step 3 — </w:t>
      </w:r>
      <w:r>
        <w:rPr>
          <w:color w:val="445566"/>
          <w:sz w:val="21"/>
        </w:rPr>
        <w:t>90-minute working session: source-system inventory walkthrough, Power BI estate sizing, and migration squad confirmation.</w:t>
      </w:r>
    </w:p>
    <w:p>
      <w:pPr>
        <w:pStyle w:val="ListBullet"/>
        <w:spacing w:after="40"/>
        <w:ind w:left="360"/>
      </w:pPr>
      <w:r>
        <w:rPr>
          <w:b/>
          <w:color w:val="0B2A4A"/>
          <w:sz w:val="21"/>
        </w:rPr>
        <w:t xml:space="preserve">Step 4 — </w:t>
      </w:r>
      <w:r>
        <w:rPr>
          <w:color w:val="445566"/>
          <w:sz w:val="21"/>
        </w:rPr>
        <w:t>Signature ahead of the 2026-06-30 award milestone; first production Power BI workload live within 8 weeks of signature.</w:t>
      </w:r>
    </w:p>
    <w:p/>
    <w:p>
      <w:pPr>
        <w:spacing w:before="240"/>
        <w:pBdr>
          <w:bottom w:val="single" w:sz="12" w:space="1" w:color="1F8A8A"/>
        </w:pBdr>
      </w:pPr>
      <w:r>
        <w:rPr>
          <w:b/>
          <w:color w:val="0B2A4A"/>
          <w:sz w:val="22"/>
        </w:rPr>
        <w:t>Submitted by the BTS-Synthetic Deal Desk</w:t>
      </w:r>
    </w:p>
    <w:p>
      <w:pPr>
        <w:spacing w:after="40"/>
      </w:pPr>
      <w:r>
        <w:rPr>
          <w:color w:val="88929C"/>
          <w:sz w:val="19"/>
        </w:rPr>
        <w:t>Senior Partner — Deal Desk  |  dealdesk@bts-synthetic.example  |  Response date: 2026-05-26</w:t>
      </w:r>
    </w:p>
    <w:p>
      <w:r>
        <w:rPr>
          <w:i/>
          <w:color w:val="88929C"/>
          <w:sz w:val="17"/>
        </w:rPr>
        <w:t>CONFIDENTIAL — Prepared exclusively for Acme Corp under the RFP NDA. © BTS-Synthetic.</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55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