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Bdr>
          <w:bottom w:val="single" w:sz="12" w:space="1" w:color="0B2C4D"/>
        </w:pBdr>
      </w:pPr>
      <w:r>
        <w:rPr>
          <w:b/>
          <w:color w:val="008C9E"/>
          <w:sz w:val="28"/>
        </w:rPr>
        <w:t>BTS-SYNTHETIC</w:t>
      </w:r>
      <w:r>
        <w:rPr>
          <w:color w:val="0B2C4D"/>
          <w:sz w:val="22"/>
        </w:rPr>
        <w:t xml:space="preserve">  |  ENTERPRISE DATA PLATFORM</w:t>
      </w:r>
    </w:p>
    <w:p/>
    <w:p/>
    <w:p/>
    <w:p/>
    <w:p/>
    <w:p/>
    <w:p>
      <w:pPr>
        <w:jc w:val="left"/>
      </w:pPr>
      <w:r>
        <w:rPr>
          <w:b/>
          <w:color w:val="0B2C4D"/>
          <w:sz w:val="72"/>
        </w:rPr>
        <w:t>Proposal Response</w:t>
      </w:r>
    </w:p>
    <w:p>
      <w:r>
        <w:rPr>
          <w:color w:val="008C9E"/>
          <w:sz w:val="40"/>
        </w:rPr>
        <w:t>Acme Corp — Enterprise Data Platform RFP</w:t>
      </w:r>
    </w:p>
    <w:p/>
    <w:p/>
    <w:tbl>
      <w:tblPr>
        <w:tblW w:type="auto" w:w="0"/>
        <w:tblLayout w:type="fixed"/>
        <w:tblLook w:firstColumn="1" w:firstRow="1" w:lastColumn="0" w:lastRow="0" w:noHBand="0" w:noVBand="1" w:val="04A0"/>
      </w:tblPr>
      <w:tblGrid>
        <w:gridCol w:w="4873"/>
        <w:gridCol w:w="4873"/>
      </w:tblGrid>
      <w:tr>
        <w:tc>
          <w:tcPr>
            <w:tcW w:type="dxa" w:w="4873"/>
            <w:tcBorders>
              <w:top w:val="single" w:sz="4" w:color="BFCBD9"/>
              <w:left w:val="single" w:sz="4" w:color="BFCBD9"/>
              <w:bottom w:val="single" w:sz="4" w:color="BFCBD9"/>
              <w:right w:val="single" w:sz="4" w:color="BFCBD9"/>
            </w:tcBorders>
            <w:shd w:val="clear" w:color="auto" w:fill="F4F7FB"/>
          </w:tcPr>
          <w:p>
            <w:r/>
            <w:r>
              <w:rPr>
                <w:b/>
                <w:color w:val="0B2C4D"/>
                <w:sz w:val="22"/>
              </w:rPr>
              <w:t>Prepared for</w:t>
            </w:r>
          </w:p>
        </w:tc>
        <w:tc>
          <w:tcPr>
            <w:tcW w:type="dxa" w:w="4873"/>
            <w:tcBorders>
              <w:top w:val="single" w:sz="4" w:color="BFCBD9"/>
              <w:left w:val="single" w:sz="4" w:color="BFCBD9"/>
              <w:bottom w:val="single" w:sz="4" w:color="BFCBD9"/>
              <w:right w:val="single" w:sz="4" w:color="BFCBD9"/>
            </w:tcBorders>
            <w:shd w:val="clear" w:color="auto" w:fill="F4F7FB"/>
          </w:tcPr>
          <w:p>
            <w:r/>
            <w:r>
              <w:rPr>
                <w:color w:val="4A4A4A"/>
                <w:sz w:val="22"/>
              </w:rPr>
              <w:t>Acme Corp — Procurement &amp; CDO Office</w:t>
            </w:r>
          </w:p>
        </w:tc>
      </w:tr>
      <w:tr>
        <w:tc>
          <w:tcPr>
            <w:tcW w:type="dxa" w:w="4873"/>
            <w:tcBorders>
              <w:top w:val="single" w:sz="4" w:color="BFCBD9"/>
              <w:left w:val="single" w:sz="4" w:color="BFCBD9"/>
              <w:bottom w:val="single" w:sz="4" w:color="BFCBD9"/>
              <w:right w:val="single" w:sz="4" w:color="BFCBD9"/>
            </w:tcBorders>
          </w:tcPr>
          <w:p>
            <w:r/>
            <w:r>
              <w:rPr>
                <w:b/>
                <w:color w:val="0B2C4D"/>
                <w:sz w:val="22"/>
              </w:rPr>
              <w:t>Procurement lead</w:t>
            </w:r>
          </w:p>
        </w:tc>
        <w:tc>
          <w:tcPr>
            <w:tcW w:type="dxa" w:w="4873"/>
            <w:tcBorders>
              <w:top w:val="single" w:sz="4" w:color="BFCBD9"/>
              <w:left w:val="single" w:sz="4" w:color="BFCBD9"/>
              <w:bottom w:val="single" w:sz="4" w:color="BFCBD9"/>
              <w:right w:val="single" w:sz="4" w:color="BFCBD9"/>
            </w:tcBorders>
          </w:tcPr>
          <w:p>
            <w:r/>
            <w:r>
              <w:rPr>
                <w:color w:val="4A4A4A"/>
                <w:sz w:val="22"/>
              </w:rPr>
              <w:t>Sarah Chen, VP Procurement</w:t>
            </w:r>
          </w:p>
        </w:tc>
      </w:tr>
      <w:tr>
        <w:tc>
          <w:tcPr>
            <w:tcW w:type="dxa" w:w="4873"/>
            <w:tcBorders>
              <w:top w:val="single" w:sz="4" w:color="BFCBD9"/>
              <w:left w:val="single" w:sz="4" w:color="BFCBD9"/>
              <w:bottom w:val="single" w:sz="4" w:color="BFCBD9"/>
              <w:right w:val="single" w:sz="4" w:color="BFCBD9"/>
            </w:tcBorders>
            <w:shd w:val="clear" w:color="auto" w:fill="F4F7FB"/>
          </w:tcPr>
          <w:p>
            <w:r/>
            <w:r>
              <w:rPr>
                <w:b/>
                <w:color w:val="0B2C4D"/>
                <w:sz w:val="22"/>
              </w:rPr>
              <w:t>Technical lead</w:t>
            </w:r>
          </w:p>
        </w:tc>
        <w:tc>
          <w:tcPr>
            <w:tcW w:type="dxa" w:w="4873"/>
            <w:tcBorders>
              <w:top w:val="single" w:sz="4" w:color="BFCBD9"/>
              <w:left w:val="single" w:sz="4" w:color="BFCBD9"/>
              <w:bottom w:val="single" w:sz="4" w:color="BFCBD9"/>
              <w:right w:val="single" w:sz="4" w:color="BFCBD9"/>
            </w:tcBorders>
            <w:shd w:val="clear" w:color="auto" w:fill="F4F7FB"/>
          </w:tcPr>
          <w:p>
            <w:r/>
            <w:r>
              <w:rPr>
                <w:color w:val="4A4A4A"/>
                <w:sz w:val="22"/>
              </w:rPr>
              <w:t>Marcus Webb, Chief Data Officer</w:t>
            </w:r>
          </w:p>
        </w:tc>
      </w:tr>
      <w:tr>
        <w:tc>
          <w:tcPr>
            <w:tcW w:type="dxa" w:w="4873"/>
            <w:tcBorders>
              <w:top w:val="single" w:sz="4" w:color="BFCBD9"/>
              <w:left w:val="single" w:sz="4" w:color="BFCBD9"/>
              <w:bottom w:val="single" w:sz="4" w:color="BFCBD9"/>
              <w:right w:val="single" w:sz="4" w:color="BFCBD9"/>
            </w:tcBorders>
          </w:tcPr>
          <w:p>
            <w:r/>
            <w:r>
              <w:rPr>
                <w:b/>
                <w:color w:val="0B2C4D"/>
                <w:sz w:val="22"/>
              </w:rPr>
              <w:t>Submitted by</w:t>
            </w:r>
          </w:p>
        </w:tc>
        <w:tc>
          <w:tcPr>
            <w:tcW w:type="dxa" w:w="4873"/>
            <w:tcBorders>
              <w:top w:val="single" w:sz="4" w:color="BFCBD9"/>
              <w:left w:val="single" w:sz="4" w:color="BFCBD9"/>
              <w:bottom w:val="single" w:sz="4" w:color="BFCBD9"/>
              <w:right w:val="single" w:sz="4" w:color="BFCBD9"/>
            </w:tcBorders>
          </w:tcPr>
          <w:p>
            <w:r/>
            <w:r>
              <w:rPr>
                <w:color w:val="4A4A4A"/>
                <w:sz w:val="22"/>
              </w:rPr>
              <w:t>BTS-Synthetic, Deal Desk</w:t>
            </w:r>
          </w:p>
        </w:tc>
      </w:tr>
      <w:tr>
        <w:tc>
          <w:tcPr>
            <w:tcW w:type="dxa" w:w="4873"/>
            <w:tcBorders>
              <w:top w:val="single" w:sz="4" w:color="BFCBD9"/>
              <w:left w:val="single" w:sz="4" w:color="BFCBD9"/>
              <w:bottom w:val="single" w:sz="4" w:color="BFCBD9"/>
              <w:right w:val="single" w:sz="4" w:color="BFCBD9"/>
            </w:tcBorders>
            <w:shd w:val="clear" w:color="auto" w:fill="F4F7FB"/>
          </w:tcPr>
          <w:p>
            <w:r/>
            <w:r>
              <w:rPr>
                <w:b/>
                <w:color w:val="0B2C4D"/>
                <w:sz w:val="22"/>
              </w:rPr>
              <w:t>Response date</w:t>
            </w:r>
          </w:p>
        </w:tc>
        <w:tc>
          <w:tcPr>
            <w:tcW w:type="dxa" w:w="4873"/>
            <w:tcBorders>
              <w:top w:val="single" w:sz="4" w:color="BFCBD9"/>
              <w:left w:val="single" w:sz="4" w:color="BFCBD9"/>
              <w:bottom w:val="single" w:sz="4" w:color="BFCBD9"/>
              <w:right w:val="single" w:sz="4" w:color="BFCBD9"/>
            </w:tcBorders>
            <w:shd w:val="clear" w:color="auto" w:fill="F4F7FB"/>
          </w:tcPr>
          <w:p>
            <w:r/>
            <w:r>
              <w:rPr>
                <w:color w:val="4A4A4A"/>
                <w:sz w:val="22"/>
              </w:rPr>
              <w:t>2026-05-26  (RFP deadline)</w:t>
            </w:r>
          </w:p>
        </w:tc>
      </w:tr>
    </w:tbl>
    <w:p/>
    <w:p/>
    <w:p>
      <w:pPr>
        <w:jc w:val="left"/>
      </w:pPr>
      <w:r>
        <w:rPr>
          <w:i/>
          <w:color w:val="4A4A4A"/>
          <w:sz w:val="18"/>
        </w:rPr>
        <w:t>CONFIDENTIAL — prepared in response to Acme Corp RFP, 2026-05-12. Contains commercial terms subject to negotiation.</w:t>
      </w:r>
    </w:p>
    <w:p>
      <w:r>
        <w:br w:type="page"/>
      </w:r>
    </w:p>
    <w:p>
      <w:pPr>
        <w:spacing w:before="360" w:after="120"/>
        <w:pBdr>
          <w:bottom w:val="single" w:sz="12" w:space="1" w:color="008C9E"/>
        </w:pBdr>
      </w:pPr>
      <w:r>
        <w:rPr>
          <w:rFonts w:ascii="Calibri" w:hAnsi="Calibri"/>
          <w:b/>
          <w:color w:val="0B2C4D"/>
          <w:sz w:val="40"/>
        </w:rPr>
        <w:t>1. Executive Summary</w:t>
      </w:r>
    </w:p>
    <w:p>
      <w:pPr>
        <w:spacing w:after="120" w:line="300" w:lineRule="auto"/>
      </w:pPr>
      <w:r>
        <w:rPr>
          <w:b w:val="0"/>
          <w:i w:val="0"/>
          <w:color w:val="4A4A4A"/>
          <w:sz w:val="22"/>
        </w:rPr>
        <w:t>BTS-Synthetic is the right partner for Acme Corp's replacement of Teradata and ad-hoc cloud analytics with a single, governed, multi-region lakehouse on Azure. We meet every functional requirement in your RFP, with our strongest BI integration — Power BI DirectQuery — purpose-built for the exact pattern your 600 analysts use today.</w:t>
      </w:r>
    </w:p>
    <w:p>
      <w:pPr>
        <w:spacing w:before="200" w:after="40"/>
      </w:pPr>
      <w:r>
        <w:rPr>
          <w:b/>
          <w:color w:val="008C9E"/>
          <w:sz w:val="24"/>
        </w:rPr>
        <w:t>Why BTS-Synthetic — three reasons</w:t>
      </w:r>
    </w:p>
    <w:p>
      <w:pPr>
        <w:pStyle w:val="ListBullet"/>
        <w:spacing w:after="60" w:line="288" w:lineRule="auto"/>
        <w:ind w:left="360"/>
      </w:pPr>
      <w:r>
        <w:rPr>
          <w:b/>
          <w:color w:val="0B2C4D"/>
          <w:sz w:val="22"/>
        </w:rPr>
        <w:t xml:space="preserve">Functional fit (30%): </w:t>
      </w:r>
      <w:r>
        <w:rPr>
          <w:color w:val="4A4A4A"/>
          <w:sz w:val="22"/>
        </w:rPr>
        <w:t xml:space="preserve"> Production-hardened Power BI DirectQuery adapter plus per-table EU residency on customer-owned Azure Blob. Microsoft Fabric forces data into OneLake; Snowflake bolts streaming on the side; Databricks pushes the optimisation work onto your team. We ship the architecture you actually asked for.</w:t>
      </w:r>
    </w:p>
    <w:p>
      <w:pPr>
        <w:pStyle w:val="ListBullet"/>
        <w:spacing w:after="60" w:line="288" w:lineRule="auto"/>
        <w:ind w:left="360"/>
      </w:pPr>
      <w:r>
        <w:rPr>
          <w:b/>
          <w:color w:val="0B2C4D"/>
          <w:sz w:val="22"/>
        </w:rPr>
        <w:t xml:space="preserve">Total cost of ownership (20%): </w:t>
      </w:r>
      <w:r>
        <w:rPr>
          <w:color w:val="4A4A4A"/>
          <w:sz w:val="22"/>
        </w:rPr>
        <w:t xml:space="preserve"> 5-year fixed pricing with transparent CPI+2% escalator (capped at 5%). 23% off list opening, $693K Year 1 net. Comparable customer (Initech Sensors, industrial IoT) realised 18% lower 3-year TCO than the Microsoft Fabric "free with E5" alternative once governance and real-time tooling were properly costed.</w:t>
      </w:r>
    </w:p>
    <w:p>
      <w:pPr>
        <w:pStyle w:val="ListBullet"/>
        <w:spacing w:after="60" w:line="288" w:lineRule="auto"/>
        <w:ind w:left="360"/>
      </w:pPr>
      <w:r>
        <w:rPr>
          <w:b/>
          <w:color w:val="0B2C4D"/>
          <w:sz w:val="22"/>
        </w:rPr>
        <w:t xml:space="preserve">Implementation timeline (15%): </w:t>
      </w:r>
      <w:r>
        <w:rPr>
          <w:color w:val="4A4A4A"/>
          <w:sz w:val="22"/>
        </w:rPr>
        <w:t xml:space="preserve"> 18-month runway to your 2027 Teradata decommission gate, with first production workload live in 8 weeks. Phased migration, dual-run validation, and a 90-day buffer before your hard deadline.</w:t>
      </w:r>
    </w:p>
    <w:p>
      <w:pPr>
        <w:spacing w:before="200" w:after="40"/>
      </w:pPr>
      <w:r>
        <w:rPr>
          <w:b/>
          <w:color w:val="008C9E"/>
          <w:sz w:val="24"/>
        </w:rPr>
        <w:t>Commercial headline</w:t>
      </w:r>
    </w:p>
    <w:p>
      <w:pPr>
        <w:spacing w:after="120" w:line="300" w:lineRule="auto"/>
      </w:pPr>
      <w:r>
        <w:rPr>
          <w:b/>
          <w:i w:val="0"/>
          <w:color w:val="0B2C4D"/>
          <w:sz w:val="22"/>
        </w:rPr>
        <w:t xml:space="preserve">$693,000 Year 1 net </w:t>
      </w:r>
      <w:r>
        <w:rPr>
          <w:b w:val="0"/>
          <w:i w:val="0"/>
          <w:color w:val="4A4A4A"/>
          <w:sz w:val="22"/>
        </w:rPr>
        <w:t xml:space="preserve">(23% off $900K list), with 3-year committed term at flat 23% discount and CPI+2% escalators in Years 2–3. Optional </w:t>
      </w:r>
      <w:r>
        <w:rPr>
          <w:b/>
          <w:i w:val="0"/>
          <w:color w:val="0B2C4D"/>
          <w:sz w:val="22"/>
        </w:rPr>
        <w:t>99.99% Premium Availability tier</w:t>
      </w:r>
      <w:r>
        <w:rPr>
          <w:b w:val="0"/>
          <w:i w:val="0"/>
          <w:color w:val="4A4A4A"/>
          <w:sz w:val="22"/>
        </w:rPr>
        <w:t xml:space="preserve"> available as a separately priced line item at $100K/year for active-active EU + US East deployment. </w:t>
      </w:r>
      <w:r>
        <w:rPr>
          <w:b/>
          <w:i w:val="0"/>
          <w:color w:val="0B2C4D"/>
          <w:sz w:val="22"/>
        </w:rPr>
        <w:t>5-year total net: $3.65M</w:t>
      </w:r>
      <w:r>
        <w:rPr>
          <w:b w:val="0"/>
          <w:i w:val="0"/>
          <w:color w:val="4A4A4A"/>
          <w:sz w:val="22"/>
        </w:rPr>
        <w:t xml:space="preserve"> (excluding the 99.99% premium). Net 60 payment terms; PoC fees credited 100% to Year 1.</w:t>
      </w:r>
    </w:p>
    <w:p>
      <w:pPr>
        <w:spacing w:before="200" w:after="40"/>
      </w:pPr>
      <w:r>
        <w:rPr>
          <w:b/>
          <w:color w:val="008C9E"/>
          <w:sz w:val="24"/>
        </w:rPr>
        <w:t>Conditions of bid — four contractual blockers</w:t>
      </w:r>
    </w:p>
    <w:p>
      <w:pPr>
        <w:spacing w:after="120" w:line="300" w:lineRule="auto"/>
      </w:pPr>
      <w:r>
        <w:rPr>
          <w:b w:val="0"/>
          <w:i/>
          <w:color w:val="4A4A4A"/>
          <w:sz w:val="22"/>
        </w:rPr>
        <w:t>We will not silently accept four positions in your draft that, as written, prevent us from underwriting the contract. We propose workable counter-positions on each and request a pre-submission redline call with Acme Counsel before 2026-05-26.</w:t>
      </w:r>
    </w:p>
    <w:p>
      <w:pPr>
        <w:pStyle w:val="ListBullet"/>
        <w:spacing w:after="60" w:line="288" w:lineRule="auto"/>
        <w:ind w:left="360"/>
      </w:pPr>
      <w:r>
        <w:rPr>
          <w:b/>
          <w:color w:val="0B2C4D"/>
          <w:sz w:val="22"/>
        </w:rPr>
        <w:t xml:space="preserve">§4.1 Uncapped breach liability — </w:t>
      </w:r>
      <w:r>
        <w:rPr>
          <w:color w:val="4A4A4A"/>
          <w:sz w:val="22"/>
        </w:rPr>
        <w:t xml:space="preserve"> We propose a cap at 24 months of fees paid (~$1.8M), with mutual carve-outs for gross negligence and IP infringement. Our cyber liability insurance is voided by uncapped exposure.</w:t>
      </w:r>
    </w:p>
    <w:p>
      <w:pPr>
        <w:pStyle w:val="ListBullet"/>
        <w:spacing w:after="60" w:line="288" w:lineRule="auto"/>
        <w:ind w:left="360"/>
      </w:pPr>
      <w:r>
        <w:rPr>
          <w:b/>
          <w:color w:val="0B2C4D"/>
          <w:sz w:val="22"/>
        </w:rPr>
        <w:t xml:space="preserve">§4.3 SLA termination on any miss — </w:t>
      </w:r>
      <w:r>
        <w:rPr>
          <w:color w:val="4A4A4A"/>
          <w:sz w:val="22"/>
        </w:rPr>
        <w:t xml:space="preserve"> Acme may immediately terminate plus full-month refund on any single SLA miss. We propose 99.95% with service-credit remedy, termination only after three failures in any rolling 12-month period with cure rights. The 99.99% target is available as a Premium Availability tier (priced).</w:t>
      </w:r>
    </w:p>
    <w:p>
      <w:pPr>
        <w:pStyle w:val="ListBullet"/>
        <w:spacing w:after="60" w:line="288" w:lineRule="auto"/>
        <w:ind w:left="360"/>
      </w:pPr>
      <w:r>
        <w:rPr>
          <w:b/>
          <w:color w:val="0B2C4D"/>
          <w:sz w:val="22"/>
        </w:rPr>
        <w:t xml:space="preserve">§4.4 Full IP assignment of all work product — </w:t>
      </w:r>
      <w:r>
        <w:rPr>
          <w:color w:val="4A4A4A"/>
          <w:sz w:val="22"/>
        </w:rPr>
        <w:t xml:space="preserve"> We propose perpetual royalty-free licence-back of customer-specific configurations and integrations. Platform IP must remain with BTS-Synthetic. Precedent: Stark Industries (2026-02) accepted this exact structure.</w:t>
      </w:r>
    </w:p>
    <w:p>
      <w:pPr>
        <w:pStyle w:val="ListBullet"/>
        <w:spacing w:after="60" w:line="288" w:lineRule="auto"/>
        <w:ind w:left="360"/>
      </w:pPr>
      <w:r>
        <w:rPr>
          <w:b/>
          <w:color w:val="0B2C4D"/>
          <w:sz w:val="22"/>
        </w:rPr>
        <w:t xml:space="preserve">§4.2 No-notice, four-per-year vendor-funded audit — </w:t>
      </w:r>
      <w:r>
        <w:rPr>
          <w:color w:val="4A4A4A"/>
          <w:sz w:val="22"/>
        </w:rPr>
        <w:t xml:space="preserve"> We propose one audit per calendar year with 30 days' notice, plus an SOC 2 Type II report on demand. Four unannounced audits are operationally and contractually incompatible with our subprocessors.</w:t>
      </w:r>
    </w:p>
    <w:p>
      <w:pPr>
        <w:spacing w:before="200" w:after="40"/>
      </w:pPr>
      <w:r>
        <w:rPr>
          <w:b/>
          <w:color w:val="008C9E"/>
          <w:sz w:val="24"/>
        </w:rPr>
        <w:t>Key risk</w:t>
      </w:r>
    </w:p>
    <w:p>
      <w:pPr>
        <w:spacing w:after="120" w:line="300" w:lineRule="auto"/>
      </w:pPr>
      <w:r>
        <w:rPr>
          <w:b w:val="0"/>
          <w:i w:val="0"/>
          <w:color w:val="4A4A4A"/>
          <w:sz w:val="22"/>
        </w:rPr>
        <w:t xml:space="preserve">Microsoft Fabric will position itself as "free with E5." Our experience at Initech Sensors (industrial IoT, won 2025-11) shows that </w:t>
      </w:r>
      <w:r>
        <w:rPr>
          <w:b/>
          <w:i w:val="0"/>
          <w:color w:val="0B2C4D"/>
          <w:sz w:val="22"/>
        </w:rPr>
        <w:t>Fabric's real-time governance and per-table residency are 12–18 months behind ours</w:t>
      </w:r>
      <w:r>
        <w:rPr>
          <w:b w:val="0"/>
          <w:i w:val="0"/>
          <w:color w:val="4A4A4A"/>
          <w:sz w:val="22"/>
        </w:rPr>
        <w:t>, and the true cost emerges in Professional Services and real-time tooling. We invite Acme to test this in a head-to-head TCO model — we will provide ours in writing.</w:t>
      </w:r>
    </w:p>
    <w:p>
      <w:r>
        <w:br w:type="page"/>
      </w:r>
    </w:p>
    <w:p>
      <w:pPr>
        <w:spacing w:before="360" w:after="120"/>
        <w:pBdr>
          <w:bottom w:val="single" w:sz="12" w:space="1" w:color="008C9E"/>
        </w:pBdr>
      </w:pPr>
      <w:r>
        <w:rPr>
          <w:rFonts w:ascii="Calibri" w:hAnsi="Calibri"/>
          <w:b/>
          <w:color w:val="0B2C4D"/>
          <w:sz w:val="40"/>
        </w:rPr>
        <w:t>2. Our Understanding of Acme's Need</w:t>
      </w:r>
    </w:p>
    <w:p>
      <w:pPr>
        <w:spacing w:after="120" w:line="300" w:lineRule="auto"/>
      </w:pPr>
      <w:r>
        <w:rPr>
          <w:b w:val="0"/>
          <w:i w:val="0"/>
          <w:color w:val="4A4A4A"/>
          <w:sz w:val="22"/>
        </w:rPr>
        <w:t>Acme Corp operates a global industrial IoT and manufacturing footprint generating large-volume sensor telemetry from 40,000 devices and ~30 internal systems. The current Teradata + ad-hoc cloud-analytics estate is being retired by end of 2027. The replacement must be:</w:t>
      </w:r>
    </w:p>
    <w:p>
      <w:pPr>
        <w:pStyle w:val="ListBullet"/>
        <w:spacing w:after="60" w:line="288" w:lineRule="auto"/>
        <w:ind w:left="360"/>
      </w:pPr>
      <w:r>
        <w:rPr>
          <w:color w:val="4A4A4A"/>
          <w:sz w:val="22"/>
        </w:rPr>
        <w:t xml:space="preserve"> Azure-native, with first-class Power BI for the existing 600-analyst base.</w:t>
      </w:r>
    </w:p>
    <w:p>
      <w:pPr>
        <w:pStyle w:val="ListBullet"/>
        <w:spacing w:after="60" w:line="288" w:lineRule="auto"/>
        <w:ind w:left="360"/>
      </w:pPr>
      <w:r>
        <w:rPr>
          <w:color w:val="4A4A4A"/>
          <w:sz w:val="22"/>
        </w:rPr>
        <w:t xml:space="preserve"> Lakehouse-architected, on open file formats (Parquet, Delta, Iceberg), to avoid future portability lock-in.</w:t>
      </w:r>
    </w:p>
    <w:p>
      <w:pPr>
        <w:pStyle w:val="ListBullet"/>
        <w:spacing w:after="60" w:line="288" w:lineRule="auto"/>
        <w:ind w:left="360"/>
      </w:pPr>
      <w:r>
        <w:rPr>
          <w:color w:val="4A4A4A"/>
          <w:sz w:val="22"/>
        </w:rPr>
        <w:t xml:space="preserve"> Multi-region, with EU customer data pinned to EU regions for GDPR compliance.</w:t>
      </w:r>
    </w:p>
    <w:p>
      <w:pPr>
        <w:pStyle w:val="ListBullet"/>
        <w:spacing w:after="60" w:line="288" w:lineRule="auto"/>
        <w:ind w:left="360"/>
      </w:pPr>
      <w:r>
        <w:rPr>
          <w:color w:val="4A4A4A"/>
          <w:sz w:val="22"/>
        </w:rPr>
        <w:t xml:space="preserve"> Capable of handling 80,000 events per second peak ingest while supporting analyst self-service, batch ETL from 30+ sources, and a forthcoming predictive maintenance ML programme.</w:t>
      </w:r>
    </w:p>
    <w:p>
      <w:pPr>
        <w:pStyle w:val="ListBullet"/>
        <w:spacing w:after="60" w:line="288" w:lineRule="auto"/>
        <w:ind w:left="360"/>
      </w:pPr>
      <w:r>
        <w:rPr>
          <w:color w:val="4A4A4A"/>
          <w:sz w:val="22"/>
        </w:rPr>
        <w:t xml:space="preserve"> Commercially predictable across a 5-year horizon (3-year initial + 2-year renewal), with transparent pricing and no surprise escalators.</w:t>
      </w:r>
    </w:p>
    <w:p>
      <w:pPr>
        <w:spacing w:after="120" w:line="300" w:lineRule="auto"/>
      </w:pPr>
      <w:r>
        <w:rPr>
          <w:b w:val="0"/>
          <w:i w:val="0"/>
          <w:color w:val="4A4A4A"/>
          <w:sz w:val="22"/>
        </w:rPr>
        <w:t xml:space="preserve">We read Acme's evaluation criteria — </w:t>
      </w:r>
      <w:r>
        <w:rPr>
          <w:b/>
          <w:i w:val="0"/>
          <w:color w:val="0B2C4D"/>
          <w:sz w:val="22"/>
        </w:rPr>
        <w:t>30% functional fit, 25% commercial, 20% TCO, 15% implementation, 10% stability/references</w:t>
      </w:r>
      <w:r>
        <w:rPr>
          <w:b w:val="0"/>
          <w:i w:val="0"/>
          <w:color w:val="4A4A4A"/>
          <w:sz w:val="22"/>
        </w:rPr>
        <w:t xml:space="preserve"> — as a clear signal that the platform decision will be made on capability and total economic outcome, not on opening discount alone. Our response is structured accordingly.</w:t>
      </w:r>
    </w:p>
    <w:p>
      <w:r>
        <w:br w:type="page"/>
      </w:r>
    </w:p>
    <w:p>
      <w:pPr>
        <w:spacing w:before="360" w:after="120"/>
        <w:pBdr>
          <w:bottom w:val="single" w:sz="12" w:space="1" w:color="008C9E"/>
        </w:pBdr>
      </w:pPr>
      <w:r>
        <w:rPr>
          <w:rFonts w:ascii="Calibri" w:hAnsi="Calibri"/>
          <w:b/>
          <w:color w:val="0B2C4D"/>
          <w:sz w:val="40"/>
        </w:rPr>
        <w:t>3. Technical Proposal</w:t>
      </w:r>
    </w:p>
    <w:p>
      <w:pPr>
        <w:spacing w:before="280" w:after="80"/>
      </w:pPr>
      <w:r>
        <w:rPr>
          <w:b/>
          <w:color w:val="0B2C4D"/>
          <w:sz w:val="28"/>
        </w:rPr>
        <w:t>3.1 Capability map against Acme's requirements</w:t>
      </w:r>
    </w:p>
    <w:tbl>
      <w:tblPr>
        <w:tblW w:type="auto" w:w="0"/>
        <w:jc w:val="center"/>
        <w:tblLayout w:type="fixed"/>
        <w:tblLook w:firstColumn="1" w:firstRow="1" w:lastColumn="0" w:lastRow="0" w:noHBand="0" w:noVBand="1" w:val="04A0"/>
      </w:tblPr>
      <w:tblGrid>
        <w:gridCol w:w="3249"/>
        <w:gridCol w:w="3249"/>
        <w:gridCol w:w="3249"/>
      </w:tblGrid>
      <w:tr>
        <w:tc>
          <w:tcPr>
            <w:tcW w:type="dxa" w:w="3312"/>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Acme Requirement</w:t>
            </w:r>
          </w:p>
        </w:tc>
        <w:tc>
          <w:tcPr>
            <w:tcW w:type="dxa" w:w="1296"/>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Fit</w:t>
            </w:r>
          </w:p>
        </w:tc>
        <w:tc>
          <w:tcPr>
            <w:tcW w:type="dxa" w:w="4896"/>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Evidence</w:t>
            </w:r>
          </w:p>
        </w:tc>
      </w:tr>
      <w:tr>
        <w:tc>
          <w:tcPr>
            <w:tcW w:type="dxa" w:w="3312"/>
            <w:tcBorders>
              <w:top w:val="single" w:sz="4" w:color="BFCBD9"/>
              <w:left w:val="single" w:sz="4" w:color="BFCBD9"/>
              <w:bottom w:val="single" w:sz="4" w:color="BFCBD9"/>
              <w:right w:val="single" w:sz="4" w:color="BFCBD9"/>
            </w:tcBorders>
            <w:vAlign w:val="center"/>
          </w:tcPr>
          <w:p>
            <w:r/>
            <w:r>
              <w:rPr>
                <w:color w:val="4A4A4A"/>
                <w:sz w:val="20"/>
              </w:rPr>
              <w:t>Real-time ingest — 40K IoT devices / 80K events/sec peak</w:t>
            </w:r>
          </w:p>
        </w:tc>
        <w:tc>
          <w:tcPr>
            <w:tcW w:type="dxa" w:w="1296"/>
            <w:tcBorders>
              <w:top w:val="single" w:sz="4" w:color="BFCBD9"/>
              <w:left w:val="single" w:sz="4" w:color="BFCBD9"/>
              <w:bottom w:val="single" w:sz="4" w:color="BFCBD9"/>
              <w:right w:val="single" w:sz="4" w:color="BFCBD9"/>
            </w:tcBorders>
            <w:vAlign w:val="center"/>
          </w:tcPr>
          <w:p>
            <w:r/>
            <w:r>
              <w:rPr>
                <w:b/>
                <w:color w:val="1F6F3D"/>
                <w:sz w:val="20"/>
              </w:rPr>
              <w:t>FULL FIT</w:t>
            </w:r>
          </w:p>
        </w:tc>
        <w:tc>
          <w:tcPr>
            <w:tcW w:type="dxa" w:w="4896"/>
            <w:tcBorders>
              <w:top w:val="single" w:sz="4" w:color="BFCBD9"/>
              <w:left w:val="single" w:sz="4" w:color="BFCBD9"/>
              <w:bottom w:val="single" w:sz="4" w:color="BFCBD9"/>
              <w:right w:val="single" w:sz="4" w:color="BFCBD9"/>
            </w:tcBorders>
            <w:vAlign w:val="center"/>
          </w:tcPr>
          <w:p>
            <w:r/>
            <w:r>
              <w:rPr>
                <w:color w:val="4A4A4A"/>
                <w:sz w:val="20"/>
              </w:rPr>
              <w:t>Native Kafka and Kinesis streaming tested to 250K events/sec. 3× headroom on Acme's peak.</w:t>
            </w:r>
          </w:p>
        </w:tc>
      </w:tr>
      <w:tr>
        <w:tc>
          <w:tcPr>
            <w:tcW w:type="dxa" w:w="33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Batch ETL from 30+ internal sources</w:t>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b/>
                <w:color w:val="1F6F3D"/>
                <w:sz w:val="20"/>
              </w:rPr>
              <w:t>FULL FIT</w:t>
            </w:r>
          </w:p>
        </w:tc>
        <w:tc>
          <w:tcPr>
            <w:tcW w:type="dxa" w:w="4896"/>
            <w:tcBorders>
              <w:top w:val="single" w:sz="4" w:color="BFCBD9"/>
              <w:left w:val="single" w:sz="4" w:color="BFCBD9"/>
              <w:bottom w:val="single" w:sz="4" w:color="BFCBD9"/>
              <w:right w:val="single" w:sz="4" w:color="BFCBD9"/>
            </w:tcBorders>
            <w:vAlign w:val="center"/>
            <w:shd w:val="clear" w:color="auto" w:fill="F4F7FB"/>
          </w:tcPr>
          <w:p>
            <w:r/>
            <w:r>
              <w:rPr>
                <w:color w:val="4A4A4A"/>
                <w:sz w:val="20"/>
              </w:rPr>
              <w:t>80+ certified batch connectors plus Debezium-compatible CDC covers all standard enterprise sources.</w:t>
            </w:r>
          </w:p>
        </w:tc>
      </w:tr>
      <w:tr>
        <w:tc>
          <w:tcPr>
            <w:tcW w:type="dxa" w:w="3312"/>
            <w:tcBorders>
              <w:top w:val="single" w:sz="4" w:color="BFCBD9"/>
              <w:left w:val="single" w:sz="4" w:color="BFCBD9"/>
              <w:bottom w:val="single" w:sz="4" w:color="BFCBD9"/>
              <w:right w:val="single" w:sz="4" w:color="BFCBD9"/>
            </w:tcBorders>
            <w:vAlign w:val="center"/>
          </w:tcPr>
          <w:p>
            <w:r/>
            <w:r>
              <w:rPr>
                <w:color w:val="4A4A4A"/>
                <w:sz w:val="20"/>
              </w:rPr>
              <w:t>BI/reporting for 600 analysts — Power BI mandatory</w:t>
            </w:r>
          </w:p>
        </w:tc>
        <w:tc>
          <w:tcPr>
            <w:tcW w:type="dxa" w:w="1296"/>
            <w:tcBorders>
              <w:top w:val="single" w:sz="4" w:color="BFCBD9"/>
              <w:left w:val="single" w:sz="4" w:color="BFCBD9"/>
              <w:bottom w:val="single" w:sz="4" w:color="BFCBD9"/>
              <w:right w:val="single" w:sz="4" w:color="BFCBD9"/>
            </w:tcBorders>
            <w:vAlign w:val="center"/>
          </w:tcPr>
          <w:p>
            <w:r/>
            <w:r>
              <w:rPr>
                <w:b/>
                <w:color w:val="1F6F3D"/>
                <w:sz w:val="20"/>
              </w:rPr>
              <w:t>FULL FIT</w:t>
            </w:r>
          </w:p>
        </w:tc>
        <w:tc>
          <w:tcPr>
            <w:tcW w:type="dxa" w:w="4896"/>
            <w:tcBorders>
              <w:top w:val="single" w:sz="4" w:color="BFCBD9"/>
              <w:left w:val="single" w:sz="4" w:color="BFCBD9"/>
              <w:bottom w:val="single" w:sz="4" w:color="BFCBD9"/>
              <w:right w:val="single" w:sz="4" w:color="BFCBD9"/>
            </w:tcBorders>
            <w:vAlign w:val="center"/>
          </w:tcPr>
          <w:p>
            <w:r/>
            <w:r>
              <w:rPr>
                <w:color w:val="4A4A4A"/>
                <w:sz w:val="20"/>
              </w:rPr>
              <w:t>Dedicated Power BI DirectQuery adapter — our most mature BI integration.</w:t>
            </w:r>
          </w:p>
        </w:tc>
      </w:tr>
      <w:tr>
        <w:tc>
          <w:tcPr>
            <w:tcW w:type="dxa" w:w="33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Self-service data prep for 150 data engineers</w:t>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b/>
                <w:color w:val="1F6F3D"/>
                <w:sz w:val="20"/>
              </w:rPr>
              <w:t>FULL FIT</w:t>
            </w:r>
          </w:p>
        </w:tc>
        <w:tc>
          <w:tcPr>
            <w:tcW w:type="dxa" w:w="4896"/>
            <w:tcBorders>
              <w:top w:val="single" w:sz="4" w:color="BFCBD9"/>
              <w:left w:val="single" w:sz="4" w:color="BFCBD9"/>
              <w:bottom w:val="single" w:sz="4" w:color="BFCBD9"/>
              <w:right w:val="single" w:sz="4" w:color="BFCBD9"/>
            </w:tcBorders>
            <w:vAlign w:val="center"/>
            <w:shd w:val="clear" w:color="auto" w:fill="F4F7FB"/>
          </w:tcPr>
          <w:p>
            <w:r/>
            <w:r>
              <w:rPr>
                <w:color w:val="4A4A4A"/>
                <w:sz w:val="20"/>
              </w:rPr>
              <w:t>Low-code self-service prep UI plus SQL, notebooks (Python/R/Scala), and streaming compute.</w:t>
            </w:r>
          </w:p>
        </w:tc>
      </w:tr>
      <w:tr>
        <w:tc>
          <w:tcPr>
            <w:tcW w:type="dxa" w:w="3312"/>
            <w:tcBorders>
              <w:top w:val="single" w:sz="4" w:color="BFCBD9"/>
              <w:left w:val="single" w:sz="4" w:color="BFCBD9"/>
              <w:bottom w:val="single" w:sz="4" w:color="BFCBD9"/>
              <w:right w:val="single" w:sz="4" w:color="BFCBD9"/>
            </w:tcBorders>
            <w:vAlign w:val="center"/>
          </w:tcPr>
          <w:p>
            <w:r/>
            <w:r>
              <w:rPr>
                <w:color w:val="4A4A4A"/>
                <w:sz w:val="20"/>
              </w:rPr>
              <w:t>Machine learning pipelines (predictive maintenance, planned)</w:t>
            </w:r>
          </w:p>
        </w:tc>
        <w:tc>
          <w:tcPr>
            <w:tcW w:type="dxa" w:w="1296"/>
            <w:tcBorders>
              <w:top w:val="single" w:sz="4" w:color="BFCBD9"/>
              <w:left w:val="single" w:sz="4" w:color="BFCBD9"/>
              <w:bottom w:val="single" w:sz="4" w:color="BFCBD9"/>
              <w:right w:val="single" w:sz="4" w:color="BFCBD9"/>
            </w:tcBorders>
            <w:vAlign w:val="center"/>
          </w:tcPr>
          <w:p>
            <w:r/>
            <w:r>
              <w:rPr>
                <w:b/>
                <w:color w:val="1F6F3D"/>
                <w:sz w:val="20"/>
              </w:rPr>
              <w:t>FULL FIT</w:t>
            </w:r>
          </w:p>
        </w:tc>
        <w:tc>
          <w:tcPr>
            <w:tcW w:type="dxa" w:w="4896"/>
            <w:tcBorders>
              <w:top w:val="single" w:sz="4" w:color="BFCBD9"/>
              <w:left w:val="single" w:sz="4" w:color="BFCBD9"/>
              <w:bottom w:val="single" w:sz="4" w:color="BFCBD9"/>
              <w:right w:val="single" w:sz="4" w:color="BFCBD9"/>
            </w:tcBorders>
            <w:vAlign w:val="center"/>
          </w:tcPr>
          <w:p>
            <w:r/>
            <w:r>
              <w:rPr>
                <w:color w:val="4A4A4A"/>
                <w:sz w:val="20"/>
              </w:rPr>
              <w:t>Model registry, feature store (offline + online), native serving with autoscaling, bring-your-own-model support.</w:t>
            </w:r>
          </w:p>
        </w:tc>
      </w:tr>
      <w:tr>
        <w:tc>
          <w:tcPr>
            <w:tcW w:type="dxa" w:w="33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Scale: 280 TB now, 12 TB/month growth (~424 TB by EOY 2027)</w:t>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b/>
                <w:color w:val="1F6F3D"/>
                <w:sz w:val="20"/>
              </w:rPr>
              <w:t>FULL FIT</w:t>
            </w:r>
          </w:p>
        </w:tc>
        <w:tc>
          <w:tcPr>
            <w:tcW w:type="dxa" w:w="4896"/>
            <w:tcBorders>
              <w:top w:val="single" w:sz="4" w:color="BFCBD9"/>
              <w:left w:val="single" w:sz="4" w:color="BFCBD9"/>
              <w:bottom w:val="single" w:sz="4" w:color="BFCBD9"/>
              <w:right w:val="single" w:sz="4" w:color="BFCBD9"/>
            </w:tcBorders>
            <w:vAlign w:val="center"/>
            <w:shd w:val="clear" w:color="auto" w:fill="F4F7FB"/>
          </w:tcPr>
          <w:p>
            <w:r/>
            <w:r>
              <w:rPr>
                <w:color w:val="4A4A4A"/>
                <w:sz w:val="20"/>
              </w:rPr>
              <w:t>BYO Azure Blob object storage; petabyte-scale lakehouse. No architectural ceiling at Acme's projected growth.</w:t>
            </w:r>
          </w:p>
        </w:tc>
      </w:tr>
      <w:tr>
        <w:tc>
          <w:tcPr>
            <w:tcW w:type="dxa" w:w="3312"/>
            <w:tcBorders>
              <w:top w:val="single" w:sz="4" w:color="BFCBD9"/>
              <w:left w:val="single" w:sz="4" w:color="BFCBD9"/>
              <w:bottom w:val="single" w:sz="4" w:color="BFCBD9"/>
              <w:right w:val="single" w:sz="4" w:color="BFCBD9"/>
            </w:tcBorders>
            <w:vAlign w:val="center"/>
          </w:tcPr>
          <w:p>
            <w:r/>
            <w:r>
              <w:rPr>
                <w:color w:val="4A4A4A"/>
                <w:sz w:val="20"/>
              </w:rPr>
              <w:t>Multi-region: primary EU, secondary US East</w:t>
            </w:r>
          </w:p>
        </w:tc>
        <w:tc>
          <w:tcPr>
            <w:tcW w:type="dxa" w:w="1296"/>
            <w:tcBorders>
              <w:top w:val="single" w:sz="4" w:color="BFCBD9"/>
              <w:left w:val="single" w:sz="4" w:color="BFCBD9"/>
              <w:bottom w:val="single" w:sz="4" w:color="BFCBD9"/>
              <w:right w:val="single" w:sz="4" w:color="BFCBD9"/>
            </w:tcBorders>
            <w:vAlign w:val="center"/>
          </w:tcPr>
          <w:p>
            <w:r/>
            <w:r>
              <w:rPr>
                <w:b/>
                <w:color w:val="1F6F3D"/>
                <w:sz w:val="20"/>
              </w:rPr>
              <w:t>FULL FIT</w:t>
            </w:r>
          </w:p>
        </w:tc>
        <w:tc>
          <w:tcPr>
            <w:tcW w:type="dxa" w:w="4896"/>
            <w:tcBorders>
              <w:top w:val="single" w:sz="4" w:color="BFCBD9"/>
              <w:left w:val="single" w:sz="4" w:color="BFCBD9"/>
              <w:bottom w:val="single" w:sz="4" w:color="BFCBD9"/>
              <w:right w:val="single" w:sz="4" w:color="BFCBD9"/>
            </w:tcBorders>
            <w:vAlign w:val="center"/>
          </w:tcPr>
          <w:p>
            <w:r/>
            <w:r>
              <w:rPr>
                <w:color w:val="4A4A4A"/>
                <w:sz w:val="20"/>
              </w:rPr>
              <w:t>Multi-cloud, multi-region within each cloud. Active-active configuration supported.</w:t>
            </w:r>
          </w:p>
        </w:tc>
      </w:tr>
      <w:tr>
        <w:tc>
          <w:tcPr>
            <w:tcW w:type="dxa" w:w="33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EU data residency for EU customer data</w:t>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b/>
                <w:color w:val="1F6F3D"/>
                <w:sz w:val="20"/>
              </w:rPr>
              <w:t>FULL FIT</w:t>
            </w:r>
          </w:p>
        </w:tc>
        <w:tc>
          <w:tcPr>
            <w:tcW w:type="dxa" w:w="4896"/>
            <w:tcBorders>
              <w:top w:val="single" w:sz="4" w:color="BFCBD9"/>
              <w:left w:val="single" w:sz="4" w:color="BFCBD9"/>
              <w:bottom w:val="single" w:sz="4" w:color="BFCBD9"/>
              <w:right w:val="single" w:sz="4" w:color="BFCBD9"/>
            </w:tcBorders>
            <w:vAlign w:val="center"/>
            <w:shd w:val="clear" w:color="auto" w:fill="F4F7FB"/>
          </w:tcPr>
          <w:p>
            <w:r/>
            <w:r>
              <w:rPr>
                <w:color w:val="4A4A4A"/>
                <w:sz w:val="20"/>
              </w:rPr>
              <w:t>Per-table residency pinning, GDPR-aligned DPA available, row/column-level security, PII masking, audit logs to customer SIEM.</w:t>
            </w:r>
          </w:p>
        </w:tc>
      </w:tr>
      <w:tr>
        <w:tc>
          <w:tcPr>
            <w:tcW w:type="dxa" w:w="3312"/>
            <w:tcBorders>
              <w:top w:val="single" w:sz="4" w:color="BFCBD9"/>
              <w:left w:val="single" w:sz="4" w:color="BFCBD9"/>
              <w:bottom w:val="single" w:sz="4" w:color="BFCBD9"/>
              <w:right w:val="single" w:sz="4" w:color="BFCBD9"/>
            </w:tcBorders>
            <w:vAlign w:val="center"/>
          </w:tcPr>
          <w:p>
            <w:r/>
            <w:r>
              <w:rPr>
                <w:color w:val="4A4A4A"/>
                <w:sz w:val="20"/>
              </w:rPr>
              <w:t>Lakehouse architecture preferred</w:t>
            </w:r>
          </w:p>
        </w:tc>
        <w:tc>
          <w:tcPr>
            <w:tcW w:type="dxa" w:w="1296"/>
            <w:tcBorders>
              <w:top w:val="single" w:sz="4" w:color="BFCBD9"/>
              <w:left w:val="single" w:sz="4" w:color="BFCBD9"/>
              <w:bottom w:val="single" w:sz="4" w:color="BFCBD9"/>
              <w:right w:val="single" w:sz="4" w:color="BFCBD9"/>
            </w:tcBorders>
            <w:vAlign w:val="center"/>
          </w:tcPr>
          <w:p>
            <w:r/>
            <w:r>
              <w:rPr>
                <w:b/>
                <w:color w:val="1F6F3D"/>
                <w:sz w:val="20"/>
              </w:rPr>
              <w:t>FULL FIT</w:t>
            </w:r>
          </w:p>
        </w:tc>
        <w:tc>
          <w:tcPr>
            <w:tcW w:type="dxa" w:w="4896"/>
            <w:tcBorders>
              <w:top w:val="single" w:sz="4" w:color="BFCBD9"/>
              <w:left w:val="single" w:sz="4" w:color="BFCBD9"/>
              <w:bottom w:val="single" w:sz="4" w:color="BFCBD9"/>
              <w:right w:val="single" w:sz="4" w:color="BFCBD9"/>
            </w:tcBorders>
            <w:vAlign w:val="center"/>
          </w:tcPr>
          <w:p>
            <w:r/>
            <w:r>
              <w:rPr>
                <w:color w:val="4A4A4A"/>
                <w:sz w:val="20"/>
              </w:rPr>
              <w:t>Native lakehouse — core product architecture, not retrofit.</w:t>
            </w:r>
          </w:p>
        </w:tc>
      </w:tr>
      <w:tr>
        <w:tc>
          <w:tcPr>
            <w:tcW w:type="dxa" w:w="33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Open file formats: Parquet, Delta, Iceberg</w:t>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b/>
                <w:color w:val="1F6F3D"/>
                <w:sz w:val="20"/>
              </w:rPr>
              <w:t>FULL FIT</w:t>
            </w:r>
          </w:p>
        </w:tc>
        <w:tc>
          <w:tcPr>
            <w:tcW w:type="dxa" w:w="4896"/>
            <w:tcBorders>
              <w:top w:val="single" w:sz="4" w:color="BFCBD9"/>
              <w:left w:val="single" w:sz="4" w:color="BFCBD9"/>
              <w:bottom w:val="single" w:sz="4" w:color="BFCBD9"/>
              <w:right w:val="single" w:sz="4" w:color="BFCBD9"/>
            </w:tcBorders>
            <w:vAlign w:val="center"/>
            <w:shd w:val="clear" w:color="auto" w:fill="F4F7FB"/>
          </w:tcPr>
          <w:p>
            <w:r/>
            <w:r>
              <w:rPr>
                <w:color w:val="4A4A4A"/>
                <w:sz w:val="20"/>
              </w:rPr>
              <w:t>All three natively supported. Customer retains data ownership and portability.</w:t>
            </w:r>
          </w:p>
        </w:tc>
      </w:tr>
      <w:tr>
        <w:tc>
          <w:tcPr>
            <w:tcW w:type="dxa" w:w="3312"/>
            <w:tcBorders>
              <w:top w:val="single" w:sz="4" w:color="BFCBD9"/>
              <w:left w:val="single" w:sz="4" w:color="BFCBD9"/>
              <w:bottom w:val="single" w:sz="4" w:color="BFCBD9"/>
              <w:right w:val="single" w:sz="4" w:color="BFCBD9"/>
            </w:tcBorders>
            <w:vAlign w:val="center"/>
          </w:tcPr>
          <w:p>
            <w:r/>
            <w:r>
              <w:rPr>
                <w:color w:val="4A4A4A"/>
                <w:sz w:val="20"/>
              </w:rPr>
              <w:t>Microsoft / Azure primary cloud</w:t>
            </w:r>
          </w:p>
        </w:tc>
        <w:tc>
          <w:tcPr>
            <w:tcW w:type="dxa" w:w="1296"/>
            <w:tcBorders>
              <w:top w:val="single" w:sz="4" w:color="BFCBD9"/>
              <w:left w:val="single" w:sz="4" w:color="BFCBD9"/>
              <w:bottom w:val="single" w:sz="4" w:color="BFCBD9"/>
              <w:right w:val="single" w:sz="4" w:color="BFCBD9"/>
            </w:tcBorders>
            <w:vAlign w:val="center"/>
          </w:tcPr>
          <w:p>
            <w:r/>
            <w:r>
              <w:rPr>
                <w:b/>
                <w:color w:val="1F6F3D"/>
                <w:sz w:val="20"/>
              </w:rPr>
              <w:t>FULL FIT</w:t>
            </w:r>
          </w:p>
        </w:tc>
        <w:tc>
          <w:tcPr>
            <w:tcW w:type="dxa" w:w="4896"/>
            <w:tcBorders>
              <w:top w:val="single" w:sz="4" w:color="BFCBD9"/>
              <w:left w:val="single" w:sz="4" w:color="BFCBD9"/>
              <w:bottom w:val="single" w:sz="4" w:color="BFCBD9"/>
              <w:right w:val="single" w:sz="4" w:color="BFCBD9"/>
            </w:tcBorders>
            <w:vAlign w:val="center"/>
          </w:tcPr>
          <w:p>
            <w:r/>
            <w:r>
              <w:rPr>
                <w:color w:val="4A4A4A"/>
                <w:sz w:val="20"/>
              </w:rPr>
              <w:t>Azure Blob BYO storage; Power BI DirectQuery; Azure-native deployment pattern.</w:t>
            </w:r>
          </w:p>
        </w:tc>
      </w:tr>
      <w:tr>
        <w:tc>
          <w:tcPr>
            <w:tcW w:type="dxa" w:w="33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Teradata decommission through 2027</w:t>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b/>
                <w:color w:val="B07A1F"/>
                <w:sz w:val="20"/>
              </w:rPr>
              <w:t>PARTIAL FIT</w:t>
            </w:r>
          </w:p>
        </w:tc>
        <w:tc>
          <w:tcPr>
            <w:tcW w:type="dxa" w:w="4896"/>
            <w:tcBorders>
              <w:top w:val="single" w:sz="4" w:color="BFCBD9"/>
              <w:left w:val="single" w:sz="4" w:color="BFCBD9"/>
              <w:bottom w:val="single" w:sz="4" w:color="BFCBD9"/>
              <w:right w:val="single" w:sz="4" w:color="BFCBD9"/>
            </w:tcBorders>
            <w:vAlign w:val="center"/>
            <w:shd w:val="clear" w:color="auto" w:fill="F4F7FB"/>
          </w:tcPr>
          <w:p>
            <w:r/>
            <w:r>
              <w:rPr>
                <w:color w:val="4A4A4A"/>
                <w:sz w:val="20"/>
              </w:rPr>
              <w:t>16-week Teradata-class benchmark fits the timeline; 30+ sources adds complexity. We propose a phased migration plan (see §4) with a 90-day buffer before your hard deadline.</w:t>
            </w:r>
          </w:p>
        </w:tc>
      </w:tr>
      <w:tr>
        <w:tc>
          <w:tcPr>
            <w:tcW w:type="dxa" w:w="3312"/>
            <w:tcBorders>
              <w:top w:val="single" w:sz="4" w:color="BFCBD9"/>
              <w:left w:val="single" w:sz="4" w:color="BFCBD9"/>
              <w:bottom w:val="single" w:sz="4" w:color="BFCBD9"/>
              <w:right w:val="single" w:sz="4" w:color="BFCBD9"/>
            </w:tcBorders>
            <w:vAlign w:val="center"/>
          </w:tcPr>
          <w:p>
            <w:r/>
            <w:r>
              <w:rPr>
                <w:color w:val="4A4A4A"/>
                <w:sz w:val="20"/>
              </w:rPr>
              <w:t>99.99% monthly uptime</w:t>
            </w:r>
          </w:p>
        </w:tc>
        <w:tc>
          <w:tcPr>
            <w:tcW w:type="dxa" w:w="1296"/>
            <w:tcBorders>
              <w:top w:val="single" w:sz="4" w:color="BFCBD9"/>
              <w:left w:val="single" w:sz="4" w:color="BFCBD9"/>
              <w:bottom w:val="single" w:sz="4" w:color="BFCBD9"/>
              <w:right w:val="single" w:sz="4" w:color="BFCBD9"/>
            </w:tcBorders>
            <w:vAlign w:val="center"/>
          </w:tcPr>
          <w:p>
            <w:r/>
            <w:r>
              <w:rPr>
                <w:b/>
                <w:color w:val="B07A1F"/>
                <w:sz w:val="20"/>
              </w:rPr>
              <w:t>PARTIAL FIT</w:t>
            </w:r>
          </w:p>
        </w:tc>
        <w:tc>
          <w:tcPr>
            <w:tcW w:type="dxa" w:w="4896"/>
            <w:tcBorders>
              <w:top w:val="single" w:sz="4" w:color="BFCBD9"/>
              <w:left w:val="single" w:sz="4" w:color="BFCBD9"/>
              <w:bottom w:val="single" w:sz="4" w:color="BFCBD9"/>
              <w:right w:val="single" w:sz="4" w:color="BFCBD9"/>
            </w:tcBorders>
            <w:vAlign w:val="center"/>
          </w:tcPr>
          <w:p>
            <w:r/>
            <w:r>
              <w:rPr>
                <w:color w:val="4A4A4A"/>
                <w:sz w:val="20"/>
              </w:rPr>
              <w:t>Standard SLA is 99.95%. 99.99% Premium Availability tier offered as a priced line item — designed for the EU + US East active-active topology Acme already requires.</w:t>
            </w:r>
          </w:p>
        </w:tc>
      </w:tr>
    </w:tbl>
    <w:p>
      <w:pPr>
        <w:spacing w:after="40" w:line="300" w:lineRule="auto"/>
      </w:pPr>
      <w:r>
        <w:rPr>
          <w:b w:val="0"/>
          <w:i w:val="0"/>
          <w:color w:val="4A4A4A"/>
          <w:sz w:val="22"/>
        </w:rPr>
      </w:r>
    </w:p>
    <w:p>
      <w:pPr>
        <w:spacing w:after="200" w:line="300" w:lineRule="auto"/>
      </w:pPr>
      <w:r>
        <w:rPr>
          <w:b/>
          <w:i w:val="0"/>
          <w:color w:val="0B2C4D"/>
          <w:sz w:val="22"/>
        </w:rPr>
        <w:t xml:space="preserve">Overall fit: </w:t>
      </w:r>
      <w:r>
        <w:rPr>
          <w:b/>
          <w:i w:val="0"/>
          <w:color w:val="1F6F3D"/>
          <w:sz w:val="22"/>
        </w:rPr>
        <w:t>HIGH</w:t>
      </w:r>
      <w:r>
        <w:rPr>
          <w:b w:val="0"/>
          <w:i w:val="0"/>
          <w:color w:val="4A4A4A"/>
          <w:sz w:val="22"/>
        </w:rPr>
        <w:t>. No outright capability gaps. Two partial fits are both addressable: the SLA via our Premium Availability tier, and the migration via a phased plan documented in §4.</w:t>
      </w:r>
    </w:p>
    <w:p>
      <w:pPr>
        <w:spacing w:before="280" w:after="80"/>
      </w:pPr>
      <w:r>
        <w:rPr>
          <w:b/>
          <w:color w:val="0B2C4D"/>
          <w:sz w:val="28"/>
        </w:rPr>
        <w:t>3.2 Where we lead — three technical differentiators</w:t>
      </w:r>
    </w:p>
    <w:p>
      <w:pPr>
        <w:spacing w:before="200" w:after="40"/>
      </w:pPr>
      <w:r>
        <w:rPr>
          <w:b/>
          <w:color w:val="008C9E"/>
          <w:sz w:val="24"/>
        </w:rPr>
        <w:t>1. Power BI DirectQuery — mature, not bolted on</w:t>
      </w:r>
    </w:p>
    <w:p>
      <w:pPr>
        <w:spacing w:after="120" w:line="300" w:lineRule="auto"/>
      </w:pPr>
      <w:r>
        <w:rPr>
          <w:b w:val="0"/>
          <w:i w:val="0"/>
          <w:color w:val="4A4A4A"/>
          <w:sz w:val="22"/>
        </w:rPr>
        <w:t>Acme's 600 analysts use Power BI today. Our DirectQuery adapter is production-hardened and is our single most invested BI integration. Competitors require workarounds (Snowflake), premium SKUs (Fabric, where OneLake lock-in is a side effect), or significant customer-side engineering (Databricks). This is the lowest-friction path for your existing analyst base.</w:t>
      </w:r>
    </w:p>
    <w:p>
      <w:pPr>
        <w:spacing w:before="200" w:after="40"/>
      </w:pPr>
      <w:r>
        <w:rPr>
          <w:b/>
          <w:color w:val="008C9E"/>
          <w:sz w:val="24"/>
        </w:rPr>
        <w:t>2. Per-table EU residency on open formats, customer-owned storage</w:t>
      </w:r>
    </w:p>
    <w:p>
      <w:pPr>
        <w:spacing w:after="120" w:line="300" w:lineRule="auto"/>
      </w:pPr>
      <w:r>
        <w:rPr>
          <w:b w:val="0"/>
          <w:i w:val="0"/>
          <w:color w:val="4A4A4A"/>
          <w:sz w:val="22"/>
        </w:rPr>
        <w:t>We deliver per-table residency pinning on customer-owned Azure Blob, with data stored in Parquet, Delta, or Iceberg. Fabric stores data inside OneLake; Databricks multi-region residency requires significant custom configuration. With BTS-Synthetic, Acme retains data ownership, data portability, and regulatory defensibility for EU customer data in the same architecture.</w:t>
      </w:r>
    </w:p>
    <w:p>
      <w:pPr>
        <w:spacing w:before="200" w:after="40"/>
      </w:pPr>
      <w:r>
        <w:rPr>
          <w:b/>
          <w:color w:val="008C9E"/>
          <w:sz w:val="24"/>
        </w:rPr>
        <w:t>3. Streaming and batch on a single lakehouse engine</w:t>
      </w:r>
    </w:p>
    <w:p>
      <w:pPr>
        <w:spacing w:after="120" w:line="300" w:lineRule="auto"/>
      </w:pPr>
      <w:r>
        <w:rPr>
          <w:b w:val="0"/>
          <w:i w:val="0"/>
          <w:color w:val="4A4A4A"/>
          <w:sz w:val="22"/>
        </w:rPr>
        <w:t>Acme's estate spans 80K events/second IoT ingest and 30+ batch ETL sources. We run both natively on the same lakehouse — same governance, same catalog, same security model. Snowflake requires Snowpipe plus separate streaming tooling; Microsoft Fabric's real-time layer is materially less mature. The operational and licensing simplification is real and quantifiable.</w:t>
      </w:r>
    </w:p>
    <w:p>
      <w:pPr>
        <w:spacing w:before="280" w:after="80"/>
      </w:pPr>
      <w:r>
        <w:rPr>
          <w:b/>
          <w:color w:val="0B2C4D"/>
          <w:sz w:val="28"/>
        </w:rPr>
        <w:t>3.3 Honest disclosures — risks and how we will mitigate</w:t>
      </w:r>
    </w:p>
    <w:tbl>
      <w:tblPr>
        <w:tblW w:type="auto" w:w="0"/>
        <w:jc w:val="center"/>
        <w:tblLayout w:type="fixed"/>
        <w:tblLook w:firstColumn="1" w:firstRow="1" w:lastColumn="0" w:lastRow="0" w:noHBand="0" w:noVBand="1" w:val="04A0"/>
      </w:tblPr>
      <w:tblGrid>
        <w:gridCol w:w="4873"/>
        <w:gridCol w:w="4873"/>
      </w:tblGrid>
      <w:tr>
        <w:tc>
          <w:tcPr>
            <w:tcW w:type="dxa" w:w="3744"/>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Risk / weakness</w:t>
            </w:r>
          </w:p>
        </w:tc>
        <w:tc>
          <w:tcPr>
            <w:tcW w:type="dxa" w:w="5760"/>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Our mitigation</w:t>
            </w:r>
          </w:p>
        </w:tc>
      </w:tr>
      <w:tr>
        <w:tc>
          <w:tcPr>
            <w:tcW w:type="dxa" w:w="3744"/>
            <w:tcBorders>
              <w:top w:val="single" w:sz="4" w:color="BFCBD9"/>
              <w:left w:val="single" w:sz="4" w:color="BFCBD9"/>
              <w:bottom w:val="single" w:sz="4" w:color="BFCBD9"/>
              <w:right w:val="single" w:sz="4" w:color="BFCBD9"/>
            </w:tcBorders>
            <w:vAlign w:val="center"/>
          </w:tcPr>
          <w:p>
            <w:r/>
            <w:r>
              <w:rPr>
                <w:color w:val="4A4A4A"/>
                <w:sz w:val="20"/>
              </w:rPr>
              <w:t>99.99% SLA is a premium add-on, not standard</w:t>
            </w:r>
          </w:p>
        </w:tc>
        <w:tc>
          <w:tcPr>
            <w:tcW w:type="dxa" w:w="5760"/>
            <w:tcBorders>
              <w:top w:val="single" w:sz="4" w:color="BFCBD9"/>
              <w:left w:val="single" w:sz="4" w:color="BFCBD9"/>
              <w:bottom w:val="single" w:sz="4" w:color="BFCBD9"/>
              <w:right w:val="single" w:sz="4" w:color="BFCBD9"/>
            </w:tcBorders>
            <w:vAlign w:val="center"/>
          </w:tcPr>
          <w:p>
            <w:r/>
            <w:r>
              <w:rPr>
                <w:color w:val="4A4A4A"/>
                <w:sz w:val="20"/>
              </w:rPr>
              <w:t>Disclosed up-front in §5 commercial proposal as a priced line item ($100K/year). Premium Availability requires active-active multi-region, which Acme already requires for EU + US East. The architecture is not extra — only the contractual commitment is.</w:t>
            </w:r>
          </w:p>
        </w:tc>
      </w:tr>
      <w:tr>
        <w:tc>
          <w:tcPr>
            <w:tcW w:type="dxa" w:w="3744"/>
            <w:tcBorders>
              <w:top w:val="single" w:sz="4" w:color="BFCBD9"/>
              <w:left w:val="single" w:sz="4" w:color="BFCBD9"/>
              <w:bottom w:val="single" w:sz="4" w:color="BFCBD9"/>
              <w:right w:val="single" w:sz="4" w:color="BFCBD9"/>
            </w:tcBorders>
            <w:vAlign w:val="center"/>
            <w:shd w:val="clear" w:color="auto" w:fill="F4F7FB"/>
          </w:tcPr>
          <w:p>
            <w:r/>
            <w:r>
              <w:rPr>
                <w:color w:val="4A4A4A"/>
                <w:sz w:val="20"/>
              </w:rPr>
              <w:t>30+ source migration complexity</w:t>
            </w:r>
          </w:p>
        </w:tc>
        <w:tc>
          <w:tcPr>
            <w:tcW w:type="dxa" w:w="5760"/>
            <w:tcBorders>
              <w:top w:val="single" w:sz="4" w:color="BFCBD9"/>
              <w:left w:val="single" w:sz="4" w:color="BFCBD9"/>
              <w:bottom w:val="single" w:sz="4" w:color="BFCBD9"/>
              <w:right w:val="single" w:sz="4" w:color="BFCBD9"/>
            </w:tcBorders>
            <w:vAlign w:val="center"/>
            <w:shd w:val="clear" w:color="auto" w:fill="F4F7FB"/>
          </w:tcPr>
          <w:p>
            <w:r/>
            <w:r>
              <w:rPr>
                <w:color w:val="4A4A4A"/>
                <w:sz w:val="20"/>
              </w:rPr>
              <w:t>We do not commit to a hard cutover date in M0. Phased plan in §4 includes a dedicated discovery sprint (Weeks 1–4) before locking the migration schedule. M7 gate at 2027-10-01 builds a 90-day buffer to your end-2027 hard deadline.</w:t>
            </w:r>
          </w:p>
        </w:tc>
      </w:tr>
      <w:tr>
        <w:tc>
          <w:tcPr>
            <w:tcW w:type="dxa" w:w="3744"/>
            <w:tcBorders>
              <w:top w:val="single" w:sz="4" w:color="BFCBD9"/>
              <w:left w:val="single" w:sz="4" w:color="BFCBD9"/>
              <w:bottom w:val="single" w:sz="4" w:color="BFCBD9"/>
              <w:right w:val="single" w:sz="4" w:color="BFCBD9"/>
            </w:tcBorders>
            <w:vAlign w:val="center"/>
          </w:tcPr>
          <w:p>
            <w:r/>
            <w:r>
              <w:rPr>
                <w:color w:val="4A4A4A"/>
                <w:sz w:val="20"/>
              </w:rPr>
              <w:t>Sub-100ms streaming latency — unconfirmed scope</w:t>
            </w:r>
          </w:p>
        </w:tc>
        <w:tc>
          <w:tcPr>
            <w:tcW w:type="dxa" w:w="5760"/>
            <w:tcBorders>
              <w:top w:val="single" w:sz="4" w:color="BFCBD9"/>
              <w:left w:val="single" w:sz="4" w:color="BFCBD9"/>
              <w:bottom w:val="single" w:sz="4" w:color="BFCBD9"/>
              <w:right w:val="single" w:sz="4" w:color="BFCBD9"/>
            </w:tcBorders>
            <w:vAlign w:val="center"/>
          </w:tcPr>
          <w:p>
            <w:r/>
            <w:r>
              <w:rPr>
                <w:color w:val="4A4A4A"/>
                <w:sz w:val="20"/>
              </w:rPr>
              <w:t>Our streaming latency is ~250 ms – 1 s end-to-end. Acme's RFP does not specify a latency SLO, but the predictive maintenance use case can imply one. We have included this as a clarification question in §11. We will not over-commit before a written answer.</w:t>
            </w:r>
          </w:p>
        </w:tc>
      </w:tr>
    </w:tbl>
    <w:p>
      <w:r>
        <w:br w:type="page"/>
      </w:r>
    </w:p>
    <w:p>
      <w:pPr>
        <w:spacing w:before="360" w:after="120"/>
        <w:pBdr>
          <w:bottom w:val="single" w:sz="12" w:space="1" w:color="008C9E"/>
        </w:pBdr>
      </w:pPr>
      <w:r>
        <w:rPr>
          <w:rFonts w:ascii="Calibri" w:hAnsi="Calibri"/>
          <w:b/>
          <w:color w:val="0B2C4D"/>
          <w:sz w:val="40"/>
        </w:rPr>
        <w:t>4. Implementation Plan</w:t>
      </w:r>
    </w:p>
    <w:p>
      <w:pPr>
        <w:spacing w:after="120" w:line="300" w:lineRule="auto"/>
      </w:pPr>
      <w:r>
        <w:rPr>
          <w:b w:val="0"/>
          <w:i w:val="0"/>
          <w:color w:val="4A4A4A"/>
          <w:sz w:val="22"/>
        </w:rPr>
        <w:t xml:space="preserve">Assumed contract signature: </w:t>
      </w:r>
      <w:r>
        <w:rPr>
          <w:b/>
          <w:i w:val="0"/>
          <w:color w:val="0B2C4D"/>
          <w:sz w:val="22"/>
        </w:rPr>
        <w:t>2026-07-01</w:t>
      </w:r>
      <w:r>
        <w:rPr>
          <w:b w:val="0"/>
          <w:i w:val="0"/>
          <w:color w:val="4A4A4A"/>
          <w:sz w:val="22"/>
        </w:rPr>
        <w:t xml:space="preserve">. Teradata decommission deadline: </w:t>
      </w:r>
      <w:r>
        <w:rPr>
          <w:b/>
          <w:i w:val="0"/>
          <w:color w:val="0B2C4D"/>
          <w:sz w:val="22"/>
        </w:rPr>
        <w:t>2027-12-31</w:t>
      </w:r>
      <w:r>
        <w:rPr>
          <w:b w:val="0"/>
          <w:i w:val="0"/>
          <w:color w:val="4A4A4A"/>
          <w:sz w:val="22"/>
        </w:rPr>
        <w:t>. 18-month runway, against our 24-week benchmark for very large multi-region, multi-source migrations. Plan absorbs scope risk via a M7 read-only gate at 2027-10-01, leaving a 90-day buffer before Acme's hard cutover.</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576"/>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w:t>
            </w:r>
          </w:p>
        </w:tc>
        <w:tc>
          <w:tcPr>
            <w:tcW w:type="dxa" w:w="2448"/>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Milestone</w:t>
            </w:r>
          </w:p>
        </w:tc>
        <w:tc>
          <w:tcPr>
            <w:tcW w:type="dxa" w:w="2160"/>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Target</w:t>
            </w:r>
          </w:p>
        </w:tc>
        <w:tc>
          <w:tcPr>
            <w:tcW w:type="dxa" w:w="4320"/>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Outcome</w:t>
            </w:r>
          </w:p>
        </w:tc>
      </w:tr>
      <w:tr>
        <w:tc>
          <w:tcPr>
            <w:tcW w:type="dxa" w:w="576"/>
            <w:tcBorders>
              <w:top w:val="single" w:sz="4" w:color="BFCBD9"/>
              <w:left w:val="single" w:sz="4" w:color="BFCBD9"/>
              <w:bottom w:val="single" w:sz="4" w:color="BFCBD9"/>
              <w:right w:val="single" w:sz="4" w:color="BFCBD9"/>
            </w:tcBorders>
            <w:vAlign w:val="center"/>
          </w:tcPr>
          <w:p>
            <w:r/>
            <w:r>
              <w:rPr>
                <w:color w:val="4A4A4A"/>
                <w:sz w:val="20"/>
              </w:rPr>
              <w:t>M0</w:t>
            </w:r>
          </w:p>
        </w:tc>
        <w:tc>
          <w:tcPr>
            <w:tcW w:type="dxa" w:w="2448"/>
            <w:tcBorders>
              <w:top w:val="single" w:sz="4" w:color="BFCBD9"/>
              <w:left w:val="single" w:sz="4" w:color="BFCBD9"/>
              <w:bottom w:val="single" w:sz="4" w:color="BFCBD9"/>
              <w:right w:val="single" w:sz="4" w:color="BFCBD9"/>
            </w:tcBorders>
            <w:vAlign w:val="center"/>
          </w:tcPr>
          <w:p>
            <w:r/>
            <w:r>
              <w:rPr>
                <w:color w:val="4A4A4A"/>
                <w:sz w:val="20"/>
              </w:rPr>
              <w:t>Kickoff &amp; Discovery</w:t>
            </w:r>
          </w:p>
        </w:tc>
        <w:tc>
          <w:tcPr>
            <w:tcW w:type="dxa" w:w="2160"/>
            <w:tcBorders>
              <w:top w:val="single" w:sz="4" w:color="BFCBD9"/>
              <w:left w:val="single" w:sz="4" w:color="BFCBD9"/>
              <w:bottom w:val="single" w:sz="4" w:color="BFCBD9"/>
              <w:right w:val="single" w:sz="4" w:color="BFCBD9"/>
            </w:tcBorders>
            <w:vAlign w:val="center"/>
          </w:tcPr>
          <w:p>
            <w:r/>
            <w:r>
              <w:rPr>
                <w:color w:val="4A4A4A"/>
                <w:sz w:val="20"/>
              </w:rPr>
              <w:t>Weeks 1–4 — by 2026-07-29</w:t>
            </w:r>
          </w:p>
        </w:tc>
        <w:tc>
          <w:tcPr>
            <w:tcW w:type="dxa" w:w="4320"/>
            <w:tcBorders>
              <w:top w:val="single" w:sz="4" w:color="BFCBD9"/>
              <w:left w:val="single" w:sz="4" w:color="BFCBD9"/>
              <w:bottom w:val="single" w:sz="4" w:color="BFCBD9"/>
              <w:right w:val="single" w:sz="4" w:color="BFCBD9"/>
            </w:tcBorders>
            <w:vAlign w:val="center"/>
          </w:tcPr>
          <w:p>
            <w:r/>
            <w:r>
              <w:rPr>
                <w:color w:val="4A4A4A"/>
                <w:sz w:val="20"/>
              </w:rPr>
              <w:t>Source system inventory, EU residency config, Azure Blob provisioning, stakeholder alignment, locked migration schedule.</w:t>
            </w:r>
          </w:p>
        </w:tc>
      </w:tr>
      <w:tr>
        <w:tc>
          <w:tcPr>
            <w:tcW w:type="dxa" w:w="576"/>
            <w:tcBorders>
              <w:top w:val="single" w:sz="4" w:color="BFCBD9"/>
              <w:left w:val="single" w:sz="4" w:color="BFCBD9"/>
              <w:bottom w:val="single" w:sz="4" w:color="BFCBD9"/>
              <w:right w:val="single" w:sz="4" w:color="BFCBD9"/>
            </w:tcBorders>
            <w:vAlign w:val="center"/>
            <w:shd w:val="clear" w:color="auto" w:fill="F4F7FB"/>
          </w:tcPr>
          <w:p>
            <w:r/>
            <w:r>
              <w:rPr>
                <w:color w:val="4A4A4A"/>
                <w:sz w:val="20"/>
              </w:rPr>
              <w:t>M1</w:t>
            </w:r>
          </w:p>
        </w:tc>
        <w:tc>
          <w:tcPr>
            <w:tcW w:type="dxa" w:w="2448"/>
            <w:tcBorders>
              <w:top w:val="single" w:sz="4" w:color="BFCBD9"/>
              <w:left w:val="single" w:sz="4" w:color="BFCBD9"/>
              <w:bottom w:val="single" w:sz="4" w:color="BFCBD9"/>
              <w:right w:val="single" w:sz="4" w:color="BFCBD9"/>
            </w:tcBorders>
            <w:vAlign w:val="center"/>
            <w:shd w:val="clear" w:color="auto" w:fill="F4F7FB"/>
          </w:tcPr>
          <w:p>
            <w:r/>
            <w:r>
              <w:rPr>
                <w:color w:val="4A4A4A"/>
                <w:sz w:val="20"/>
              </w:rPr>
              <w:t>Foundation: Streaming + Core Lakehouse</w:t>
            </w:r>
          </w:p>
        </w:tc>
        <w:tc>
          <w:tcPr>
            <w:tcW w:type="dxa" w:w="2160"/>
            <w:tcBorders>
              <w:top w:val="single" w:sz="4" w:color="BFCBD9"/>
              <w:left w:val="single" w:sz="4" w:color="BFCBD9"/>
              <w:bottom w:val="single" w:sz="4" w:color="BFCBD9"/>
              <w:right w:val="single" w:sz="4" w:color="BFCBD9"/>
            </w:tcBorders>
            <w:vAlign w:val="center"/>
            <w:shd w:val="clear" w:color="auto" w:fill="F4F7FB"/>
          </w:tcPr>
          <w:p>
            <w:r/>
            <w:r>
              <w:rPr>
                <w:color w:val="4A4A4A"/>
                <w:sz w:val="20"/>
              </w:rPr>
              <w:t>Weeks 5–12 — by 2026-09-23</w:t>
            </w:r>
          </w:p>
        </w:tc>
        <w:tc>
          <w:tcPr>
            <w:tcW w:type="dxa" w:w="4320"/>
            <w:tcBorders>
              <w:top w:val="single" w:sz="4" w:color="BFCBD9"/>
              <w:left w:val="single" w:sz="4" w:color="BFCBD9"/>
              <w:bottom w:val="single" w:sz="4" w:color="BFCBD9"/>
              <w:right w:val="single" w:sz="4" w:color="BFCBD9"/>
            </w:tcBorders>
            <w:vAlign w:val="center"/>
            <w:shd w:val="clear" w:color="auto" w:fill="F4F7FB"/>
          </w:tcPr>
          <w:p>
            <w:r/>
            <w:r>
              <w:rPr>
                <w:color w:val="4A4A4A"/>
                <w:sz w:val="20"/>
              </w:rPr>
              <w:t>IoT ingest pipeline live (Kafka → lakehouse); EU/US East active-active enabled; 99.99% Premium Availability activated.</w:t>
            </w:r>
          </w:p>
        </w:tc>
      </w:tr>
      <w:tr>
        <w:tc>
          <w:tcPr>
            <w:tcW w:type="dxa" w:w="576"/>
            <w:tcBorders>
              <w:top w:val="single" w:sz="4" w:color="BFCBD9"/>
              <w:left w:val="single" w:sz="4" w:color="BFCBD9"/>
              <w:bottom w:val="single" w:sz="4" w:color="BFCBD9"/>
              <w:right w:val="single" w:sz="4" w:color="BFCBD9"/>
            </w:tcBorders>
            <w:vAlign w:val="center"/>
          </w:tcPr>
          <w:p>
            <w:r/>
            <w:r>
              <w:rPr>
                <w:color w:val="4A4A4A"/>
                <w:sz w:val="20"/>
              </w:rPr>
              <w:t>M2</w:t>
            </w:r>
          </w:p>
        </w:tc>
        <w:tc>
          <w:tcPr>
            <w:tcW w:type="dxa" w:w="2448"/>
            <w:tcBorders>
              <w:top w:val="single" w:sz="4" w:color="BFCBD9"/>
              <w:left w:val="single" w:sz="4" w:color="BFCBD9"/>
              <w:bottom w:val="single" w:sz="4" w:color="BFCBD9"/>
              <w:right w:val="single" w:sz="4" w:color="BFCBD9"/>
            </w:tcBorders>
            <w:vAlign w:val="center"/>
          </w:tcPr>
          <w:p>
            <w:r/>
            <w:r>
              <w:rPr>
                <w:color w:val="4A4A4A"/>
                <w:sz w:val="20"/>
              </w:rPr>
              <w:t>First Production Workload</w:t>
            </w:r>
          </w:p>
        </w:tc>
        <w:tc>
          <w:tcPr>
            <w:tcW w:type="dxa" w:w="2160"/>
            <w:tcBorders>
              <w:top w:val="single" w:sz="4" w:color="BFCBD9"/>
              <w:left w:val="single" w:sz="4" w:color="BFCBD9"/>
              <w:bottom w:val="single" w:sz="4" w:color="BFCBD9"/>
              <w:right w:val="single" w:sz="4" w:color="BFCBD9"/>
            </w:tcBorders>
            <w:vAlign w:val="center"/>
          </w:tcPr>
          <w:p>
            <w:r/>
            <w:r>
              <w:rPr>
                <w:color w:val="4A4A4A"/>
                <w:sz w:val="20"/>
              </w:rPr>
              <w:t>Week 8 — by 2026-08-26</w:t>
            </w:r>
          </w:p>
        </w:tc>
        <w:tc>
          <w:tcPr>
            <w:tcW w:type="dxa" w:w="4320"/>
            <w:tcBorders>
              <w:top w:val="single" w:sz="4" w:color="BFCBD9"/>
              <w:left w:val="single" w:sz="4" w:color="BFCBD9"/>
              <w:bottom w:val="single" w:sz="4" w:color="BFCBD9"/>
              <w:right w:val="single" w:sz="4" w:color="BFCBD9"/>
            </w:tcBorders>
            <w:vAlign w:val="center"/>
          </w:tcPr>
          <w:p>
            <w:r/>
            <w:r>
              <w:rPr>
                <w:color w:val="4A4A4A"/>
                <w:sz w:val="20"/>
              </w:rPr>
              <w:t>First Teradata workload migrated and dual-running; Power BI DirectQuery live for pilot analyst group.</w:t>
            </w:r>
          </w:p>
        </w:tc>
      </w:tr>
      <w:tr>
        <w:tc>
          <w:tcPr>
            <w:tcW w:type="dxa" w:w="576"/>
            <w:tcBorders>
              <w:top w:val="single" w:sz="4" w:color="BFCBD9"/>
              <w:left w:val="single" w:sz="4" w:color="BFCBD9"/>
              <w:bottom w:val="single" w:sz="4" w:color="BFCBD9"/>
              <w:right w:val="single" w:sz="4" w:color="BFCBD9"/>
            </w:tcBorders>
            <w:vAlign w:val="center"/>
            <w:shd w:val="clear" w:color="auto" w:fill="F4F7FB"/>
          </w:tcPr>
          <w:p>
            <w:r/>
            <w:r>
              <w:rPr>
                <w:color w:val="4A4A4A"/>
                <w:sz w:val="20"/>
              </w:rPr>
              <w:t>M3</w:t>
            </w:r>
          </w:p>
        </w:tc>
        <w:tc>
          <w:tcPr>
            <w:tcW w:type="dxa" w:w="2448"/>
            <w:tcBorders>
              <w:top w:val="single" w:sz="4" w:color="BFCBD9"/>
              <w:left w:val="single" w:sz="4" w:color="BFCBD9"/>
              <w:bottom w:val="single" w:sz="4" w:color="BFCBD9"/>
              <w:right w:val="single" w:sz="4" w:color="BFCBD9"/>
            </w:tcBorders>
            <w:vAlign w:val="center"/>
            <w:shd w:val="clear" w:color="auto" w:fill="F4F7FB"/>
          </w:tcPr>
          <w:p>
            <w:r/>
            <w:r>
              <w:rPr>
                <w:color w:val="4A4A4A"/>
                <w:sz w:val="20"/>
              </w:rPr>
              <w:t>Batch ETL Buildout</w:t>
            </w:r>
          </w:p>
        </w:tc>
        <w:tc>
          <w:tcPr>
            <w:tcW w:type="dxa" w:w="2160"/>
            <w:tcBorders>
              <w:top w:val="single" w:sz="4" w:color="BFCBD9"/>
              <w:left w:val="single" w:sz="4" w:color="BFCBD9"/>
              <w:bottom w:val="single" w:sz="4" w:color="BFCBD9"/>
              <w:right w:val="single" w:sz="4" w:color="BFCBD9"/>
            </w:tcBorders>
            <w:vAlign w:val="center"/>
            <w:shd w:val="clear" w:color="auto" w:fill="F4F7FB"/>
          </w:tcPr>
          <w:p>
            <w:r/>
            <w:r>
              <w:rPr>
                <w:color w:val="4A4A4A"/>
                <w:sz w:val="20"/>
              </w:rPr>
              <w:t>Weeks 13–24 — by 2026-12-23</w:t>
            </w:r>
          </w:p>
        </w:tc>
        <w:tc>
          <w:tcPr>
            <w:tcW w:type="dxa" w:w="4320"/>
            <w:tcBorders>
              <w:top w:val="single" w:sz="4" w:color="BFCBD9"/>
              <w:left w:val="single" w:sz="4" w:color="BFCBD9"/>
              <w:bottom w:val="single" w:sz="4" w:color="BFCBD9"/>
              <w:right w:val="single" w:sz="4" w:color="BFCBD9"/>
            </w:tcBorders>
            <w:vAlign w:val="center"/>
            <w:shd w:val="clear" w:color="auto" w:fill="F4F7FB"/>
          </w:tcPr>
          <w:p>
            <w:r/>
            <w:r>
              <w:rPr>
                <w:color w:val="4A4A4A"/>
                <w:sz w:val="20"/>
              </w:rPr>
              <w:t>30+ source connectors configured; CDC pipelines in production; data-quality validation against Teradata.</w:t>
            </w:r>
          </w:p>
        </w:tc>
      </w:tr>
      <w:tr>
        <w:tc>
          <w:tcPr>
            <w:tcW w:type="dxa" w:w="576"/>
            <w:tcBorders>
              <w:top w:val="single" w:sz="4" w:color="BFCBD9"/>
              <w:left w:val="single" w:sz="4" w:color="BFCBD9"/>
              <w:bottom w:val="single" w:sz="4" w:color="BFCBD9"/>
              <w:right w:val="single" w:sz="4" w:color="BFCBD9"/>
            </w:tcBorders>
            <w:vAlign w:val="center"/>
          </w:tcPr>
          <w:p>
            <w:r/>
            <w:r>
              <w:rPr>
                <w:color w:val="4A4A4A"/>
                <w:sz w:val="20"/>
              </w:rPr>
              <w:t>M4</w:t>
            </w:r>
          </w:p>
        </w:tc>
        <w:tc>
          <w:tcPr>
            <w:tcW w:type="dxa" w:w="2448"/>
            <w:tcBorders>
              <w:top w:val="single" w:sz="4" w:color="BFCBD9"/>
              <w:left w:val="single" w:sz="4" w:color="BFCBD9"/>
              <w:bottom w:val="single" w:sz="4" w:color="BFCBD9"/>
              <w:right w:val="single" w:sz="4" w:color="BFCBD9"/>
            </w:tcBorders>
            <w:vAlign w:val="center"/>
          </w:tcPr>
          <w:p>
            <w:r/>
            <w:r>
              <w:rPr>
                <w:color w:val="4A4A4A"/>
                <w:sz w:val="20"/>
              </w:rPr>
              <w:t>Full Teradata Parity</w:t>
            </w:r>
          </w:p>
        </w:tc>
        <w:tc>
          <w:tcPr>
            <w:tcW w:type="dxa" w:w="2160"/>
            <w:tcBorders>
              <w:top w:val="single" w:sz="4" w:color="BFCBD9"/>
              <w:left w:val="single" w:sz="4" w:color="BFCBD9"/>
              <w:bottom w:val="single" w:sz="4" w:color="BFCBD9"/>
              <w:right w:val="single" w:sz="4" w:color="BFCBD9"/>
            </w:tcBorders>
            <w:vAlign w:val="center"/>
          </w:tcPr>
          <w:p>
            <w:r/>
            <w:r>
              <w:rPr>
                <w:color w:val="4A4A4A"/>
                <w:sz w:val="20"/>
              </w:rPr>
              <w:t>Weeks 17–32 — by 2027-02-17</w:t>
            </w:r>
          </w:p>
        </w:tc>
        <w:tc>
          <w:tcPr>
            <w:tcW w:type="dxa" w:w="4320"/>
            <w:tcBorders>
              <w:top w:val="single" w:sz="4" w:color="BFCBD9"/>
              <w:left w:val="single" w:sz="4" w:color="BFCBD9"/>
              <w:bottom w:val="single" w:sz="4" w:color="BFCBD9"/>
              <w:right w:val="single" w:sz="4" w:color="BFCBD9"/>
            </w:tcBorders>
            <w:vAlign w:val="center"/>
          </w:tcPr>
          <w:p>
            <w:r/>
            <w:r>
              <w:rPr>
                <w:color w:val="4A4A4A"/>
                <w:sz w:val="20"/>
              </w:rPr>
              <w:t>All Teradata workloads replicated and validated; dual-run period begins.</w:t>
            </w:r>
          </w:p>
        </w:tc>
      </w:tr>
      <w:tr>
        <w:tc>
          <w:tcPr>
            <w:tcW w:type="dxa" w:w="576"/>
            <w:tcBorders>
              <w:top w:val="single" w:sz="4" w:color="BFCBD9"/>
              <w:left w:val="single" w:sz="4" w:color="BFCBD9"/>
              <w:bottom w:val="single" w:sz="4" w:color="BFCBD9"/>
              <w:right w:val="single" w:sz="4" w:color="BFCBD9"/>
            </w:tcBorders>
            <w:vAlign w:val="center"/>
            <w:shd w:val="clear" w:color="auto" w:fill="F4F7FB"/>
          </w:tcPr>
          <w:p>
            <w:r/>
            <w:r>
              <w:rPr>
                <w:color w:val="4A4A4A"/>
                <w:sz w:val="20"/>
              </w:rPr>
              <w:t>M5</w:t>
            </w:r>
          </w:p>
        </w:tc>
        <w:tc>
          <w:tcPr>
            <w:tcW w:type="dxa" w:w="2448"/>
            <w:tcBorders>
              <w:top w:val="single" w:sz="4" w:color="BFCBD9"/>
              <w:left w:val="single" w:sz="4" w:color="BFCBD9"/>
              <w:bottom w:val="single" w:sz="4" w:color="BFCBD9"/>
              <w:right w:val="single" w:sz="4" w:color="BFCBD9"/>
            </w:tcBorders>
            <w:vAlign w:val="center"/>
            <w:shd w:val="clear" w:color="auto" w:fill="F4F7FB"/>
          </w:tcPr>
          <w:p>
            <w:r/>
            <w:r>
              <w:rPr>
                <w:color w:val="4A4A4A"/>
                <w:sz w:val="20"/>
              </w:rPr>
              <w:t>Analyst Rollout (600 users)</w:t>
            </w:r>
          </w:p>
        </w:tc>
        <w:tc>
          <w:tcPr>
            <w:tcW w:type="dxa" w:w="2160"/>
            <w:tcBorders>
              <w:top w:val="single" w:sz="4" w:color="BFCBD9"/>
              <w:left w:val="single" w:sz="4" w:color="BFCBD9"/>
              <w:bottom w:val="single" w:sz="4" w:color="BFCBD9"/>
              <w:right w:val="single" w:sz="4" w:color="BFCBD9"/>
            </w:tcBorders>
            <w:vAlign w:val="center"/>
            <w:shd w:val="clear" w:color="auto" w:fill="F4F7FB"/>
          </w:tcPr>
          <w:p>
            <w:r/>
            <w:r>
              <w:rPr>
                <w:color w:val="4A4A4A"/>
                <w:sz w:val="20"/>
              </w:rPr>
              <w:t>Weeks 25–36 — by 2027-04-01</w:t>
            </w:r>
          </w:p>
        </w:tc>
        <w:tc>
          <w:tcPr>
            <w:tcW w:type="dxa" w:w="4320"/>
            <w:tcBorders>
              <w:top w:val="single" w:sz="4" w:color="BFCBD9"/>
              <w:left w:val="single" w:sz="4" w:color="BFCBD9"/>
              <w:bottom w:val="single" w:sz="4" w:color="BFCBD9"/>
              <w:right w:val="single" w:sz="4" w:color="BFCBD9"/>
            </w:tcBorders>
            <w:vAlign w:val="center"/>
            <w:shd w:val="clear" w:color="auto" w:fill="F4F7FB"/>
          </w:tcPr>
          <w:p>
            <w:r/>
            <w:r>
              <w:rPr>
                <w:color w:val="4A4A4A"/>
                <w:sz w:val="20"/>
              </w:rPr>
              <w:t>Power BI semantic layer finalised; self-service prep onboarded for 150 data engineers.</w:t>
            </w:r>
          </w:p>
        </w:tc>
      </w:tr>
      <w:tr>
        <w:tc>
          <w:tcPr>
            <w:tcW w:type="dxa" w:w="576"/>
            <w:tcBorders>
              <w:top w:val="single" w:sz="4" w:color="BFCBD9"/>
              <w:left w:val="single" w:sz="4" w:color="BFCBD9"/>
              <w:bottom w:val="single" w:sz="4" w:color="BFCBD9"/>
              <w:right w:val="single" w:sz="4" w:color="BFCBD9"/>
            </w:tcBorders>
            <w:vAlign w:val="center"/>
          </w:tcPr>
          <w:p>
            <w:r/>
            <w:r>
              <w:rPr>
                <w:color w:val="4A4A4A"/>
                <w:sz w:val="20"/>
              </w:rPr>
              <w:t>M6</w:t>
            </w:r>
          </w:p>
        </w:tc>
        <w:tc>
          <w:tcPr>
            <w:tcW w:type="dxa" w:w="2448"/>
            <w:tcBorders>
              <w:top w:val="single" w:sz="4" w:color="BFCBD9"/>
              <w:left w:val="single" w:sz="4" w:color="BFCBD9"/>
              <w:bottom w:val="single" w:sz="4" w:color="BFCBD9"/>
              <w:right w:val="single" w:sz="4" w:color="BFCBD9"/>
            </w:tcBorders>
            <w:vAlign w:val="center"/>
          </w:tcPr>
          <w:p>
            <w:r/>
            <w:r>
              <w:rPr>
                <w:color w:val="4A4A4A"/>
                <w:sz w:val="20"/>
              </w:rPr>
              <w:t>ML Pipeline Foundation</w:t>
            </w:r>
          </w:p>
        </w:tc>
        <w:tc>
          <w:tcPr>
            <w:tcW w:type="dxa" w:w="2160"/>
            <w:tcBorders>
              <w:top w:val="single" w:sz="4" w:color="BFCBD9"/>
              <w:left w:val="single" w:sz="4" w:color="BFCBD9"/>
              <w:bottom w:val="single" w:sz="4" w:color="BFCBD9"/>
              <w:right w:val="single" w:sz="4" w:color="BFCBD9"/>
            </w:tcBorders>
            <w:vAlign w:val="center"/>
          </w:tcPr>
          <w:p>
            <w:r/>
            <w:r>
              <w:rPr>
                <w:color w:val="4A4A4A"/>
                <w:sz w:val="20"/>
              </w:rPr>
              <w:t>Weeks 33–44 — by 2027-06-01</w:t>
            </w:r>
          </w:p>
        </w:tc>
        <w:tc>
          <w:tcPr>
            <w:tcW w:type="dxa" w:w="4320"/>
            <w:tcBorders>
              <w:top w:val="single" w:sz="4" w:color="BFCBD9"/>
              <w:left w:val="single" w:sz="4" w:color="BFCBD9"/>
              <w:bottom w:val="single" w:sz="4" w:color="BFCBD9"/>
              <w:right w:val="single" w:sz="4" w:color="BFCBD9"/>
            </w:tcBorders>
            <w:vAlign w:val="center"/>
          </w:tcPr>
          <w:p>
            <w:r/>
            <w:r>
              <w:rPr>
                <w:color w:val="4A4A4A"/>
                <w:sz w:val="20"/>
              </w:rPr>
              <w:t>Feature store populated; model registry configured for predictive maintenance phase.</w:t>
            </w:r>
          </w:p>
        </w:tc>
      </w:tr>
      <w:tr>
        <w:tc>
          <w:tcPr>
            <w:tcW w:type="dxa" w:w="576"/>
            <w:tcBorders>
              <w:top w:val="single" w:sz="4" w:color="BFCBD9"/>
              <w:left w:val="single" w:sz="4" w:color="BFCBD9"/>
              <w:bottom w:val="single" w:sz="4" w:color="BFCBD9"/>
              <w:right w:val="single" w:sz="4" w:color="BFCBD9"/>
            </w:tcBorders>
            <w:vAlign w:val="center"/>
            <w:shd w:val="clear" w:color="auto" w:fill="F4F7FB"/>
          </w:tcPr>
          <w:p>
            <w:r/>
            <w:r>
              <w:rPr>
                <w:color w:val="4A4A4A"/>
                <w:sz w:val="20"/>
              </w:rPr>
              <w:t>M7</w:t>
            </w:r>
          </w:p>
        </w:tc>
        <w:tc>
          <w:tcPr>
            <w:tcW w:type="dxa" w:w="2448"/>
            <w:tcBorders>
              <w:top w:val="single" w:sz="4" w:color="BFCBD9"/>
              <w:left w:val="single" w:sz="4" w:color="BFCBD9"/>
              <w:bottom w:val="single" w:sz="4" w:color="BFCBD9"/>
              <w:right w:val="single" w:sz="4" w:color="BFCBD9"/>
            </w:tcBorders>
            <w:vAlign w:val="center"/>
            <w:shd w:val="clear" w:color="auto" w:fill="F4F7FB"/>
          </w:tcPr>
          <w:p>
            <w:r/>
            <w:r>
              <w:rPr>
                <w:color w:val="4A4A4A"/>
                <w:sz w:val="20"/>
              </w:rPr>
              <w:t>Teradata Decommission Gate</w:t>
            </w:r>
          </w:p>
        </w:tc>
        <w:tc>
          <w:tcPr>
            <w:tcW w:type="dxa" w:w="2160"/>
            <w:tcBorders>
              <w:top w:val="single" w:sz="4" w:color="BFCBD9"/>
              <w:left w:val="single" w:sz="4" w:color="BFCBD9"/>
              <w:bottom w:val="single" w:sz="4" w:color="BFCBD9"/>
              <w:right w:val="single" w:sz="4" w:color="BFCBD9"/>
            </w:tcBorders>
            <w:vAlign w:val="center"/>
            <w:shd w:val="clear" w:color="auto" w:fill="F4F7FB"/>
          </w:tcPr>
          <w:p>
            <w:r/>
            <w:r>
              <w:rPr>
                <w:color w:val="4A4A4A"/>
                <w:sz w:val="20"/>
              </w:rPr>
              <w:t>By 2027-10-01</w:t>
            </w:r>
          </w:p>
        </w:tc>
        <w:tc>
          <w:tcPr>
            <w:tcW w:type="dxa" w:w="4320"/>
            <w:tcBorders>
              <w:top w:val="single" w:sz="4" w:color="BFCBD9"/>
              <w:left w:val="single" w:sz="4" w:color="BFCBD9"/>
              <w:bottom w:val="single" w:sz="4" w:color="BFCBD9"/>
              <w:right w:val="single" w:sz="4" w:color="BFCBD9"/>
            </w:tcBorders>
            <w:vAlign w:val="center"/>
            <w:shd w:val="clear" w:color="auto" w:fill="F4F7FB"/>
          </w:tcPr>
          <w:p>
            <w:r/>
            <w:r>
              <w:rPr>
                <w:color w:val="4A4A4A"/>
                <w:sz w:val="20"/>
              </w:rPr>
              <w:t>All workloads validated in production; Teradata switched to read-only; 90-day buffer to hard deadline.</w:t>
            </w:r>
          </w:p>
        </w:tc>
      </w:tr>
      <w:tr>
        <w:tc>
          <w:tcPr>
            <w:tcW w:type="dxa" w:w="576"/>
            <w:tcBorders>
              <w:top w:val="single" w:sz="4" w:color="BFCBD9"/>
              <w:left w:val="single" w:sz="4" w:color="BFCBD9"/>
              <w:bottom w:val="single" w:sz="4" w:color="BFCBD9"/>
              <w:right w:val="single" w:sz="4" w:color="BFCBD9"/>
            </w:tcBorders>
            <w:vAlign w:val="center"/>
          </w:tcPr>
          <w:p>
            <w:r/>
            <w:r>
              <w:rPr>
                <w:color w:val="4A4A4A"/>
                <w:sz w:val="20"/>
              </w:rPr>
              <w:t>M8</w:t>
            </w:r>
          </w:p>
        </w:tc>
        <w:tc>
          <w:tcPr>
            <w:tcW w:type="dxa" w:w="2448"/>
            <w:tcBorders>
              <w:top w:val="single" w:sz="4" w:color="BFCBD9"/>
              <w:left w:val="single" w:sz="4" w:color="BFCBD9"/>
              <w:bottom w:val="single" w:sz="4" w:color="BFCBD9"/>
              <w:right w:val="single" w:sz="4" w:color="BFCBD9"/>
            </w:tcBorders>
            <w:vAlign w:val="center"/>
          </w:tcPr>
          <w:p>
            <w:r/>
            <w:r>
              <w:rPr>
                <w:color w:val="4A4A4A"/>
                <w:sz w:val="20"/>
              </w:rPr>
              <w:t>Teradata Dark</w:t>
            </w:r>
          </w:p>
        </w:tc>
        <w:tc>
          <w:tcPr>
            <w:tcW w:type="dxa" w:w="2160"/>
            <w:tcBorders>
              <w:top w:val="single" w:sz="4" w:color="BFCBD9"/>
              <w:left w:val="single" w:sz="4" w:color="BFCBD9"/>
              <w:bottom w:val="single" w:sz="4" w:color="BFCBD9"/>
              <w:right w:val="single" w:sz="4" w:color="BFCBD9"/>
            </w:tcBorders>
            <w:vAlign w:val="center"/>
          </w:tcPr>
          <w:p>
            <w:r/>
            <w:r>
              <w:rPr>
                <w:color w:val="4A4A4A"/>
                <w:sz w:val="20"/>
              </w:rPr>
              <w:t>By 2027-12-31</w:t>
            </w:r>
          </w:p>
        </w:tc>
        <w:tc>
          <w:tcPr>
            <w:tcW w:type="dxa" w:w="4320"/>
            <w:tcBorders>
              <w:top w:val="single" w:sz="4" w:color="BFCBD9"/>
              <w:left w:val="single" w:sz="4" w:color="BFCBD9"/>
              <w:bottom w:val="single" w:sz="4" w:color="BFCBD9"/>
              <w:right w:val="single" w:sz="4" w:color="BFCBD9"/>
            </w:tcBorders>
            <w:vAlign w:val="center"/>
          </w:tcPr>
          <w:p>
            <w:r/>
            <w:r>
              <w:rPr>
                <w:color w:val="4A4A4A"/>
                <w:sz w:val="20"/>
              </w:rPr>
              <w:t>Decommission complete on Acme's timeline; 3-month buffer absorbed by M7.</w:t>
            </w:r>
          </w:p>
        </w:tc>
      </w:tr>
    </w:tbl>
    <w:p>
      <w:pPr>
        <w:spacing w:after="40" w:line="300" w:lineRule="auto"/>
      </w:pPr>
      <w:r>
        <w:rPr>
          <w:b w:val="0"/>
          <w:i w:val="0"/>
          <w:color w:val="4A4A4A"/>
          <w:sz w:val="22"/>
        </w:rPr>
      </w:r>
    </w:p>
    <w:p>
      <w:pPr>
        <w:spacing w:after="120" w:line="300" w:lineRule="auto"/>
      </w:pPr>
      <w:r>
        <w:rPr>
          <w:b/>
          <w:i w:val="0"/>
          <w:color w:val="0B2C4D"/>
          <w:sz w:val="22"/>
        </w:rPr>
        <w:t xml:space="preserve">Critical-path note: </w:t>
      </w:r>
      <w:r>
        <w:rPr>
          <w:b w:val="0"/>
          <w:i w:val="0"/>
          <w:color w:val="4A4A4A"/>
          <w:sz w:val="22"/>
        </w:rPr>
        <w:t>M0 source-system discovery is the schedule-defining sprint. We will not commit a final M3 batch ETL plan until M0 output is signed off by Acme's Chief Data Officer. This protects both parties against undiscovered legacy ETL debt.</w:t>
      </w:r>
    </w:p>
    <w:p>
      <w:r>
        <w:br w:type="page"/>
      </w:r>
    </w:p>
    <w:p>
      <w:pPr>
        <w:spacing w:before="360" w:after="120"/>
        <w:pBdr>
          <w:bottom w:val="single" w:sz="12" w:space="1" w:color="008C9E"/>
        </w:pBdr>
      </w:pPr>
      <w:r>
        <w:rPr>
          <w:rFonts w:ascii="Calibri" w:hAnsi="Calibri"/>
          <w:b/>
          <w:color w:val="0B2C4D"/>
          <w:sz w:val="40"/>
        </w:rPr>
        <w:t>5. Commercial Proposal — 5-Year Pricing</w:t>
      </w:r>
    </w:p>
    <w:p>
      <w:pPr>
        <w:spacing w:before="280" w:after="80"/>
      </w:pPr>
      <w:r>
        <w:rPr>
          <w:b/>
          <w:color w:val="0B2C4D"/>
          <w:sz w:val="28"/>
        </w:rPr>
        <w:t>5.1 Headline</w:t>
      </w:r>
    </w:p>
    <w:p>
      <w:pPr>
        <w:spacing w:after="120" w:line="300" w:lineRule="auto"/>
      </w:pPr>
      <w:r>
        <w:rPr>
          <w:b w:val="0"/>
          <w:i w:val="0"/>
          <w:color w:val="4A4A4A"/>
          <w:sz w:val="22"/>
        </w:rPr>
        <w:t xml:space="preserve">Year 1 ACV: </w:t>
      </w:r>
      <w:r>
        <w:rPr>
          <w:b/>
          <w:i w:val="0"/>
          <w:color w:val="0B2C4D"/>
          <w:sz w:val="22"/>
        </w:rPr>
        <w:t>$693,000 net</w:t>
      </w:r>
      <w:r>
        <w:rPr>
          <w:b w:val="0"/>
          <w:i w:val="0"/>
          <w:color w:val="4A4A4A"/>
          <w:sz w:val="22"/>
        </w:rPr>
        <w:t xml:space="preserve"> (23% off $900,000 list). 3-year committed initial term at flat 23% discount with CPI+2% escalator (capped at 5%) in Years 2 and 3. 2-year renewal at standard band (20%) on a re-set list.</w:t>
      </w:r>
    </w:p>
    <w:p>
      <w:pPr>
        <w:spacing w:before="280" w:after="80"/>
      </w:pPr>
      <w:r>
        <w:rPr>
          <w:b/>
          <w:color w:val="0B2C4D"/>
          <w:sz w:val="28"/>
        </w:rPr>
        <w:t>5.2 5-year pricing table — platform subscription</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1584"/>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Year</w:t>
            </w:r>
          </w:p>
        </w:tc>
        <w:tc>
          <w:tcPr>
            <w:tcW w:type="dxa" w:w="2016"/>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Period</w:t>
            </w:r>
          </w:p>
        </w:tc>
        <w:tc>
          <w:tcPr>
            <w:tcW w:type="dxa" w:w="1296"/>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List ACV</w:t>
            </w:r>
          </w:p>
        </w:tc>
        <w:tc>
          <w:tcPr>
            <w:tcW w:type="dxa" w:w="1152"/>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Discount</w:t>
            </w:r>
          </w:p>
        </w:tc>
        <w:tc>
          <w:tcPr>
            <w:tcW w:type="dxa" w:w="2160"/>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Escalator</w:t>
            </w:r>
          </w:p>
        </w:tc>
        <w:tc>
          <w:tcPr>
            <w:tcW w:type="dxa" w:w="1440"/>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Net ACV</w:t>
            </w:r>
          </w:p>
        </w:tc>
      </w:tr>
      <w:tr>
        <w:tc>
          <w:tcPr>
            <w:tcW w:type="dxa" w:w="1584"/>
            <w:tcBorders>
              <w:top w:val="single" w:sz="4" w:color="BFCBD9"/>
              <w:left w:val="single" w:sz="4" w:color="BFCBD9"/>
              <w:bottom w:val="single" w:sz="4" w:color="BFCBD9"/>
              <w:right w:val="single" w:sz="4" w:color="BFCBD9"/>
            </w:tcBorders>
            <w:vAlign w:val="center"/>
          </w:tcPr>
          <w:p>
            <w:r/>
            <w:r>
              <w:rPr>
                <w:color w:val="4A4A4A"/>
                <w:sz w:val="20"/>
              </w:rPr>
              <w:t>Year 1</w:t>
            </w:r>
          </w:p>
        </w:tc>
        <w:tc>
          <w:tcPr>
            <w:tcW w:type="dxa" w:w="2016"/>
            <w:tcBorders>
              <w:top w:val="single" w:sz="4" w:color="BFCBD9"/>
              <w:left w:val="single" w:sz="4" w:color="BFCBD9"/>
              <w:bottom w:val="single" w:sz="4" w:color="BFCBD9"/>
              <w:right w:val="single" w:sz="4" w:color="BFCBD9"/>
            </w:tcBorders>
            <w:vAlign w:val="center"/>
          </w:tcPr>
          <w:p>
            <w:r/>
            <w:r>
              <w:rPr>
                <w:color w:val="4A4A4A"/>
                <w:sz w:val="20"/>
              </w:rPr>
              <w:t>2026-07 → 2027-06</w:t>
            </w:r>
          </w:p>
        </w:tc>
        <w:tc>
          <w:tcPr>
            <w:tcW w:type="dxa" w:w="1296"/>
            <w:tcBorders>
              <w:top w:val="single" w:sz="4" w:color="BFCBD9"/>
              <w:left w:val="single" w:sz="4" w:color="BFCBD9"/>
              <w:bottom w:val="single" w:sz="4" w:color="BFCBD9"/>
              <w:right w:val="single" w:sz="4" w:color="BFCBD9"/>
            </w:tcBorders>
            <w:vAlign w:val="center"/>
          </w:tcPr>
          <w:p>
            <w:r/>
            <w:r>
              <w:rPr>
                <w:color w:val="4A4A4A"/>
                <w:sz w:val="20"/>
              </w:rPr>
              <w:t>$900,000</w:t>
            </w:r>
          </w:p>
        </w:tc>
        <w:tc>
          <w:tcPr>
            <w:tcW w:type="dxa" w:w="1152"/>
            <w:tcBorders>
              <w:top w:val="single" w:sz="4" w:color="BFCBD9"/>
              <w:left w:val="single" w:sz="4" w:color="BFCBD9"/>
              <w:bottom w:val="single" w:sz="4" w:color="BFCBD9"/>
              <w:right w:val="single" w:sz="4" w:color="BFCBD9"/>
            </w:tcBorders>
            <w:vAlign w:val="center"/>
          </w:tcPr>
          <w:p>
            <w:r/>
            <w:r>
              <w:rPr>
                <w:color w:val="4A4A4A"/>
                <w:sz w:val="20"/>
              </w:rPr>
              <w:t>23%</w:t>
            </w:r>
          </w:p>
        </w:tc>
        <w:tc>
          <w:tcPr>
            <w:tcW w:type="dxa" w:w="2160"/>
            <w:tcBorders>
              <w:top w:val="single" w:sz="4" w:color="BFCBD9"/>
              <w:left w:val="single" w:sz="4" w:color="BFCBD9"/>
              <w:bottom w:val="single" w:sz="4" w:color="BFCBD9"/>
              <w:right w:val="single" w:sz="4" w:color="BFCBD9"/>
            </w:tcBorders>
            <w:vAlign w:val="center"/>
          </w:tcPr>
          <w:p>
            <w:r/>
            <w:r>
              <w:rPr>
                <w:color w:val="4A4A4A"/>
                <w:sz w:val="20"/>
              </w:rPr>
              <w:t>—</w:t>
            </w:r>
          </w:p>
        </w:tc>
        <w:tc>
          <w:tcPr>
            <w:tcW w:type="dxa" w:w="1440"/>
            <w:tcBorders>
              <w:top w:val="single" w:sz="4" w:color="BFCBD9"/>
              <w:left w:val="single" w:sz="4" w:color="BFCBD9"/>
              <w:bottom w:val="single" w:sz="4" w:color="BFCBD9"/>
              <w:right w:val="single" w:sz="4" w:color="BFCBD9"/>
            </w:tcBorders>
            <w:vAlign w:val="center"/>
          </w:tcPr>
          <w:p>
            <w:r/>
            <w:r>
              <w:rPr>
                <w:color w:val="4A4A4A"/>
                <w:sz w:val="20"/>
              </w:rPr>
              <w:t>$693,000</w:t>
            </w:r>
          </w:p>
        </w:tc>
      </w:tr>
      <w:tr>
        <w:tc>
          <w:tcPr>
            <w:tcW w:type="dxa" w:w="1584"/>
            <w:tcBorders>
              <w:top w:val="single" w:sz="4" w:color="BFCBD9"/>
              <w:left w:val="single" w:sz="4" w:color="BFCBD9"/>
              <w:bottom w:val="single" w:sz="4" w:color="BFCBD9"/>
              <w:right w:val="single" w:sz="4" w:color="BFCBD9"/>
            </w:tcBorders>
            <w:vAlign w:val="center"/>
            <w:shd w:val="clear" w:color="auto" w:fill="F4F7FB"/>
          </w:tcPr>
          <w:p>
            <w:r/>
            <w:r>
              <w:rPr>
                <w:color w:val="4A4A4A"/>
                <w:sz w:val="20"/>
              </w:rPr>
              <w:t>Year 2</w:t>
            </w:r>
          </w:p>
        </w:tc>
        <w:tc>
          <w:tcPr>
            <w:tcW w:type="dxa" w:w="2016"/>
            <w:tcBorders>
              <w:top w:val="single" w:sz="4" w:color="BFCBD9"/>
              <w:left w:val="single" w:sz="4" w:color="BFCBD9"/>
              <w:bottom w:val="single" w:sz="4" w:color="BFCBD9"/>
              <w:right w:val="single" w:sz="4" w:color="BFCBD9"/>
            </w:tcBorders>
            <w:vAlign w:val="center"/>
            <w:shd w:val="clear" w:color="auto" w:fill="F4F7FB"/>
          </w:tcPr>
          <w:p>
            <w:r/>
            <w:r>
              <w:rPr>
                <w:color w:val="4A4A4A"/>
                <w:sz w:val="20"/>
              </w:rPr>
              <w:t>2027-07 → 2028-06</w:t>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color w:val="4A4A4A"/>
                <w:sz w:val="20"/>
              </w:rPr>
              <w:t>$900,000</w:t>
            </w:r>
          </w:p>
        </w:tc>
        <w:tc>
          <w:tcPr>
            <w:tcW w:type="dxa" w:w="1152"/>
            <w:tcBorders>
              <w:top w:val="single" w:sz="4" w:color="BFCBD9"/>
              <w:left w:val="single" w:sz="4" w:color="BFCBD9"/>
              <w:bottom w:val="single" w:sz="4" w:color="BFCBD9"/>
              <w:right w:val="single" w:sz="4" w:color="BFCBD9"/>
            </w:tcBorders>
            <w:vAlign w:val="center"/>
            <w:shd w:val="clear" w:color="auto" w:fill="F4F7FB"/>
          </w:tcPr>
          <w:p>
            <w:r/>
            <w:r>
              <w:rPr>
                <w:color w:val="4A4A4A"/>
                <w:sz w:val="20"/>
              </w:rPr>
              <w:t>23%</w:t>
            </w:r>
          </w:p>
        </w:tc>
        <w:tc>
          <w:tcPr>
            <w:tcW w:type="dxa" w:w="2160"/>
            <w:tcBorders>
              <w:top w:val="single" w:sz="4" w:color="BFCBD9"/>
              <w:left w:val="single" w:sz="4" w:color="BFCBD9"/>
              <w:bottom w:val="single" w:sz="4" w:color="BFCBD9"/>
              <w:right w:val="single" w:sz="4" w:color="BFCBD9"/>
            </w:tcBorders>
            <w:vAlign w:val="center"/>
            <w:shd w:val="clear" w:color="auto" w:fill="F4F7FB"/>
          </w:tcPr>
          <w:p>
            <w:r/>
            <w:r>
              <w:rPr>
                <w:color w:val="4A4A4A"/>
                <w:sz w:val="20"/>
              </w:rPr>
              <w:t>CPI+2% (~3% est.)</w:t>
            </w:r>
          </w:p>
        </w:tc>
        <w:tc>
          <w:tcPr>
            <w:tcW w:type="dxa" w:w="1440"/>
            <w:tcBorders>
              <w:top w:val="single" w:sz="4" w:color="BFCBD9"/>
              <w:left w:val="single" w:sz="4" w:color="BFCBD9"/>
              <w:bottom w:val="single" w:sz="4" w:color="BFCBD9"/>
              <w:right w:val="single" w:sz="4" w:color="BFCBD9"/>
            </w:tcBorders>
            <w:vAlign w:val="center"/>
            <w:shd w:val="clear" w:color="auto" w:fill="F4F7FB"/>
          </w:tcPr>
          <w:p>
            <w:r/>
            <w:r>
              <w:rPr>
                <w:color w:val="4A4A4A"/>
                <w:sz w:val="20"/>
              </w:rPr>
              <w:t>$713,790</w:t>
            </w:r>
          </w:p>
        </w:tc>
      </w:tr>
      <w:tr>
        <w:tc>
          <w:tcPr>
            <w:tcW w:type="dxa" w:w="1584"/>
            <w:tcBorders>
              <w:top w:val="single" w:sz="4" w:color="BFCBD9"/>
              <w:left w:val="single" w:sz="4" w:color="BFCBD9"/>
              <w:bottom w:val="single" w:sz="4" w:color="BFCBD9"/>
              <w:right w:val="single" w:sz="4" w:color="BFCBD9"/>
            </w:tcBorders>
            <w:vAlign w:val="center"/>
          </w:tcPr>
          <w:p>
            <w:r/>
            <w:r>
              <w:rPr>
                <w:color w:val="4A4A4A"/>
                <w:sz w:val="20"/>
              </w:rPr>
              <w:t>Year 3</w:t>
            </w:r>
          </w:p>
        </w:tc>
        <w:tc>
          <w:tcPr>
            <w:tcW w:type="dxa" w:w="2016"/>
            <w:tcBorders>
              <w:top w:val="single" w:sz="4" w:color="BFCBD9"/>
              <w:left w:val="single" w:sz="4" w:color="BFCBD9"/>
              <w:bottom w:val="single" w:sz="4" w:color="BFCBD9"/>
              <w:right w:val="single" w:sz="4" w:color="BFCBD9"/>
            </w:tcBorders>
            <w:vAlign w:val="center"/>
          </w:tcPr>
          <w:p>
            <w:r/>
            <w:r>
              <w:rPr>
                <w:color w:val="4A4A4A"/>
                <w:sz w:val="20"/>
              </w:rPr>
              <w:t>2028-07 → 2029-06</w:t>
            </w:r>
          </w:p>
        </w:tc>
        <w:tc>
          <w:tcPr>
            <w:tcW w:type="dxa" w:w="1296"/>
            <w:tcBorders>
              <w:top w:val="single" w:sz="4" w:color="BFCBD9"/>
              <w:left w:val="single" w:sz="4" w:color="BFCBD9"/>
              <w:bottom w:val="single" w:sz="4" w:color="BFCBD9"/>
              <w:right w:val="single" w:sz="4" w:color="BFCBD9"/>
            </w:tcBorders>
            <w:vAlign w:val="center"/>
          </w:tcPr>
          <w:p>
            <w:r/>
            <w:r>
              <w:rPr>
                <w:color w:val="4A4A4A"/>
                <w:sz w:val="20"/>
              </w:rPr>
              <w:t>$900,000</w:t>
            </w:r>
          </w:p>
        </w:tc>
        <w:tc>
          <w:tcPr>
            <w:tcW w:type="dxa" w:w="1152"/>
            <w:tcBorders>
              <w:top w:val="single" w:sz="4" w:color="BFCBD9"/>
              <w:left w:val="single" w:sz="4" w:color="BFCBD9"/>
              <w:bottom w:val="single" w:sz="4" w:color="BFCBD9"/>
              <w:right w:val="single" w:sz="4" w:color="BFCBD9"/>
            </w:tcBorders>
            <w:vAlign w:val="center"/>
          </w:tcPr>
          <w:p>
            <w:r/>
            <w:r>
              <w:rPr>
                <w:color w:val="4A4A4A"/>
                <w:sz w:val="20"/>
              </w:rPr>
              <w:t>23%</w:t>
            </w:r>
          </w:p>
        </w:tc>
        <w:tc>
          <w:tcPr>
            <w:tcW w:type="dxa" w:w="2160"/>
            <w:tcBorders>
              <w:top w:val="single" w:sz="4" w:color="BFCBD9"/>
              <w:left w:val="single" w:sz="4" w:color="BFCBD9"/>
              <w:bottom w:val="single" w:sz="4" w:color="BFCBD9"/>
              <w:right w:val="single" w:sz="4" w:color="BFCBD9"/>
            </w:tcBorders>
            <w:vAlign w:val="center"/>
          </w:tcPr>
          <w:p>
            <w:r/>
            <w:r>
              <w:rPr>
                <w:color w:val="4A4A4A"/>
                <w:sz w:val="20"/>
              </w:rPr>
              <w:t>CPI+2% (~3% est.)</w:t>
            </w:r>
          </w:p>
        </w:tc>
        <w:tc>
          <w:tcPr>
            <w:tcW w:type="dxa" w:w="1440"/>
            <w:tcBorders>
              <w:top w:val="single" w:sz="4" w:color="BFCBD9"/>
              <w:left w:val="single" w:sz="4" w:color="BFCBD9"/>
              <w:bottom w:val="single" w:sz="4" w:color="BFCBD9"/>
              <w:right w:val="single" w:sz="4" w:color="BFCBD9"/>
            </w:tcBorders>
            <w:vAlign w:val="center"/>
          </w:tcPr>
          <w:p>
            <w:r/>
            <w:r>
              <w:rPr>
                <w:color w:val="4A4A4A"/>
                <w:sz w:val="20"/>
              </w:rPr>
              <w:t>$735,204</w:t>
            </w:r>
          </w:p>
        </w:tc>
      </w:tr>
      <w:tr>
        <w:tc>
          <w:tcPr>
            <w:tcW w:type="dxa" w:w="1584"/>
            <w:tcBorders>
              <w:top w:val="single" w:sz="4" w:color="BFCBD9"/>
              <w:left w:val="single" w:sz="4" w:color="BFCBD9"/>
              <w:bottom w:val="single" w:sz="4" w:color="BFCBD9"/>
              <w:right w:val="single" w:sz="4" w:color="BFCBD9"/>
            </w:tcBorders>
            <w:vAlign w:val="center"/>
            <w:shd w:val="clear" w:color="auto" w:fill="F4F7FB"/>
          </w:tcPr>
          <w:p>
            <w:r/>
            <w:r>
              <w:rPr>
                <w:color w:val="4A4A4A"/>
                <w:sz w:val="20"/>
              </w:rPr>
              <w:t>Year 4 (renewal)</w:t>
            </w:r>
          </w:p>
        </w:tc>
        <w:tc>
          <w:tcPr>
            <w:tcW w:type="dxa" w:w="2016"/>
            <w:tcBorders>
              <w:top w:val="single" w:sz="4" w:color="BFCBD9"/>
              <w:left w:val="single" w:sz="4" w:color="BFCBD9"/>
              <w:bottom w:val="single" w:sz="4" w:color="BFCBD9"/>
              <w:right w:val="single" w:sz="4" w:color="BFCBD9"/>
            </w:tcBorders>
            <w:vAlign w:val="center"/>
            <w:shd w:val="clear" w:color="auto" w:fill="F4F7FB"/>
          </w:tcPr>
          <w:p>
            <w:r/>
            <w:r>
              <w:rPr>
                <w:color w:val="4A4A4A"/>
                <w:sz w:val="20"/>
              </w:rPr>
              <w:t>2029-07 → 2030-06</w:t>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color w:val="4A4A4A"/>
                <w:sz w:val="20"/>
              </w:rPr>
              <w:t>$926,100</w:t>
            </w:r>
          </w:p>
        </w:tc>
        <w:tc>
          <w:tcPr>
            <w:tcW w:type="dxa" w:w="1152"/>
            <w:tcBorders>
              <w:top w:val="single" w:sz="4" w:color="BFCBD9"/>
              <w:left w:val="single" w:sz="4" w:color="BFCBD9"/>
              <w:bottom w:val="single" w:sz="4" w:color="BFCBD9"/>
              <w:right w:val="single" w:sz="4" w:color="BFCBD9"/>
            </w:tcBorders>
            <w:vAlign w:val="center"/>
            <w:shd w:val="clear" w:color="auto" w:fill="F4F7FB"/>
          </w:tcPr>
          <w:p>
            <w:r/>
            <w:r>
              <w:rPr>
                <w:color w:val="4A4A4A"/>
                <w:sz w:val="20"/>
              </w:rPr>
              <w:t>20%</w:t>
            </w:r>
          </w:p>
        </w:tc>
        <w:tc>
          <w:tcPr>
            <w:tcW w:type="dxa" w:w="2160"/>
            <w:tcBorders>
              <w:top w:val="single" w:sz="4" w:color="BFCBD9"/>
              <w:left w:val="single" w:sz="4" w:color="BFCBD9"/>
              <w:bottom w:val="single" w:sz="4" w:color="BFCBD9"/>
              <w:right w:val="single" w:sz="4" w:color="BFCBD9"/>
            </w:tcBorders>
            <w:vAlign w:val="center"/>
            <w:shd w:val="clear" w:color="auto" w:fill="F4F7FB"/>
          </w:tcPr>
          <w:p>
            <w:r/>
            <w:r>
              <w:rPr>
                <w:color w:val="4A4A4A"/>
                <w:sz w:val="20"/>
              </w:rPr>
              <w:t>List reset at CPI</w:t>
            </w:r>
          </w:p>
        </w:tc>
        <w:tc>
          <w:tcPr>
            <w:tcW w:type="dxa" w:w="1440"/>
            <w:tcBorders>
              <w:top w:val="single" w:sz="4" w:color="BFCBD9"/>
              <w:left w:val="single" w:sz="4" w:color="BFCBD9"/>
              <w:bottom w:val="single" w:sz="4" w:color="BFCBD9"/>
              <w:right w:val="single" w:sz="4" w:color="BFCBD9"/>
            </w:tcBorders>
            <w:vAlign w:val="center"/>
            <w:shd w:val="clear" w:color="auto" w:fill="F4F7FB"/>
          </w:tcPr>
          <w:p>
            <w:r/>
            <w:r>
              <w:rPr>
                <w:color w:val="4A4A4A"/>
                <w:sz w:val="20"/>
              </w:rPr>
              <w:t>$740,880</w:t>
            </w:r>
          </w:p>
        </w:tc>
      </w:tr>
      <w:tr>
        <w:tc>
          <w:tcPr>
            <w:tcW w:type="dxa" w:w="1584"/>
            <w:tcBorders>
              <w:top w:val="single" w:sz="4" w:color="BFCBD9"/>
              <w:left w:val="single" w:sz="4" w:color="BFCBD9"/>
              <w:bottom w:val="single" w:sz="4" w:color="BFCBD9"/>
              <w:right w:val="single" w:sz="4" w:color="BFCBD9"/>
            </w:tcBorders>
            <w:vAlign w:val="center"/>
          </w:tcPr>
          <w:p>
            <w:r/>
            <w:r>
              <w:rPr>
                <w:color w:val="4A4A4A"/>
                <w:sz w:val="20"/>
              </w:rPr>
              <w:t>Year 5 (renewal)</w:t>
            </w:r>
          </w:p>
        </w:tc>
        <w:tc>
          <w:tcPr>
            <w:tcW w:type="dxa" w:w="2016"/>
            <w:tcBorders>
              <w:top w:val="single" w:sz="4" w:color="BFCBD9"/>
              <w:left w:val="single" w:sz="4" w:color="BFCBD9"/>
              <w:bottom w:val="single" w:sz="4" w:color="BFCBD9"/>
              <w:right w:val="single" w:sz="4" w:color="BFCBD9"/>
            </w:tcBorders>
            <w:vAlign w:val="center"/>
          </w:tcPr>
          <w:p>
            <w:r/>
            <w:r>
              <w:rPr>
                <w:color w:val="4A4A4A"/>
                <w:sz w:val="20"/>
              </w:rPr>
              <w:t>2030-07 → 2031-06</w:t>
            </w:r>
          </w:p>
        </w:tc>
        <w:tc>
          <w:tcPr>
            <w:tcW w:type="dxa" w:w="1296"/>
            <w:tcBorders>
              <w:top w:val="single" w:sz="4" w:color="BFCBD9"/>
              <w:left w:val="single" w:sz="4" w:color="BFCBD9"/>
              <w:bottom w:val="single" w:sz="4" w:color="BFCBD9"/>
              <w:right w:val="single" w:sz="4" w:color="BFCBD9"/>
            </w:tcBorders>
            <w:vAlign w:val="center"/>
          </w:tcPr>
          <w:p>
            <w:r/>
            <w:r>
              <w:rPr>
                <w:color w:val="4A4A4A"/>
                <w:sz w:val="20"/>
              </w:rPr>
              <w:t>$953,883</w:t>
            </w:r>
          </w:p>
        </w:tc>
        <w:tc>
          <w:tcPr>
            <w:tcW w:type="dxa" w:w="1152"/>
            <w:tcBorders>
              <w:top w:val="single" w:sz="4" w:color="BFCBD9"/>
              <w:left w:val="single" w:sz="4" w:color="BFCBD9"/>
              <w:bottom w:val="single" w:sz="4" w:color="BFCBD9"/>
              <w:right w:val="single" w:sz="4" w:color="BFCBD9"/>
            </w:tcBorders>
            <w:vAlign w:val="center"/>
          </w:tcPr>
          <w:p>
            <w:r/>
            <w:r>
              <w:rPr>
                <w:color w:val="4A4A4A"/>
                <w:sz w:val="20"/>
              </w:rPr>
              <w:t>20%</w:t>
            </w:r>
          </w:p>
        </w:tc>
        <w:tc>
          <w:tcPr>
            <w:tcW w:type="dxa" w:w="2160"/>
            <w:tcBorders>
              <w:top w:val="single" w:sz="4" w:color="BFCBD9"/>
              <w:left w:val="single" w:sz="4" w:color="BFCBD9"/>
              <w:bottom w:val="single" w:sz="4" w:color="BFCBD9"/>
              <w:right w:val="single" w:sz="4" w:color="BFCBD9"/>
            </w:tcBorders>
            <w:vAlign w:val="center"/>
          </w:tcPr>
          <w:p>
            <w:r/>
            <w:r>
              <w:rPr>
                <w:color w:val="4A4A4A"/>
                <w:sz w:val="20"/>
              </w:rPr>
              <w:t>CPI+2% (~3% est.)</w:t>
            </w:r>
          </w:p>
        </w:tc>
        <w:tc>
          <w:tcPr>
            <w:tcW w:type="dxa" w:w="1440"/>
            <w:tcBorders>
              <w:top w:val="single" w:sz="4" w:color="BFCBD9"/>
              <w:left w:val="single" w:sz="4" w:color="BFCBD9"/>
              <w:bottom w:val="single" w:sz="4" w:color="BFCBD9"/>
              <w:right w:val="single" w:sz="4" w:color="BFCBD9"/>
            </w:tcBorders>
            <w:vAlign w:val="center"/>
          </w:tcPr>
          <w:p>
            <w:r/>
            <w:r>
              <w:rPr>
                <w:color w:val="4A4A4A"/>
                <w:sz w:val="20"/>
              </w:rPr>
              <w:t>$763,106</w:t>
            </w:r>
          </w:p>
        </w:tc>
      </w:tr>
      <w:tr>
        <w:tc>
          <w:tcPr>
            <w:tcW w:type="dxa" w:w="1584"/>
            <w:tcBorders>
              <w:top w:val="single" w:sz="4" w:color="BFCBD9"/>
              <w:left w:val="single" w:sz="4" w:color="BFCBD9"/>
              <w:bottom w:val="single" w:sz="4" w:color="BFCBD9"/>
              <w:right w:val="single" w:sz="4" w:color="BFCBD9"/>
            </w:tcBorders>
            <w:vAlign w:val="center"/>
            <w:shd w:val="clear" w:color="auto" w:fill="F4F7FB"/>
          </w:tcPr>
          <w:p>
            <w:r/>
            <w:r>
              <w:rPr>
                <w:b/>
                <w:color w:val="0B2C4D"/>
                <w:sz w:val="20"/>
              </w:rPr>
              <w:t>5-YEAR TOTAL</w:t>
            </w:r>
          </w:p>
        </w:tc>
        <w:tc>
          <w:tcPr>
            <w:tcW w:type="dxa" w:w="2016"/>
            <w:tcBorders>
              <w:top w:val="single" w:sz="4" w:color="BFCBD9"/>
              <w:left w:val="single" w:sz="4" w:color="BFCBD9"/>
              <w:bottom w:val="single" w:sz="4" w:color="BFCBD9"/>
              <w:right w:val="single" w:sz="4" w:color="BFCBD9"/>
            </w:tcBorders>
            <w:vAlign w:val="center"/>
            <w:shd w:val="clear" w:color="auto" w:fill="F4F7FB"/>
          </w:tcPr>
          <w:p>
            <w:r/>
            <w:r>
              <w:rPr>
                <w:color w:val="4A4A4A"/>
                <w:sz w:val="20"/>
              </w:rPr>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color w:val="4A4A4A"/>
                <w:sz w:val="20"/>
              </w:rPr>
            </w:r>
          </w:p>
        </w:tc>
        <w:tc>
          <w:tcPr>
            <w:tcW w:type="dxa" w:w="1152"/>
            <w:tcBorders>
              <w:top w:val="single" w:sz="4" w:color="BFCBD9"/>
              <w:left w:val="single" w:sz="4" w:color="BFCBD9"/>
              <w:bottom w:val="single" w:sz="4" w:color="BFCBD9"/>
              <w:right w:val="single" w:sz="4" w:color="BFCBD9"/>
            </w:tcBorders>
            <w:vAlign w:val="center"/>
            <w:shd w:val="clear" w:color="auto" w:fill="F4F7FB"/>
          </w:tcPr>
          <w:p>
            <w:r/>
            <w:r>
              <w:rPr>
                <w:color w:val="4A4A4A"/>
                <w:sz w:val="20"/>
              </w:rPr>
            </w:r>
          </w:p>
        </w:tc>
        <w:tc>
          <w:tcPr>
            <w:tcW w:type="dxa" w:w="2160"/>
            <w:tcBorders>
              <w:top w:val="single" w:sz="4" w:color="BFCBD9"/>
              <w:left w:val="single" w:sz="4" w:color="BFCBD9"/>
              <w:bottom w:val="single" w:sz="4" w:color="BFCBD9"/>
              <w:right w:val="single" w:sz="4" w:color="BFCBD9"/>
            </w:tcBorders>
            <w:vAlign w:val="center"/>
            <w:shd w:val="clear" w:color="auto" w:fill="F4F7FB"/>
          </w:tcPr>
          <w:p>
            <w:r/>
            <w:r>
              <w:rPr>
                <w:color w:val="4A4A4A"/>
                <w:sz w:val="20"/>
              </w:rPr>
            </w:r>
          </w:p>
        </w:tc>
        <w:tc>
          <w:tcPr>
            <w:tcW w:type="dxa" w:w="1440"/>
            <w:tcBorders>
              <w:top w:val="single" w:sz="4" w:color="BFCBD9"/>
              <w:left w:val="single" w:sz="4" w:color="BFCBD9"/>
              <w:bottom w:val="single" w:sz="4" w:color="BFCBD9"/>
              <w:right w:val="single" w:sz="4" w:color="BFCBD9"/>
            </w:tcBorders>
            <w:vAlign w:val="center"/>
            <w:shd w:val="clear" w:color="auto" w:fill="F4F7FB"/>
          </w:tcPr>
          <w:p>
            <w:r/>
            <w:r>
              <w:rPr>
                <w:b/>
                <w:color w:val="0B2C4D"/>
                <w:sz w:val="20"/>
              </w:rPr>
              <w:t>$3,645,980</w:t>
            </w:r>
          </w:p>
        </w:tc>
      </w:tr>
    </w:tbl>
    <w:p>
      <w:pPr>
        <w:spacing w:before="280" w:after="80"/>
      </w:pPr>
      <w:r>
        <w:rPr>
          <w:b/>
          <w:color w:val="0B2C4D"/>
          <w:sz w:val="28"/>
        </w:rPr>
        <w:t>5.3 Optional line item — 99.99% Premium Availability tier</w:t>
      </w:r>
    </w:p>
    <w:tbl>
      <w:tblPr>
        <w:tblW w:type="auto" w:w="0"/>
        <w:jc w:val="center"/>
        <w:tblLayout w:type="fixed"/>
        <w:tblLook w:firstColumn="1" w:firstRow="1" w:lastColumn="0" w:lastRow="0" w:noHBand="0" w:noVBand="1" w:val="04A0"/>
      </w:tblPr>
      <w:tblGrid>
        <w:gridCol w:w="3249"/>
        <w:gridCol w:w="3249"/>
        <w:gridCol w:w="3249"/>
      </w:tblGrid>
      <w:tr>
        <w:tc>
          <w:tcPr>
            <w:tcW w:type="dxa" w:w="5184"/>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Add-on</w:t>
            </w:r>
          </w:p>
        </w:tc>
        <w:tc>
          <w:tcPr>
            <w:tcW w:type="dxa" w:w="2016"/>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Annual</w:t>
            </w:r>
          </w:p>
        </w:tc>
        <w:tc>
          <w:tcPr>
            <w:tcW w:type="dxa" w:w="2304"/>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5-year</w:t>
            </w:r>
          </w:p>
        </w:tc>
      </w:tr>
      <w:tr>
        <w:tc>
          <w:tcPr>
            <w:tcW w:type="dxa" w:w="5184"/>
            <w:tcBorders>
              <w:top w:val="single" w:sz="4" w:color="BFCBD9"/>
              <w:left w:val="single" w:sz="4" w:color="BFCBD9"/>
              <w:bottom w:val="single" w:sz="4" w:color="BFCBD9"/>
              <w:right w:val="single" w:sz="4" w:color="BFCBD9"/>
            </w:tcBorders>
            <w:vAlign w:val="center"/>
          </w:tcPr>
          <w:p>
            <w:r/>
            <w:r>
              <w:rPr>
                <w:color w:val="4A4A4A"/>
                <w:sz w:val="20"/>
              </w:rPr>
              <w:t>99.99% Premium Availability — active-active EU + US East</w:t>
            </w:r>
          </w:p>
        </w:tc>
        <w:tc>
          <w:tcPr>
            <w:tcW w:type="dxa" w:w="2016"/>
            <w:tcBorders>
              <w:top w:val="single" w:sz="4" w:color="BFCBD9"/>
              <w:left w:val="single" w:sz="4" w:color="BFCBD9"/>
              <w:bottom w:val="single" w:sz="4" w:color="BFCBD9"/>
              <w:right w:val="single" w:sz="4" w:color="BFCBD9"/>
            </w:tcBorders>
            <w:vAlign w:val="center"/>
          </w:tcPr>
          <w:p>
            <w:r/>
            <w:r>
              <w:rPr>
                <w:color w:val="4A4A4A"/>
                <w:sz w:val="20"/>
              </w:rPr>
              <w:t>$100,000 / year</w:t>
            </w:r>
          </w:p>
        </w:tc>
        <w:tc>
          <w:tcPr>
            <w:tcW w:type="dxa" w:w="2304"/>
            <w:tcBorders>
              <w:top w:val="single" w:sz="4" w:color="BFCBD9"/>
              <w:left w:val="single" w:sz="4" w:color="BFCBD9"/>
              <w:bottom w:val="single" w:sz="4" w:color="BFCBD9"/>
              <w:right w:val="single" w:sz="4" w:color="BFCBD9"/>
            </w:tcBorders>
            <w:vAlign w:val="center"/>
          </w:tcPr>
          <w:p>
            <w:r/>
            <w:r>
              <w:rPr>
                <w:color w:val="4A4A4A"/>
                <w:sz w:val="20"/>
              </w:rPr>
              <w:t>$500,000 over 5 years</w:t>
            </w:r>
          </w:p>
        </w:tc>
      </w:tr>
    </w:tbl>
    <w:p>
      <w:pPr>
        <w:spacing w:after="120" w:line="300" w:lineRule="auto"/>
      </w:pPr>
      <w:r>
        <w:rPr>
          <w:b w:val="0"/>
          <w:i/>
          <w:color w:val="4A4A4A"/>
          <w:sz w:val="22"/>
        </w:rPr>
        <w:t>Includes the contractually committed 99.99% monthly uptime tier on the underlying service, with the architecture (active-active multi-region) already required by Acme's EU + US East topology. Quoted as a separately priced line item so Acme can elect this commercially.</w:t>
      </w:r>
    </w:p>
    <w:p>
      <w:pPr>
        <w:spacing w:before="280" w:after="80"/>
      </w:pPr>
      <w:r>
        <w:rPr>
          <w:b/>
          <w:color w:val="0B2C4D"/>
          <w:sz w:val="28"/>
        </w:rPr>
        <w:t>5.4 Payment, prepay, and PoC credits</w:t>
      </w:r>
    </w:p>
    <w:p>
      <w:pPr>
        <w:pStyle w:val="ListBullet"/>
        <w:spacing w:after="60" w:line="288" w:lineRule="auto"/>
        <w:ind w:left="360"/>
      </w:pPr>
      <w:r>
        <w:rPr>
          <w:b/>
          <w:color w:val="0B2C4D"/>
          <w:sz w:val="22"/>
        </w:rPr>
        <w:t xml:space="preserve">Payment terms — Net 60 on annual upfront billing. </w:t>
      </w:r>
      <w:r>
        <w:rPr>
          <w:color w:val="4A4A4A"/>
          <w:sz w:val="22"/>
        </w:rPr>
        <w:t xml:space="preserve"> Counter to RFP §3.2 (Net 90). Net 60 reflects the working-capital cost of longer terms on a $900K ACV ($15K–$25K/year) and is consistent with our Initech Sensors precedent.</w:t>
      </w:r>
    </w:p>
    <w:p>
      <w:pPr>
        <w:pStyle w:val="ListBullet"/>
        <w:spacing w:after="60" w:line="288" w:lineRule="auto"/>
        <w:ind w:left="360"/>
      </w:pPr>
      <w:r>
        <w:rPr>
          <w:b/>
          <w:color w:val="0B2C4D"/>
          <w:sz w:val="22"/>
        </w:rPr>
        <w:t xml:space="preserve">Optional 3-year prepay incentive — additional 2% discount (25% total). </w:t>
      </w:r>
      <w:r>
        <w:rPr>
          <w:color w:val="4A4A4A"/>
          <w:sz w:val="22"/>
        </w:rPr>
        <w:t xml:space="preserve"> Multi-year prepay incentive available if Acme elects to prepay the full 3-year committed term at signature. Converts approximately $2.07M of net revenue upfront.</w:t>
      </w:r>
    </w:p>
    <w:p>
      <w:pPr>
        <w:pStyle w:val="ListBullet"/>
        <w:spacing w:after="60" w:line="288" w:lineRule="auto"/>
        <w:ind w:left="360"/>
      </w:pPr>
      <w:r>
        <w:rPr>
          <w:b/>
          <w:color w:val="0B2C4D"/>
          <w:sz w:val="22"/>
        </w:rPr>
        <w:t xml:space="preserve">PoC credit — </w:t>
      </w:r>
      <w:r>
        <w:rPr>
          <w:color w:val="4A4A4A"/>
          <w:sz w:val="22"/>
        </w:rPr>
        <w:t xml:space="preserve"> Any PoC or pilot fees paid to BTS-Synthetic prior to signature are credited 100% against Year 1 ACV. Precedent: Wayne Manufacturing (2026-03).</w:t>
      </w:r>
    </w:p>
    <w:p>
      <w:pPr>
        <w:pStyle w:val="ListBullet"/>
        <w:spacing w:after="60" w:line="288" w:lineRule="auto"/>
        <w:ind w:left="360"/>
      </w:pPr>
      <w:r>
        <w:rPr>
          <w:b/>
          <w:color w:val="0B2C4D"/>
          <w:sz w:val="22"/>
        </w:rPr>
        <w:t xml:space="preserve">Year 1 cash exposure — </w:t>
      </w:r>
      <w:r>
        <w:rPr>
          <w:color w:val="4A4A4A"/>
          <w:sz w:val="22"/>
        </w:rPr>
        <w:t xml:space="preserve"> Year 1 platform $693K + Premium SLA $100K + onboarding (one-off, separately scoped) = ~$793K cash to BTS-Synthetic in Year 1, before PoC credits.</w:t>
      </w:r>
    </w:p>
    <w:p>
      <w:pPr>
        <w:spacing w:before="280" w:after="80"/>
      </w:pPr>
      <w:r>
        <w:rPr>
          <w:b/>
          <w:color w:val="0B2C4D"/>
          <w:sz w:val="28"/>
        </w:rPr>
        <w:t>5.5 Commercial walk-aways</w:t>
      </w:r>
    </w:p>
    <w:p>
      <w:pPr>
        <w:spacing w:after="120" w:line="300" w:lineRule="auto"/>
      </w:pPr>
      <w:r>
        <w:rPr>
          <w:b w:val="0"/>
          <w:i w:val="0"/>
          <w:color w:val="4A4A4A"/>
          <w:sz w:val="22"/>
        </w:rPr>
        <w:t xml:space="preserve">In the interests of transparency: the floor we can hold without crossing into uncommercial territory is </w:t>
      </w:r>
      <w:r>
        <w:rPr>
          <w:b/>
          <w:i w:val="0"/>
          <w:color w:val="0B2C4D"/>
          <w:sz w:val="22"/>
        </w:rPr>
        <w:t>27% off list</w:t>
      </w:r>
      <w:r>
        <w:rPr>
          <w:b w:val="0"/>
          <w:i w:val="0"/>
          <w:color w:val="4A4A4A"/>
          <w:sz w:val="22"/>
        </w:rPr>
        <w:t>. Discount demands beyond 27% would require either (a) a multi-year prepay, (b) reference-customer commitment, or (c) renegotiation of contractual blockers in §6. We do not bid against an undefined competitor floor; we bid on the value we deliver.</w:t>
      </w:r>
    </w:p>
    <w:p>
      <w:r>
        <w:br w:type="page"/>
      </w:r>
    </w:p>
    <w:p>
      <w:pPr>
        <w:spacing w:before="360" w:after="120"/>
        <w:pBdr>
          <w:bottom w:val="single" w:sz="12" w:space="1" w:color="008C9E"/>
        </w:pBdr>
      </w:pPr>
      <w:r>
        <w:rPr>
          <w:rFonts w:ascii="Calibri" w:hAnsi="Calibri"/>
          <w:b/>
          <w:color w:val="0B2C4D"/>
          <w:sz w:val="40"/>
        </w:rPr>
        <w:t>6. Contract Approach — Position by Position</w:t>
      </w:r>
    </w:p>
    <w:p>
      <w:pPr>
        <w:spacing w:after="120" w:line="300" w:lineRule="auto"/>
      </w:pPr>
      <w:r>
        <w:rPr>
          <w:b w:val="0"/>
          <w:i w:val="0"/>
          <w:color w:val="4A4A4A"/>
          <w:sz w:val="22"/>
        </w:rPr>
        <w:t xml:space="preserve">Per the RFP's evaluation weighting on commercial flexibility (25%), we set out our position on every contentious clause in Acme's draft. Where we mark a clause </w:t>
      </w:r>
      <w:r>
        <w:rPr>
          <w:b/>
          <w:i w:val="0"/>
          <w:color w:val="B01E1E"/>
          <w:sz w:val="22"/>
        </w:rPr>
        <w:t>BLOCKER</w:t>
      </w:r>
      <w:r>
        <w:rPr>
          <w:b w:val="0"/>
          <w:i w:val="0"/>
          <w:color w:val="4A4A4A"/>
          <w:sz w:val="22"/>
        </w:rPr>
        <w:t>, that clause is a hard condition of bid and we ask for a redline call with Acme Counsel before 2026-05-26.</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720"/>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w:t>
            </w:r>
          </w:p>
        </w:tc>
        <w:tc>
          <w:tcPr>
            <w:tcW w:type="dxa" w:w="2304"/>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Clause</w:t>
            </w:r>
          </w:p>
        </w:tc>
        <w:tc>
          <w:tcPr>
            <w:tcW w:type="dxa" w:w="1296"/>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Verdict</w:t>
            </w:r>
          </w:p>
        </w:tc>
        <w:tc>
          <w:tcPr>
            <w:tcW w:type="dxa" w:w="5184"/>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Our position</w:t>
            </w:r>
          </w:p>
        </w:tc>
      </w:tr>
      <w:tr>
        <w:tc>
          <w:tcPr>
            <w:tcW w:type="dxa" w:w="720"/>
            <w:tcBorders>
              <w:top w:val="single" w:sz="4" w:color="BFCBD9"/>
              <w:left w:val="single" w:sz="4" w:color="BFCBD9"/>
              <w:bottom w:val="single" w:sz="4" w:color="BFCBD9"/>
              <w:right w:val="single" w:sz="4" w:color="BFCBD9"/>
            </w:tcBorders>
            <w:vAlign w:val="center"/>
          </w:tcPr>
          <w:p>
            <w:r/>
            <w:r>
              <w:rPr>
                <w:color w:val="4A4A4A"/>
                <w:sz w:val="20"/>
              </w:rPr>
              <w:t>§3.2</w:t>
            </w:r>
          </w:p>
        </w:tc>
        <w:tc>
          <w:tcPr>
            <w:tcW w:type="dxa" w:w="2304"/>
            <w:tcBorders>
              <w:top w:val="single" w:sz="4" w:color="BFCBD9"/>
              <w:left w:val="single" w:sz="4" w:color="BFCBD9"/>
              <w:bottom w:val="single" w:sz="4" w:color="BFCBD9"/>
              <w:right w:val="single" w:sz="4" w:color="BFCBD9"/>
            </w:tcBorders>
            <w:vAlign w:val="center"/>
          </w:tcPr>
          <w:p>
            <w:r/>
            <w:r>
              <w:rPr>
                <w:color w:val="4A4A4A"/>
                <w:sz w:val="20"/>
              </w:rPr>
              <w:t>Net 90 payment</w:t>
            </w:r>
          </w:p>
        </w:tc>
        <w:tc>
          <w:tcPr>
            <w:tcW w:type="dxa" w:w="1296"/>
            <w:tcBorders>
              <w:top w:val="single" w:sz="4" w:color="BFCBD9"/>
              <w:left w:val="single" w:sz="4" w:color="BFCBD9"/>
              <w:bottom w:val="single" w:sz="4" w:color="BFCBD9"/>
              <w:right w:val="single" w:sz="4" w:color="BFCBD9"/>
            </w:tcBorders>
            <w:vAlign w:val="center"/>
          </w:tcPr>
          <w:p>
            <w:r/>
            <w:r>
              <w:rPr>
                <w:b/>
                <w:color w:val="B07A1F"/>
                <w:sz w:val="20"/>
              </w:rPr>
              <w:t>COUNTER</w:t>
            </w:r>
          </w:p>
        </w:tc>
        <w:tc>
          <w:tcPr>
            <w:tcW w:type="dxa" w:w="5184"/>
            <w:tcBorders>
              <w:top w:val="single" w:sz="4" w:color="BFCBD9"/>
              <w:left w:val="single" w:sz="4" w:color="BFCBD9"/>
              <w:bottom w:val="single" w:sz="4" w:color="BFCBD9"/>
              <w:right w:val="single" w:sz="4" w:color="BFCBD9"/>
            </w:tcBorders>
            <w:vAlign w:val="center"/>
          </w:tcPr>
          <w:p>
            <w:r/>
            <w:r>
              <w:rPr>
                <w:color w:val="4A4A4A"/>
                <w:sz w:val="20"/>
              </w:rPr>
              <w:t>Net 60 on annual upfront billing. Net 30 would be standard; we extend to Net 60 as a single payment-terms concession.</w:t>
            </w:r>
          </w:p>
        </w:tc>
      </w:tr>
      <w:tr>
        <w:tc>
          <w:tcPr>
            <w:tcW w:type="dxa" w:w="720"/>
            <w:tcBorders>
              <w:top w:val="single" w:sz="4" w:color="BFCBD9"/>
              <w:left w:val="single" w:sz="4" w:color="BFCBD9"/>
              <w:bottom w:val="single" w:sz="4" w:color="BFCBD9"/>
              <w:right w:val="single" w:sz="4" w:color="BFCBD9"/>
            </w:tcBorders>
            <w:vAlign w:val="center"/>
            <w:shd w:val="clear" w:color="auto" w:fill="F4F7FB"/>
          </w:tcPr>
          <w:p>
            <w:r/>
            <w:r>
              <w:rPr>
                <w:color w:val="4A4A4A"/>
                <w:sz w:val="20"/>
              </w:rPr>
              <w:t>§3.3</w:t>
            </w:r>
          </w:p>
        </w:tc>
        <w:tc>
          <w:tcPr>
            <w:tcW w:type="dxa" w:w="2304"/>
            <w:tcBorders>
              <w:top w:val="single" w:sz="4" w:color="BFCBD9"/>
              <w:left w:val="single" w:sz="4" w:color="BFCBD9"/>
              <w:bottom w:val="single" w:sz="4" w:color="BFCBD9"/>
              <w:right w:val="single" w:sz="4" w:color="BFCBD9"/>
            </w:tcBorders>
            <w:vAlign w:val="center"/>
            <w:shd w:val="clear" w:color="auto" w:fill="F4F7FB"/>
          </w:tcPr>
          <w:p>
            <w:r/>
            <w:r>
              <w:rPr>
                <w:color w:val="4A4A4A"/>
                <w:sz w:val="20"/>
              </w:rPr>
              <w:t>35% minimum discount off list</w:t>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b/>
                <w:color w:val="B07A1F"/>
                <w:sz w:val="20"/>
              </w:rPr>
              <w:t>COUNTER</w:t>
            </w:r>
          </w:p>
        </w:tc>
        <w:tc>
          <w:tcPr>
            <w:tcW w:type="dxa" w:w="5184"/>
            <w:tcBorders>
              <w:top w:val="single" w:sz="4" w:color="BFCBD9"/>
              <w:left w:val="single" w:sz="4" w:color="BFCBD9"/>
              <w:bottom w:val="single" w:sz="4" w:color="BFCBD9"/>
              <w:right w:val="single" w:sz="4" w:color="BFCBD9"/>
            </w:tcBorders>
            <w:vAlign w:val="center"/>
            <w:shd w:val="clear" w:color="auto" w:fill="F4F7FB"/>
          </w:tcPr>
          <w:p>
            <w:r/>
            <w:r>
              <w:rPr>
                <w:color w:val="4A4A4A"/>
                <w:sz w:val="20"/>
              </w:rPr>
              <w:t>Open at 23%, willing to negotiate to 25% on strategic terms; absolute floor 27% with multi-year prepay or reference commitment.</w:t>
            </w:r>
          </w:p>
        </w:tc>
      </w:tr>
      <w:tr>
        <w:tc>
          <w:tcPr>
            <w:tcW w:type="dxa" w:w="720"/>
            <w:tcBorders>
              <w:top w:val="single" w:sz="4" w:color="BFCBD9"/>
              <w:left w:val="single" w:sz="4" w:color="BFCBD9"/>
              <w:bottom w:val="single" w:sz="4" w:color="BFCBD9"/>
              <w:right w:val="single" w:sz="4" w:color="BFCBD9"/>
            </w:tcBorders>
            <w:vAlign w:val="center"/>
          </w:tcPr>
          <w:p>
            <w:r/>
            <w:r>
              <w:rPr>
                <w:color w:val="4A4A4A"/>
                <w:sz w:val="20"/>
              </w:rPr>
              <w:t>§3.4</w:t>
            </w:r>
          </w:p>
        </w:tc>
        <w:tc>
          <w:tcPr>
            <w:tcW w:type="dxa" w:w="2304"/>
            <w:tcBorders>
              <w:top w:val="single" w:sz="4" w:color="BFCBD9"/>
              <w:left w:val="single" w:sz="4" w:color="BFCBD9"/>
              <w:bottom w:val="single" w:sz="4" w:color="BFCBD9"/>
              <w:right w:val="single" w:sz="4" w:color="BFCBD9"/>
            </w:tcBorders>
            <w:vAlign w:val="center"/>
          </w:tcPr>
          <w:p>
            <w:r/>
            <w:r>
              <w:rPr>
                <w:color w:val="4A4A4A"/>
                <w:sz w:val="20"/>
              </w:rPr>
              <w:t>MFN for 5-year term</w:t>
            </w:r>
          </w:p>
        </w:tc>
        <w:tc>
          <w:tcPr>
            <w:tcW w:type="dxa" w:w="1296"/>
            <w:tcBorders>
              <w:top w:val="single" w:sz="4" w:color="BFCBD9"/>
              <w:left w:val="single" w:sz="4" w:color="BFCBD9"/>
              <w:bottom w:val="single" w:sz="4" w:color="BFCBD9"/>
              <w:right w:val="single" w:sz="4" w:color="BFCBD9"/>
            </w:tcBorders>
            <w:vAlign w:val="center"/>
          </w:tcPr>
          <w:p>
            <w:r/>
            <w:r>
              <w:rPr>
                <w:b/>
                <w:color w:val="B07A1F"/>
                <w:sz w:val="20"/>
              </w:rPr>
              <w:t>COUNTER</w:t>
            </w:r>
          </w:p>
        </w:tc>
        <w:tc>
          <w:tcPr>
            <w:tcW w:type="dxa" w:w="5184"/>
            <w:tcBorders>
              <w:top w:val="single" w:sz="4" w:color="BFCBD9"/>
              <w:left w:val="single" w:sz="4" w:color="BFCBD9"/>
              <w:bottom w:val="single" w:sz="4" w:color="BFCBD9"/>
              <w:right w:val="single" w:sz="4" w:color="BFCBD9"/>
            </w:tcBorders>
            <w:vAlign w:val="center"/>
          </w:tcPr>
          <w:p>
            <w:r/>
            <w:r>
              <w:rPr>
                <w:color w:val="4A4A4A"/>
                <w:sz w:val="20"/>
              </w:rPr>
              <w:t>Reject 5-year MFN. Offer instead a contractual price-stability guarantee: list price for Acme's committed term will not rise beyond agreed CPI+2% escalator. Addresses the underlying concern (price shock) without the cross-book pricing rigidity of MFN.</w:t>
            </w:r>
          </w:p>
        </w:tc>
      </w:tr>
      <w:tr>
        <w:tc>
          <w:tcPr>
            <w:tcW w:type="dxa" w:w="720"/>
            <w:tcBorders>
              <w:top w:val="single" w:sz="4" w:color="BFCBD9"/>
              <w:left w:val="single" w:sz="4" w:color="BFCBD9"/>
              <w:bottom w:val="single" w:sz="4" w:color="BFCBD9"/>
              <w:right w:val="single" w:sz="4" w:color="BFCBD9"/>
            </w:tcBorders>
            <w:vAlign w:val="center"/>
            <w:shd w:val="clear" w:color="auto" w:fill="F4F7FB"/>
          </w:tcPr>
          <w:p>
            <w:r/>
            <w:r>
              <w:rPr>
                <w:color w:val="4A4A4A"/>
                <w:sz w:val="20"/>
              </w:rPr>
              <w:t>§3.5</w:t>
            </w:r>
          </w:p>
        </w:tc>
        <w:tc>
          <w:tcPr>
            <w:tcW w:type="dxa" w:w="2304"/>
            <w:tcBorders>
              <w:top w:val="single" w:sz="4" w:color="BFCBD9"/>
              <w:left w:val="single" w:sz="4" w:color="BFCBD9"/>
              <w:bottom w:val="single" w:sz="4" w:color="BFCBD9"/>
              <w:right w:val="single" w:sz="4" w:color="BFCBD9"/>
            </w:tcBorders>
            <w:vAlign w:val="center"/>
            <w:shd w:val="clear" w:color="auto" w:fill="F4F7FB"/>
          </w:tcPr>
          <w:p>
            <w:r/>
            <w:r>
              <w:rPr>
                <w:color w:val="4A4A4A"/>
                <w:sz w:val="20"/>
              </w:rPr>
              <w:t>Termination for convenience — 30 days, no ETF</w:t>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b/>
                <w:color w:val="B07A1F"/>
                <w:sz w:val="20"/>
              </w:rPr>
              <w:t>COUNTER</w:t>
            </w:r>
          </w:p>
        </w:tc>
        <w:tc>
          <w:tcPr>
            <w:tcW w:type="dxa" w:w="5184"/>
            <w:tcBorders>
              <w:top w:val="single" w:sz="4" w:color="BFCBD9"/>
              <w:left w:val="single" w:sz="4" w:color="BFCBD9"/>
              <w:bottom w:val="single" w:sz="4" w:color="BFCBD9"/>
              <w:right w:val="single" w:sz="4" w:color="BFCBD9"/>
            </w:tcBorders>
            <w:vAlign w:val="center"/>
            <w:shd w:val="clear" w:color="auto" w:fill="F4F7FB"/>
          </w:tcPr>
          <w:p>
            <w:r/>
            <w:r>
              <w:rPr>
                <w:color w:val="4A4A4A"/>
                <w:sz w:val="20"/>
              </w:rPr>
              <w:t>Extend convenience-termination notice to 90 days. With annual upfront billing retained, Acme receives a pro-rated refund of unused prepaid term — not a full refund.</w:t>
            </w:r>
          </w:p>
        </w:tc>
      </w:tr>
      <w:tr>
        <w:tc>
          <w:tcPr>
            <w:tcW w:type="dxa" w:w="720"/>
            <w:tcBorders>
              <w:top w:val="single" w:sz="4" w:color="BFCBD9"/>
              <w:left w:val="single" w:sz="4" w:color="BFCBD9"/>
              <w:bottom w:val="single" w:sz="4" w:color="BFCBD9"/>
              <w:right w:val="single" w:sz="4" w:color="BFCBD9"/>
            </w:tcBorders>
            <w:vAlign w:val="center"/>
          </w:tcPr>
          <w:p>
            <w:r/>
            <w:r>
              <w:rPr>
                <w:color w:val="4A4A4A"/>
                <w:sz w:val="20"/>
              </w:rPr>
              <w:t>§4.1</w:t>
            </w:r>
          </w:p>
        </w:tc>
        <w:tc>
          <w:tcPr>
            <w:tcW w:type="dxa" w:w="2304"/>
            <w:tcBorders>
              <w:top w:val="single" w:sz="4" w:color="BFCBD9"/>
              <w:left w:val="single" w:sz="4" w:color="BFCBD9"/>
              <w:bottom w:val="single" w:sz="4" w:color="BFCBD9"/>
              <w:right w:val="single" w:sz="4" w:color="BFCBD9"/>
            </w:tcBorders>
            <w:vAlign w:val="center"/>
          </w:tcPr>
          <w:p>
            <w:r/>
            <w:r>
              <w:rPr>
                <w:color w:val="4A4A4A"/>
                <w:sz w:val="20"/>
              </w:rPr>
              <w:t>Uncapped liability for data breach</w:t>
            </w:r>
          </w:p>
        </w:tc>
        <w:tc>
          <w:tcPr>
            <w:tcW w:type="dxa" w:w="1296"/>
            <w:tcBorders>
              <w:top w:val="single" w:sz="4" w:color="BFCBD9"/>
              <w:left w:val="single" w:sz="4" w:color="BFCBD9"/>
              <w:bottom w:val="single" w:sz="4" w:color="BFCBD9"/>
              <w:right w:val="single" w:sz="4" w:color="BFCBD9"/>
            </w:tcBorders>
            <w:vAlign w:val="center"/>
          </w:tcPr>
          <w:p>
            <w:r/>
            <w:r>
              <w:rPr>
                <w:b/>
                <w:color w:val="B01E1E"/>
                <w:sz w:val="20"/>
              </w:rPr>
              <w:t>BLOCKER</w:t>
            </w:r>
          </w:p>
        </w:tc>
        <w:tc>
          <w:tcPr>
            <w:tcW w:type="dxa" w:w="5184"/>
            <w:tcBorders>
              <w:top w:val="single" w:sz="4" w:color="BFCBD9"/>
              <w:left w:val="single" w:sz="4" w:color="BFCBD9"/>
              <w:bottom w:val="single" w:sz="4" w:color="BFCBD9"/>
              <w:right w:val="single" w:sz="4" w:color="BFCBD9"/>
            </w:tcBorders>
            <w:vAlign w:val="center"/>
          </w:tcPr>
          <w:p>
            <w:r/>
            <w:r>
              <w:rPr>
                <w:color w:val="4A4A4A"/>
                <w:sz w:val="20"/>
              </w:rPr>
              <w:t>Cap aggregate liability at 24 months of fees paid (~$1.8M), with mutual carve-outs for gross negligence and IP infringement. Uncapped exposure voids our cyber liability policy. Non-negotiable.</w:t>
            </w:r>
          </w:p>
        </w:tc>
      </w:tr>
      <w:tr>
        <w:tc>
          <w:tcPr>
            <w:tcW w:type="dxa" w:w="720"/>
            <w:tcBorders>
              <w:top w:val="single" w:sz="4" w:color="BFCBD9"/>
              <w:left w:val="single" w:sz="4" w:color="BFCBD9"/>
              <w:bottom w:val="single" w:sz="4" w:color="BFCBD9"/>
              <w:right w:val="single" w:sz="4" w:color="BFCBD9"/>
            </w:tcBorders>
            <w:vAlign w:val="center"/>
            <w:shd w:val="clear" w:color="auto" w:fill="F4F7FB"/>
          </w:tcPr>
          <w:p>
            <w:r/>
            <w:r>
              <w:rPr>
                <w:color w:val="4A4A4A"/>
                <w:sz w:val="20"/>
              </w:rPr>
              <w:t>§4.2</w:t>
            </w:r>
          </w:p>
        </w:tc>
        <w:tc>
          <w:tcPr>
            <w:tcW w:type="dxa" w:w="2304"/>
            <w:tcBorders>
              <w:top w:val="single" w:sz="4" w:color="BFCBD9"/>
              <w:left w:val="single" w:sz="4" w:color="BFCBD9"/>
              <w:bottom w:val="single" w:sz="4" w:color="BFCBD9"/>
              <w:right w:val="single" w:sz="4" w:color="BFCBD9"/>
            </w:tcBorders>
            <w:vAlign w:val="center"/>
            <w:shd w:val="clear" w:color="auto" w:fill="F4F7FB"/>
          </w:tcPr>
          <w:p>
            <w:r/>
            <w:r>
              <w:rPr>
                <w:color w:val="4A4A4A"/>
                <w:sz w:val="20"/>
              </w:rPr>
              <w:t>Audit — 4×/year, no notice, vendor-paid</w:t>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b/>
                <w:color w:val="B01E1E"/>
                <w:sz w:val="20"/>
              </w:rPr>
              <w:t>BLOCKER</w:t>
            </w:r>
          </w:p>
        </w:tc>
        <w:tc>
          <w:tcPr>
            <w:tcW w:type="dxa" w:w="5184"/>
            <w:tcBorders>
              <w:top w:val="single" w:sz="4" w:color="BFCBD9"/>
              <w:left w:val="single" w:sz="4" w:color="BFCBD9"/>
              <w:bottom w:val="single" w:sz="4" w:color="BFCBD9"/>
              <w:right w:val="single" w:sz="4" w:color="BFCBD9"/>
            </w:tcBorders>
            <w:vAlign w:val="center"/>
            <w:shd w:val="clear" w:color="auto" w:fill="F4F7FB"/>
          </w:tcPr>
          <w:p>
            <w:r/>
            <w:r>
              <w:rPr>
                <w:color w:val="4A4A4A"/>
                <w:sz w:val="20"/>
              </w:rPr>
              <w:t>1 audit per year with 30 days' prior notice; auditor under NDA. SOC 2 Type II report available on demand. Acme funds any audit beyond the first per year. 30-day notice requirement is non-negotiable (subprocessor contractual constraint).</w:t>
            </w:r>
          </w:p>
        </w:tc>
      </w:tr>
      <w:tr>
        <w:tc>
          <w:tcPr>
            <w:tcW w:type="dxa" w:w="720"/>
            <w:tcBorders>
              <w:top w:val="single" w:sz="4" w:color="BFCBD9"/>
              <w:left w:val="single" w:sz="4" w:color="BFCBD9"/>
              <w:bottom w:val="single" w:sz="4" w:color="BFCBD9"/>
              <w:right w:val="single" w:sz="4" w:color="BFCBD9"/>
            </w:tcBorders>
            <w:vAlign w:val="center"/>
          </w:tcPr>
          <w:p>
            <w:r/>
            <w:r>
              <w:rPr>
                <w:color w:val="4A4A4A"/>
                <w:sz w:val="20"/>
              </w:rPr>
              <w:t>§4.3</w:t>
            </w:r>
          </w:p>
        </w:tc>
        <w:tc>
          <w:tcPr>
            <w:tcW w:type="dxa" w:w="2304"/>
            <w:tcBorders>
              <w:top w:val="single" w:sz="4" w:color="BFCBD9"/>
              <w:left w:val="single" w:sz="4" w:color="BFCBD9"/>
              <w:bottom w:val="single" w:sz="4" w:color="BFCBD9"/>
              <w:right w:val="single" w:sz="4" w:color="BFCBD9"/>
            </w:tcBorders>
            <w:vAlign w:val="center"/>
          </w:tcPr>
          <w:p>
            <w:r/>
            <w:r>
              <w:rPr>
                <w:color w:val="4A4A4A"/>
                <w:sz w:val="20"/>
              </w:rPr>
              <w:t>99.99% uptime; immediate termination on any miss</w:t>
            </w:r>
          </w:p>
        </w:tc>
        <w:tc>
          <w:tcPr>
            <w:tcW w:type="dxa" w:w="1296"/>
            <w:tcBorders>
              <w:top w:val="single" w:sz="4" w:color="BFCBD9"/>
              <w:left w:val="single" w:sz="4" w:color="BFCBD9"/>
              <w:bottom w:val="single" w:sz="4" w:color="BFCBD9"/>
              <w:right w:val="single" w:sz="4" w:color="BFCBD9"/>
            </w:tcBorders>
            <w:vAlign w:val="center"/>
          </w:tcPr>
          <w:p>
            <w:r/>
            <w:r>
              <w:rPr>
                <w:b/>
                <w:color w:val="B01E1E"/>
                <w:sz w:val="20"/>
              </w:rPr>
              <w:t>BLOCKER</w:t>
            </w:r>
          </w:p>
        </w:tc>
        <w:tc>
          <w:tcPr>
            <w:tcW w:type="dxa" w:w="5184"/>
            <w:tcBorders>
              <w:top w:val="single" w:sz="4" w:color="BFCBD9"/>
              <w:left w:val="single" w:sz="4" w:color="BFCBD9"/>
              <w:bottom w:val="single" w:sz="4" w:color="BFCBD9"/>
              <w:right w:val="single" w:sz="4" w:color="BFCBD9"/>
            </w:tcBorders>
            <w:vAlign w:val="center"/>
          </w:tcPr>
          <w:p>
            <w:r/>
            <w:r>
              <w:rPr>
                <w:color w:val="4A4A4A"/>
                <w:sz w:val="20"/>
              </w:rPr>
              <w:t>99.95% monthly uptime in standard MSA, with service-credit remedy. Termination right only after three SLA misses in any rolling 12-month period and after vendor cure period. 99.99% available as a priced Premium Availability tier (see §5.3) but not as the MSA default.</w:t>
            </w:r>
          </w:p>
        </w:tc>
      </w:tr>
      <w:tr>
        <w:tc>
          <w:tcPr>
            <w:tcW w:type="dxa" w:w="720"/>
            <w:tcBorders>
              <w:top w:val="single" w:sz="4" w:color="BFCBD9"/>
              <w:left w:val="single" w:sz="4" w:color="BFCBD9"/>
              <w:bottom w:val="single" w:sz="4" w:color="BFCBD9"/>
              <w:right w:val="single" w:sz="4" w:color="BFCBD9"/>
            </w:tcBorders>
            <w:vAlign w:val="center"/>
            <w:shd w:val="clear" w:color="auto" w:fill="F4F7FB"/>
          </w:tcPr>
          <w:p>
            <w:r/>
            <w:r>
              <w:rPr>
                <w:color w:val="4A4A4A"/>
                <w:sz w:val="20"/>
              </w:rPr>
              <w:t>§4.4</w:t>
            </w:r>
          </w:p>
        </w:tc>
        <w:tc>
          <w:tcPr>
            <w:tcW w:type="dxa" w:w="2304"/>
            <w:tcBorders>
              <w:top w:val="single" w:sz="4" w:color="BFCBD9"/>
              <w:left w:val="single" w:sz="4" w:color="BFCBD9"/>
              <w:bottom w:val="single" w:sz="4" w:color="BFCBD9"/>
              <w:right w:val="single" w:sz="4" w:color="BFCBD9"/>
            </w:tcBorders>
            <w:vAlign w:val="center"/>
            <w:shd w:val="clear" w:color="auto" w:fill="F4F7FB"/>
          </w:tcPr>
          <w:p>
            <w:r/>
            <w:r>
              <w:rPr>
                <w:color w:val="4A4A4A"/>
                <w:sz w:val="20"/>
              </w:rPr>
              <w:t>All work product IP vests in Acme</w:t>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b/>
                <w:color w:val="B01E1E"/>
                <w:sz w:val="20"/>
              </w:rPr>
              <w:t>BLOCKER</w:t>
            </w:r>
          </w:p>
        </w:tc>
        <w:tc>
          <w:tcPr>
            <w:tcW w:type="dxa" w:w="5184"/>
            <w:tcBorders>
              <w:top w:val="single" w:sz="4" w:color="BFCBD9"/>
              <w:left w:val="single" w:sz="4" w:color="BFCBD9"/>
              <w:bottom w:val="single" w:sz="4" w:color="BFCBD9"/>
              <w:right w:val="single" w:sz="4" w:color="BFCBD9"/>
            </w:tcBorders>
            <w:vAlign w:val="center"/>
            <w:shd w:val="clear" w:color="auto" w:fill="F4F7FB"/>
          </w:tcPr>
          <w:p>
            <w:r/>
            <w:r>
              <w:rPr>
                <w:color w:val="4A4A4A"/>
                <w:sz w:val="20"/>
              </w:rPr>
              <w:t>Platform IP remains with BTS-Synthetic. Customer-specific configurations, integrations, and reports are licensed to Acme perpetually, royalty-free, with a right to use, modify, and create derivative works. Precedent: Stark Industries (2026-02).</w:t>
            </w:r>
          </w:p>
        </w:tc>
      </w:tr>
      <w:tr>
        <w:tc>
          <w:tcPr>
            <w:tcW w:type="dxa" w:w="720"/>
            <w:tcBorders>
              <w:top w:val="single" w:sz="4" w:color="BFCBD9"/>
              <w:left w:val="single" w:sz="4" w:color="BFCBD9"/>
              <w:bottom w:val="single" w:sz="4" w:color="BFCBD9"/>
              <w:right w:val="single" w:sz="4" w:color="BFCBD9"/>
            </w:tcBorders>
            <w:vAlign w:val="center"/>
          </w:tcPr>
          <w:p>
            <w:r/>
            <w:r>
              <w:rPr>
                <w:color w:val="4A4A4A"/>
                <w:sz w:val="20"/>
              </w:rPr>
              <w:t>§4.5</w:t>
            </w:r>
          </w:p>
        </w:tc>
        <w:tc>
          <w:tcPr>
            <w:tcW w:type="dxa" w:w="2304"/>
            <w:tcBorders>
              <w:top w:val="single" w:sz="4" w:color="BFCBD9"/>
              <w:left w:val="single" w:sz="4" w:color="BFCBD9"/>
              <w:bottom w:val="single" w:sz="4" w:color="BFCBD9"/>
              <w:right w:val="single" w:sz="4" w:color="BFCBD9"/>
            </w:tcBorders>
            <w:vAlign w:val="center"/>
          </w:tcPr>
          <w:p>
            <w:r/>
            <w:r>
              <w:rPr>
                <w:color w:val="4A4A4A"/>
                <w:sz w:val="20"/>
              </w:rPr>
              <w:t>Subprocessor prior consent at sole discretion</w:t>
            </w:r>
          </w:p>
        </w:tc>
        <w:tc>
          <w:tcPr>
            <w:tcW w:type="dxa" w:w="1296"/>
            <w:tcBorders>
              <w:top w:val="single" w:sz="4" w:color="BFCBD9"/>
              <w:left w:val="single" w:sz="4" w:color="BFCBD9"/>
              <w:bottom w:val="single" w:sz="4" w:color="BFCBD9"/>
              <w:right w:val="single" w:sz="4" w:color="BFCBD9"/>
            </w:tcBorders>
            <w:vAlign w:val="center"/>
          </w:tcPr>
          <w:p>
            <w:r/>
            <w:r>
              <w:rPr>
                <w:b/>
                <w:color w:val="B07A1F"/>
                <w:sz w:val="20"/>
              </w:rPr>
              <w:t>COUNTER</w:t>
            </w:r>
          </w:p>
        </w:tc>
        <w:tc>
          <w:tcPr>
            <w:tcW w:type="dxa" w:w="5184"/>
            <w:tcBorders>
              <w:top w:val="single" w:sz="4" w:color="BFCBD9"/>
              <w:left w:val="single" w:sz="4" w:color="BFCBD9"/>
              <w:bottom w:val="single" w:sz="4" w:color="BFCBD9"/>
              <w:right w:val="single" w:sz="4" w:color="BFCBD9"/>
            </w:tcBorders>
            <w:vAlign w:val="center"/>
          </w:tcPr>
          <w:p>
            <w:r/>
            <w:r>
              <w:rPr>
                <w:color w:val="4A4A4A"/>
                <w:sz w:val="20"/>
              </w:rPr>
              <w:t>Maintain a public subprocessor list. 30-day advance notice before adding any subprocessor. Acme may object in writing within 15 days, triggering good-faith substitution or, as last resort, termination right with 90-day notice. AWS / Azure / GCP / Debezium / observability stack pre-approved at signing.</w:t>
            </w:r>
          </w:p>
        </w:tc>
      </w:tr>
      <w:tr>
        <w:tc>
          <w:tcPr>
            <w:tcW w:type="dxa" w:w="720"/>
            <w:tcBorders>
              <w:top w:val="single" w:sz="4" w:color="BFCBD9"/>
              <w:left w:val="single" w:sz="4" w:color="BFCBD9"/>
              <w:bottom w:val="single" w:sz="4" w:color="BFCBD9"/>
              <w:right w:val="single" w:sz="4" w:color="BFCBD9"/>
            </w:tcBorders>
            <w:vAlign w:val="center"/>
            <w:shd w:val="clear" w:color="auto" w:fill="F4F7FB"/>
          </w:tcPr>
          <w:p>
            <w:r/>
            <w:r>
              <w:rPr>
                <w:color w:val="4A4A4A"/>
                <w:sz w:val="20"/>
              </w:rPr>
              <w:t>§2.3</w:t>
            </w:r>
          </w:p>
        </w:tc>
        <w:tc>
          <w:tcPr>
            <w:tcW w:type="dxa" w:w="2304"/>
            <w:tcBorders>
              <w:top w:val="single" w:sz="4" w:color="BFCBD9"/>
              <w:left w:val="single" w:sz="4" w:color="BFCBD9"/>
              <w:bottom w:val="single" w:sz="4" w:color="BFCBD9"/>
              <w:right w:val="single" w:sz="4" w:color="BFCBD9"/>
            </w:tcBorders>
            <w:vAlign w:val="center"/>
            <w:shd w:val="clear" w:color="auto" w:fill="F4F7FB"/>
          </w:tcPr>
          <w:p>
            <w:r/>
            <w:r>
              <w:rPr>
                <w:color w:val="4A4A4A"/>
                <w:sz w:val="20"/>
              </w:rPr>
              <w:t>EU data residency</w:t>
            </w:r>
          </w:p>
        </w:tc>
        <w:tc>
          <w:tcPr>
            <w:tcW w:type="dxa" w:w="1296"/>
            <w:tcBorders>
              <w:top w:val="single" w:sz="4" w:color="BFCBD9"/>
              <w:left w:val="single" w:sz="4" w:color="BFCBD9"/>
              <w:bottom w:val="single" w:sz="4" w:color="BFCBD9"/>
              <w:right w:val="single" w:sz="4" w:color="BFCBD9"/>
            </w:tcBorders>
            <w:vAlign w:val="center"/>
            <w:shd w:val="clear" w:color="auto" w:fill="F4F7FB"/>
          </w:tcPr>
          <w:p>
            <w:r/>
            <w:r>
              <w:rPr>
                <w:b/>
                <w:color w:val="1F6F3D"/>
                <w:sz w:val="20"/>
              </w:rPr>
              <w:t>ACCEPT</w:t>
            </w:r>
          </w:p>
        </w:tc>
        <w:tc>
          <w:tcPr>
            <w:tcW w:type="dxa" w:w="5184"/>
            <w:tcBorders>
              <w:top w:val="single" w:sz="4" w:color="BFCBD9"/>
              <w:left w:val="single" w:sz="4" w:color="BFCBD9"/>
              <w:bottom w:val="single" w:sz="4" w:color="BFCBD9"/>
              <w:right w:val="single" w:sz="4" w:color="BFCBD9"/>
            </w:tcBorders>
            <w:vAlign w:val="center"/>
            <w:shd w:val="clear" w:color="auto" w:fill="F4F7FB"/>
          </w:tcPr>
          <w:p>
            <w:r/>
            <w:r>
              <w:rPr>
                <w:color w:val="4A4A4A"/>
                <w:sz w:val="20"/>
              </w:rPr>
              <w:t>Accepted as-is. Per-table residency pinning to EU regions; GDPR-aligned DPA executed at signature (Standard Contractual Clauses + Art. 28). Solutions engineering will confirm EU region coverage for Acme's specific data model.</w:t>
            </w:r>
          </w:p>
        </w:tc>
      </w:tr>
    </w:tbl>
    <w:p>
      <w:pPr>
        <w:spacing w:after="40" w:line="300" w:lineRule="auto"/>
      </w:pPr>
      <w:r>
        <w:rPr>
          <w:b w:val="0"/>
          <w:i w:val="0"/>
          <w:color w:val="4A4A4A"/>
          <w:sz w:val="22"/>
        </w:rPr>
      </w:r>
    </w:p>
    <w:p>
      <w:pPr>
        <w:spacing w:before="200" w:after="40"/>
      </w:pPr>
      <w:r>
        <w:rPr>
          <w:b/>
          <w:color w:val="008C9E"/>
          <w:sz w:val="24"/>
        </w:rPr>
        <w:t>Bid/no-bid status</w:t>
      </w:r>
    </w:p>
    <w:p>
      <w:pPr>
        <w:spacing w:after="120" w:line="300" w:lineRule="auto"/>
      </w:pPr>
      <w:r>
        <w:rPr>
          <w:b w:val="0"/>
          <w:i w:val="0"/>
          <w:color w:val="4A4A4A"/>
          <w:sz w:val="22"/>
        </w:rPr>
        <w:t xml:space="preserve">Legal review surfaces </w:t>
      </w:r>
      <w:r>
        <w:rPr>
          <w:b/>
          <w:i w:val="0"/>
          <w:color w:val="B01E1E"/>
          <w:sz w:val="22"/>
        </w:rPr>
        <w:t>four (4) BLOCKERs</w:t>
      </w:r>
      <w:r>
        <w:rPr>
          <w:b w:val="0"/>
          <w:i w:val="0"/>
          <w:color w:val="4A4A4A"/>
          <w:sz w:val="22"/>
        </w:rPr>
        <w:t xml:space="preserve"> — exactly at our internal bid/no-bid tolerance. We are bidding, but the four blockers in §4.1, §4.2, §4.3, and §4.4 are conditions of award. We request a 60-minute redline call between our Counsel and Sarah Chen / Marcus Webb before 2026-05-26.</w:t>
      </w:r>
    </w:p>
    <w:p>
      <w:r>
        <w:br w:type="page"/>
      </w:r>
    </w:p>
    <w:p>
      <w:pPr>
        <w:spacing w:before="360" w:after="120"/>
        <w:pBdr>
          <w:bottom w:val="single" w:sz="12" w:space="1" w:color="008C9E"/>
        </w:pBdr>
      </w:pPr>
      <w:r>
        <w:rPr>
          <w:rFonts w:ascii="Calibri" w:hAnsi="Calibri"/>
          <w:b/>
          <w:color w:val="0B2C4D"/>
          <w:sz w:val="40"/>
        </w:rPr>
        <w:t>7. Competitive Differentiation</w:t>
      </w:r>
    </w:p>
    <w:p>
      <w:pPr>
        <w:spacing w:after="120" w:line="300" w:lineRule="auto"/>
      </w:pPr>
      <w:r>
        <w:rPr>
          <w:b w:val="0"/>
          <w:i w:val="0"/>
          <w:color w:val="4A4A4A"/>
          <w:sz w:val="22"/>
        </w:rPr>
        <w:t>Acme has named four other vendors. We respect every one of them. Our position relative to each:</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728"/>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Competitor</w:t>
            </w:r>
          </w:p>
        </w:tc>
        <w:tc>
          <w:tcPr>
            <w:tcW w:type="dxa" w:w="2160"/>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Likely pitch</w:t>
            </w:r>
          </w:p>
        </w:tc>
        <w:tc>
          <w:tcPr>
            <w:tcW w:type="dxa" w:w="2880"/>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Their weakness on Acme's requirements</w:t>
            </w:r>
          </w:p>
        </w:tc>
        <w:tc>
          <w:tcPr>
            <w:tcW w:type="dxa" w:w="2736"/>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Our counter — evidence-based</w:t>
            </w:r>
          </w:p>
        </w:tc>
      </w:tr>
      <w:tr>
        <w:tc>
          <w:tcPr>
            <w:tcW w:type="dxa" w:w="1728"/>
            <w:tcBorders>
              <w:top w:val="single" w:sz="4" w:color="BFCBD9"/>
              <w:left w:val="single" w:sz="4" w:color="BFCBD9"/>
              <w:bottom w:val="single" w:sz="4" w:color="BFCBD9"/>
              <w:right w:val="single" w:sz="4" w:color="BFCBD9"/>
            </w:tcBorders>
            <w:vAlign w:val="center"/>
          </w:tcPr>
          <w:p>
            <w:r/>
            <w:r>
              <w:rPr>
                <w:color w:val="4A4A4A"/>
                <w:sz w:val="20"/>
              </w:rPr>
              <w:t>Microsoft Fabric</w:t>
            </w:r>
          </w:p>
        </w:tc>
        <w:tc>
          <w:tcPr>
            <w:tcW w:type="dxa" w:w="2160"/>
            <w:tcBorders>
              <w:top w:val="single" w:sz="4" w:color="BFCBD9"/>
              <w:left w:val="single" w:sz="4" w:color="BFCBD9"/>
              <w:bottom w:val="single" w:sz="4" w:color="BFCBD9"/>
              <w:right w:val="single" w:sz="4" w:color="BFCBD9"/>
            </w:tcBorders>
            <w:vAlign w:val="center"/>
          </w:tcPr>
          <w:p>
            <w:r/>
            <w:r>
              <w:rPr>
                <w:color w:val="4A4A4A"/>
                <w:sz w:val="20"/>
              </w:rPr>
              <w:t>"Free with E5" — sunk-cost framing of your existing Azure spend.</w:t>
            </w:r>
          </w:p>
        </w:tc>
        <w:tc>
          <w:tcPr>
            <w:tcW w:type="dxa" w:w="2880"/>
            <w:tcBorders>
              <w:top w:val="single" w:sz="4" w:color="BFCBD9"/>
              <w:left w:val="single" w:sz="4" w:color="BFCBD9"/>
              <w:bottom w:val="single" w:sz="4" w:color="BFCBD9"/>
              <w:right w:val="single" w:sz="4" w:color="BFCBD9"/>
            </w:tcBorders>
            <w:vAlign w:val="center"/>
          </w:tcPr>
          <w:p>
            <w:r/>
            <w:r>
              <w:rPr>
                <w:color w:val="4A4A4A"/>
                <w:sz w:val="20"/>
              </w:rPr>
              <w:t>Real-time governance and per-table residency are 12–18 months behind. OneLake lock-in eliminates open-format portability.</w:t>
            </w:r>
          </w:p>
        </w:tc>
        <w:tc>
          <w:tcPr>
            <w:tcW w:type="dxa" w:w="2736"/>
            <w:tcBorders>
              <w:top w:val="single" w:sz="4" w:color="BFCBD9"/>
              <w:left w:val="single" w:sz="4" w:color="BFCBD9"/>
              <w:bottom w:val="single" w:sz="4" w:color="BFCBD9"/>
              <w:right w:val="single" w:sz="4" w:color="BFCBD9"/>
            </w:tcBorders>
            <w:vAlign w:val="center"/>
          </w:tcPr>
          <w:p>
            <w:r/>
            <w:r>
              <w:rPr>
                <w:color w:val="4A4A4A"/>
                <w:sz w:val="20"/>
              </w:rPr>
              <w:t>TCO model includes the unbundled Professional Services cost for real-time governance — we will publish ours in writing. Precedent: Initech Sensors (2025-11) won against the same Fabric pitch.</w:t>
            </w:r>
          </w:p>
        </w:tc>
      </w:tr>
      <w:tr>
        <w:tc>
          <w:tcPr>
            <w:tcW w:type="dxa" w:w="1728"/>
            <w:tcBorders>
              <w:top w:val="single" w:sz="4" w:color="BFCBD9"/>
              <w:left w:val="single" w:sz="4" w:color="BFCBD9"/>
              <w:bottom w:val="single" w:sz="4" w:color="BFCBD9"/>
              <w:right w:val="single" w:sz="4" w:color="BFCBD9"/>
            </w:tcBorders>
            <w:vAlign w:val="center"/>
            <w:shd w:val="clear" w:color="auto" w:fill="F4F7FB"/>
          </w:tcPr>
          <w:p>
            <w:r/>
            <w:r>
              <w:rPr>
                <w:color w:val="4A4A4A"/>
                <w:sz w:val="20"/>
              </w:rPr>
              <w:t>Databricks</w:t>
            </w:r>
          </w:p>
        </w:tc>
        <w:tc>
          <w:tcPr>
            <w:tcW w:type="dxa" w:w="2160"/>
            <w:tcBorders>
              <w:top w:val="single" w:sz="4" w:color="BFCBD9"/>
              <w:left w:val="single" w:sz="4" w:color="BFCBD9"/>
              <w:bottom w:val="single" w:sz="4" w:color="BFCBD9"/>
              <w:right w:val="single" w:sz="4" w:color="BFCBD9"/>
            </w:tcBorders>
            <w:vAlign w:val="center"/>
            <w:shd w:val="clear" w:color="auto" w:fill="F4F7FB"/>
          </w:tcPr>
          <w:p>
            <w:r/>
            <w:r>
              <w:rPr>
                <w:color w:val="4A4A4A"/>
                <w:sz w:val="20"/>
              </w:rPr>
              <w:t>Pure Lakehouse, Delta Lake + Spark + MLflow, open-source heritage.</w:t>
            </w:r>
          </w:p>
        </w:tc>
        <w:tc>
          <w:tcPr>
            <w:tcW w:type="dxa" w:w="2880"/>
            <w:tcBorders>
              <w:top w:val="single" w:sz="4" w:color="BFCBD9"/>
              <w:left w:val="single" w:sz="4" w:color="BFCBD9"/>
              <w:bottom w:val="single" w:sz="4" w:color="BFCBD9"/>
              <w:right w:val="single" w:sz="4" w:color="BFCBD9"/>
            </w:tcBorders>
            <w:vAlign w:val="center"/>
            <w:shd w:val="clear" w:color="auto" w:fill="F4F7FB"/>
          </w:tcPr>
          <w:p>
            <w:r/>
            <w:r>
              <w:rPr>
                <w:color w:val="4A4A4A"/>
                <w:sz w:val="20"/>
              </w:rPr>
              <w:t>TCO opacity. Spark compute scales 4–6× on interactive BI workloads. Customer carries optimisation burden.</w:t>
            </w:r>
          </w:p>
        </w:tc>
        <w:tc>
          <w:tcPr>
            <w:tcW w:type="dxa" w:w="2736"/>
            <w:tcBorders>
              <w:top w:val="single" w:sz="4" w:color="BFCBD9"/>
              <w:left w:val="single" w:sz="4" w:color="BFCBD9"/>
              <w:bottom w:val="single" w:sz="4" w:color="BFCBD9"/>
              <w:right w:val="single" w:sz="4" w:color="BFCBD9"/>
            </w:tcBorders>
            <w:vAlign w:val="center"/>
            <w:shd w:val="clear" w:color="auto" w:fill="F4F7FB"/>
          </w:tcPr>
          <w:p>
            <w:r/>
            <w:r>
              <w:rPr>
                <w:color w:val="4A4A4A"/>
                <w:sz w:val="20"/>
              </w:rPr>
              <w:t>3-year TCO comparison at Acme's actual workload profile. Multi-cloud optionality. Power BI DirectQuery maturity over Databricks SQL endpoint. Precedent: Globex Manufacturing (2025-09).</w:t>
            </w:r>
          </w:p>
        </w:tc>
      </w:tr>
      <w:tr>
        <w:tc>
          <w:tcPr>
            <w:tcW w:type="dxa" w:w="1728"/>
            <w:tcBorders>
              <w:top w:val="single" w:sz="4" w:color="BFCBD9"/>
              <w:left w:val="single" w:sz="4" w:color="BFCBD9"/>
              <w:bottom w:val="single" w:sz="4" w:color="BFCBD9"/>
              <w:right w:val="single" w:sz="4" w:color="BFCBD9"/>
            </w:tcBorders>
            <w:vAlign w:val="center"/>
          </w:tcPr>
          <w:p>
            <w:r/>
            <w:r>
              <w:rPr>
                <w:color w:val="4A4A4A"/>
                <w:sz w:val="20"/>
              </w:rPr>
              <w:t>Snowflake</w:t>
            </w:r>
          </w:p>
        </w:tc>
        <w:tc>
          <w:tcPr>
            <w:tcW w:type="dxa" w:w="2160"/>
            <w:tcBorders>
              <w:top w:val="single" w:sz="4" w:color="BFCBD9"/>
              <w:left w:val="single" w:sz="4" w:color="BFCBD9"/>
              <w:bottom w:val="single" w:sz="4" w:color="BFCBD9"/>
              <w:right w:val="single" w:sz="4" w:color="BFCBD9"/>
            </w:tcBorders>
            <w:vAlign w:val="center"/>
          </w:tcPr>
          <w:p>
            <w:r/>
            <w:r>
              <w:rPr>
                <w:color w:val="4A4A4A"/>
                <w:sz w:val="20"/>
              </w:rPr>
              <w:t>"Safe choice" — mature, easy SQL, broad ecosystem.</w:t>
            </w:r>
          </w:p>
        </w:tc>
        <w:tc>
          <w:tcPr>
            <w:tcW w:type="dxa" w:w="2880"/>
            <w:tcBorders>
              <w:top w:val="single" w:sz="4" w:color="BFCBD9"/>
              <w:left w:val="single" w:sz="4" w:color="BFCBD9"/>
              <w:bottom w:val="single" w:sz="4" w:color="BFCBD9"/>
              <w:right w:val="single" w:sz="4" w:color="BFCBD9"/>
            </w:tcBorders>
            <w:vAlign w:val="center"/>
          </w:tcPr>
          <w:p>
            <w:r/>
            <w:r>
              <w:rPr>
                <w:color w:val="4A4A4A"/>
                <w:sz w:val="20"/>
              </w:rPr>
              <w:t>Native Iceberg support immature. Streaming requires Snowpipe plus external Kafka tooling. Dual-platform tax for IoT + analytics.</w:t>
            </w:r>
          </w:p>
        </w:tc>
        <w:tc>
          <w:tcPr>
            <w:tcW w:type="dxa" w:w="2736"/>
            <w:tcBorders>
              <w:top w:val="single" w:sz="4" w:color="BFCBD9"/>
              <w:left w:val="single" w:sz="4" w:color="BFCBD9"/>
              <w:bottom w:val="single" w:sz="4" w:color="BFCBD9"/>
              <w:right w:val="single" w:sz="4" w:color="BFCBD9"/>
            </w:tcBorders>
            <w:vAlign w:val="center"/>
          </w:tcPr>
          <w:p>
            <w:r/>
            <w:r>
              <w:rPr>
                <w:color w:val="4A4A4A"/>
                <w:sz w:val="20"/>
              </w:rPr>
              <w:t>Lakehouse-native streaming + batch on a single engine. Open formats (Delta + Iceberg + Parquet) without external sidecars. Predictable, capped escalator pricing.</w:t>
            </w:r>
          </w:p>
        </w:tc>
      </w:tr>
      <w:tr>
        <w:tc>
          <w:tcPr>
            <w:tcW w:type="dxa" w:w="1728"/>
            <w:tcBorders>
              <w:top w:val="single" w:sz="4" w:color="BFCBD9"/>
              <w:left w:val="single" w:sz="4" w:color="BFCBD9"/>
              <w:bottom w:val="single" w:sz="4" w:color="BFCBD9"/>
              <w:right w:val="single" w:sz="4" w:color="BFCBD9"/>
            </w:tcBorders>
            <w:vAlign w:val="center"/>
            <w:shd w:val="clear" w:color="auto" w:fill="F4F7FB"/>
          </w:tcPr>
          <w:p>
            <w:r/>
            <w:r>
              <w:rPr>
                <w:color w:val="4A4A4A"/>
                <w:sz w:val="20"/>
              </w:rPr>
              <w:t>Regional vendor (unnamed)</w:t>
            </w:r>
          </w:p>
        </w:tc>
        <w:tc>
          <w:tcPr>
            <w:tcW w:type="dxa" w:w="2160"/>
            <w:tcBorders>
              <w:top w:val="single" w:sz="4" w:color="BFCBD9"/>
              <w:left w:val="single" w:sz="4" w:color="BFCBD9"/>
              <w:bottom w:val="single" w:sz="4" w:color="BFCBD9"/>
              <w:right w:val="single" w:sz="4" w:color="BFCBD9"/>
            </w:tcBorders>
            <w:vAlign w:val="center"/>
            <w:shd w:val="clear" w:color="auto" w:fill="F4F7FB"/>
          </w:tcPr>
          <w:p>
            <w:r/>
            <w:r>
              <w:rPr>
                <w:color w:val="4A4A4A"/>
                <w:sz w:val="20"/>
              </w:rPr>
              <w:t>Aggressive price; likely open-source stack (Trino + Iceberg) or European warehouse.</w:t>
            </w:r>
          </w:p>
        </w:tc>
        <w:tc>
          <w:tcPr>
            <w:tcW w:type="dxa" w:w="2880"/>
            <w:tcBorders>
              <w:top w:val="single" w:sz="4" w:color="BFCBD9"/>
              <w:left w:val="single" w:sz="4" w:color="BFCBD9"/>
              <w:bottom w:val="single" w:sz="4" w:color="BFCBD9"/>
              <w:right w:val="single" w:sz="4" w:color="BFCBD9"/>
            </w:tcBorders>
            <w:vAlign w:val="center"/>
            <w:shd w:val="clear" w:color="auto" w:fill="F4F7FB"/>
          </w:tcPr>
          <w:p>
            <w:r/>
            <w:r>
              <w:rPr>
                <w:color w:val="4A4A4A"/>
                <w:sz w:val="20"/>
              </w:rPr>
              <w:t>No enterprise SLA at 99.95%+. No Power BI DirectQuery adapter. Manual ETL bridges.</w:t>
            </w:r>
          </w:p>
        </w:tc>
        <w:tc>
          <w:tcPr>
            <w:tcW w:type="dxa" w:w="2736"/>
            <w:tcBorders>
              <w:top w:val="single" w:sz="4" w:color="BFCBD9"/>
              <w:left w:val="single" w:sz="4" w:color="BFCBD9"/>
              <w:bottom w:val="single" w:sz="4" w:color="BFCBD9"/>
              <w:right w:val="single" w:sz="4" w:color="BFCBD9"/>
            </w:tcBorders>
            <w:vAlign w:val="center"/>
            <w:shd w:val="clear" w:color="auto" w:fill="F4F7FB"/>
          </w:tcPr>
          <w:p>
            <w:r/>
            <w:r>
              <w:rPr>
                <w:color w:val="4A4A4A"/>
                <w:sz w:val="20"/>
              </w:rPr>
              <w:t>For 600-analyst Power BI estate plus a 18-month Teradata cutover, the consulting cost gap dwarfs the licence-fee savings.</w:t>
            </w:r>
          </w:p>
        </w:tc>
      </w:tr>
    </w:tbl>
    <w:p>
      <w:pPr>
        <w:spacing w:after="80" w:line="300" w:lineRule="auto"/>
      </w:pPr>
      <w:r>
        <w:rPr>
          <w:b w:val="0"/>
          <w:i w:val="0"/>
          <w:color w:val="4A4A4A"/>
          <w:sz w:val="22"/>
        </w:rPr>
      </w:r>
    </w:p>
    <w:p>
      <w:pPr>
        <w:spacing w:before="200" w:after="40"/>
      </w:pPr>
      <w:r>
        <w:rPr>
          <w:b/>
          <w:color w:val="008C9E"/>
          <w:sz w:val="24"/>
        </w:rPr>
        <w:t>Three differentiation themes we ask Acme to weigh</w:t>
      </w:r>
    </w:p>
    <w:p>
      <w:pPr>
        <w:pStyle w:val="ListBullet"/>
        <w:spacing w:after="60" w:line="288" w:lineRule="auto"/>
        <w:ind w:left="360"/>
      </w:pPr>
      <w:r>
        <w:rPr>
          <w:b/>
          <w:color w:val="0B2C4D"/>
          <w:sz w:val="22"/>
        </w:rPr>
        <w:t xml:space="preserve">1. Real-time + governance maturity. </w:t>
      </w:r>
      <w:r>
        <w:rPr>
          <w:color w:val="4A4A4A"/>
          <w:sz w:val="22"/>
        </w:rPr>
        <w:t xml:space="preserve"> Power BI DirectQuery adapter, 80K events/sec proven, per-table EU residency on customer-owned storage — all three in one stack.</w:t>
      </w:r>
    </w:p>
    <w:p>
      <w:pPr>
        <w:pStyle w:val="ListBullet"/>
        <w:spacing w:after="60" w:line="288" w:lineRule="auto"/>
        <w:ind w:left="360"/>
      </w:pPr>
      <w:r>
        <w:rPr>
          <w:b/>
          <w:color w:val="0B2C4D"/>
          <w:sz w:val="22"/>
        </w:rPr>
        <w:t xml:space="preserve">2. TCO predictability and portability. </w:t>
      </w:r>
      <w:r>
        <w:rPr>
          <w:color w:val="4A4A4A"/>
          <w:sz w:val="22"/>
        </w:rPr>
        <w:t xml:space="preserve"> Open formats, customer-owned object storage, multi-cloud. Acme is never one re-platforming away from another vendor.</w:t>
      </w:r>
    </w:p>
    <w:p>
      <w:pPr>
        <w:pStyle w:val="ListBullet"/>
        <w:spacing w:after="60" w:line="288" w:lineRule="auto"/>
        <w:ind w:left="360"/>
      </w:pPr>
      <w:r>
        <w:rPr>
          <w:b/>
          <w:color w:val="0B2C4D"/>
          <w:sz w:val="22"/>
        </w:rPr>
        <w:t xml:space="preserve">3. Power BI integration depth. </w:t>
      </w:r>
      <w:r>
        <w:rPr>
          <w:color w:val="4A4A4A"/>
          <w:sz w:val="22"/>
        </w:rPr>
        <w:t xml:space="preserve"> Dedicated DirectQuery adapter for your existing 600 analysts. Lowest-friction path off Teradata.</w:t>
      </w:r>
    </w:p>
    <w:p>
      <w:r>
        <w:br w:type="page"/>
      </w:r>
    </w:p>
    <w:p>
      <w:pPr>
        <w:spacing w:before="360" w:after="120"/>
        <w:pBdr>
          <w:bottom w:val="single" w:sz="12" w:space="1" w:color="008C9E"/>
        </w:pBdr>
      </w:pPr>
      <w:r>
        <w:rPr>
          <w:rFonts w:ascii="Calibri" w:hAnsi="Calibri"/>
          <w:b/>
          <w:color w:val="0B2C4D"/>
          <w:sz w:val="40"/>
        </w:rPr>
        <w:t>8. Customer References</w:t>
      </w:r>
    </w:p>
    <w:p>
      <w:pPr>
        <w:spacing w:after="120" w:line="300" w:lineRule="auto"/>
      </w:pPr>
      <w:r>
        <w:rPr>
          <w:b w:val="0"/>
          <w:i w:val="0"/>
          <w:color w:val="4A4A4A"/>
          <w:sz w:val="22"/>
        </w:rPr>
        <w:t>All three references below are comparable on scale, Power BI deployment, and Azure footprint. We will arrange a structured reference call between Sarah Chen, Marcus Webb, and each reference customer's sponsor on request.</w:t>
      </w:r>
    </w:p>
    <w:p>
      <w:pPr>
        <w:spacing w:before="200" w:after="40"/>
      </w:pPr>
      <w:r>
        <w:rPr>
          <w:b/>
          <w:color w:val="008C9E"/>
          <w:sz w:val="24"/>
        </w:rPr>
        <w:t>Reference 1 — Initech Sensors (closest comparable)</w:t>
      </w:r>
    </w:p>
    <w:tbl>
      <w:tblPr>
        <w:tblW w:type="auto" w:w="0"/>
        <w:jc w:val="center"/>
        <w:tblLayout w:type="fixed"/>
        <w:tblLook w:firstColumn="1" w:firstRow="1" w:lastColumn="0" w:lastRow="0" w:noHBand="0" w:noVBand="1" w:val="04A0"/>
      </w:tblPr>
      <w:tblGrid>
        <w:gridCol w:w="4873"/>
        <w:gridCol w:w="4873"/>
      </w:tblGrid>
      <w:tr>
        <w:tc>
          <w:tcPr>
            <w:tcW w:type="dxa" w:w="2592"/>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r>
          </w:p>
        </w:tc>
        <w:tc>
          <w:tcPr>
            <w:tcW w:type="dxa" w:w="6912"/>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r>
          </w:p>
        </w:tc>
      </w:tr>
      <w:tr>
        <w:tc>
          <w:tcPr>
            <w:tcW w:type="dxa" w:w="2592"/>
            <w:tcBorders>
              <w:top w:val="single" w:sz="4" w:color="BFCBD9"/>
              <w:left w:val="single" w:sz="4" w:color="BFCBD9"/>
              <w:bottom w:val="single" w:sz="4" w:color="BFCBD9"/>
              <w:right w:val="single" w:sz="4" w:color="BFCBD9"/>
            </w:tcBorders>
            <w:vAlign w:val="center"/>
          </w:tcPr>
          <w:p>
            <w:r/>
            <w:r>
              <w:rPr>
                <w:color w:val="4A4A4A"/>
                <w:sz w:val="20"/>
              </w:rPr>
              <w:t>Industry</w:t>
            </w:r>
          </w:p>
        </w:tc>
        <w:tc>
          <w:tcPr>
            <w:tcW w:type="dxa" w:w="6912"/>
            <w:tcBorders>
              <w:top w:val="single" w:sz="4" w:color="BFCBD9"/>
              <w:left w:val="single" w:sz="4" w:color="BFCBD9"/>
              <w:bottom w:val="single" w:sz="4" w:color="BFCBD9"/>
              <w:right w:val="single" w:sz="4" w:color="BFCBD9"/>
            </w:tcBorders>
            <w:vAlign w:val="center"/>
          </w:tcPr>
          <w:p>
            <w:r/>
            <w:r>
              <w:rPr>
                <w:color w:val="4A4A4A"/>
                <w:sz w:val="20"/>
              </w:rPr>
              <w:t>Industrial / IoT — direct comparable to Acme</w:t>
            </w:r>
          </w:p>
        </w:tc>
      </w:tr>
      <w:tr>
        <w:tc>
          <w:tcPr>
            <w:tcW w:type="dxa" w:w="2592"/>
            <w:tcBorders>
              <w:top w:val="single" w:sz="4" w:color="BFCBD9"/>
              <w:left w:val="single" w:sz="4" w:color="BFCBD9"/>
              <w:bottom w:val="single" w:sz="4" w:color="BFCBD9"/>
              <w:right w:val="single" w:sz="4" w:color="BFCBD9"/>
            </w:tcBorders>
            <w:vAlign w:val="center"/>
            <w:shd w:val="clear" w:color="auto" w:fill="F4F7FB"/>
          </w:tcPr>
          <w:p>
            <w:r/>
            <w:r>
              <w:rPr>
                <w:color w:val="4A4A4A"/>
                <w:sz w:val="20"/>
              </w:rPr>
              <w:t>Annual contract value</w:t>
            </w:r>
          </w:p>
        </w:tc>
        <w:tc>
          <w:tcPr>
            <w:tcW w:type="dxa" w:w="69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$420,000</w:t>
            </w:r>
          </w:p>
        </w:tc>
      </w:tr>
      <w:tr>
        <w:tc>
          <w:tcPr>
            <w:tcW w:type="dxa" w:w="2592"/>
            <w:tcBorders>
              <w:top w:val="single" w:sz="4" w:color="BFCBD9"/>
              <w:left w:val="single" w:sz="4" w:color="BFCBD9"/>
              <w:bottom w:val="single" w:sz="4" w:color="BFCBD9"/>
              <w:right w:val="single" w:sz="4" w:color="BFCBD9"/>
            </w:tcBorders>
            <w:vAlign w:val="center"/>
          </w:tcPr>
          <w:p>
            <w:r/>
            <w:r>
              <w:rPr>
                <w:color w:val="4A4A4A"/>
                <w:sz w:val="20"/>
              </w:rPr>
              <w:t>Term</w:t>
            </w:r>
          </w:p>
        </w:tc>
        <w:tc>
          <w:tcPr>
            <w:tcW w:type="dxa" w:w="6912"/>
            <w:tcBorders>
              <w:top w:val="single" w:sz="4" w:color="BFCBD9"/>
              <w:left w:val="single" w:sz="4" w:color="BFCBD9"/>
              <w:bottom w:val="single" w:sz="4" w:color="BFCBD9"/>
              <w:right w:val="single" w:sz="4" w:color="BFCBD9"/>
            </w:tcBorders>
            <w:vAlign w:val="center"/>
          </w:tcPr>
          <w:p>
            <w:r/>
            <w:r>
              <w:rPr>
                <w:color w:val="4A4A4A"/>
                <w:sz w:val="20"/>
              </w:rPr>
              <w:t>2 years (2025–2027)</w:t>
            </w:r>
          </w:p>
        </w:tc>
      </w:tr>
      <w:tr>
        <w:tc>
          <w:tcPr>
            <w:tcW w:type="dxa" w:w="2592"/>
            <w:tcBorders>
              <w:top w:val="single" w:sz="4" w:color="BFCBD9"/>
              <w:left w:val="single" w:sz="4" w:color="BFCBD9"/>
              <w:bottom w:val="single" w:sz="4" w:color="BFCBD9"/>
              <w:right w:val="single" w:sz="4" w:color="BFCBD9"/>
            </w:tcBorders>
            <w:vAlign w:val="center"/>
            <w:shd w:val="clear" w:color="auto" w:fill="F4F7FB"/>
          </w:tcPr>
          <w:p>
            <w:r/>
            <w:r>
              <w:rPr>
                <w:color w:val="4A4A4A"/>
                <w:sz w:val="20"/>
              </w:rPr>
              <w:t>Competitors displaced</w:t>
            </w:r>
          </w:p>
        </w:tc>
        <w:tc>
          <w:tcPr>
            <w:tcW w:type="dxa" w:w="69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Microsoft Fabric</w:t>
            </w:r>
          </w:p>
        </w:tc>
      </w:tr>
      <w:tr>
        <w:tc>
          <w:tcPr>
            <w:tcW w:type="dxa" w:w="2592"/>
            <w:tcBorders>
              <w:top w:val="single" w:sz="4" w:color="BFCBD9"/>
              <w:left w:val="single" w:sz="4" w:color="BFCBD9"/>
              <w:bottom w:val="single" w:sz="4" w:color="BFCBD9"/>
              <w:right w:val="single" w:sz="4" w:color="BFCBD9"/>
            </w:tcBorders>
            <w:vAlign w:val="center"/>
          </w:tcPr>
          <w:p>
            <w:r/>
            <w:r>
              <w:rPr>
                <w:color w:val="4A4A4A"/>
                <w:sz w:val="20"/>
              </w:rPr>
              <w:t>Won on</w:t>
            </w:r>
          </w:p>
        </w:tc>
        <w:tc>
          <w:tcPr>
            <w:tcW w:type="dxa" w:w="6912"/>
            <w:tcBorders>
              <w:top w:val="single" w:sz="4" w:color="BFCBD9"/>
              <w:left w:val="single" w:sz="4" w:color="BFCBD9"/>
              <w:bottom w:val="single" w:sz="4" w:color="BFCBD9"/>
              <w:right w:val="single" w:sz="4" w:color="BFCBD9"/>
            </w:tcBorders>
            <w:vAlign w:val="center"/>
          </w:tcPr>
          <w:p>
            <w:r/>
            <w:r>
              <w:rPr>
                <w:color w:val="4A4A4A"/>
                <w:sz w:val="20"/>
              </w:rPr>
              <w:t>Real-time ingest performance and governance maturity. Microsoft Fabric was offering "free with E5" but could not match real-time SLA.</w:t>
            </w:r>
          </w:p>
        </w:tc>
      </w:tr>
      <w:tr>
        <w:tc>
          <w:tcPr>
            <w:tcW w:type="dxa" w:w="2592"/>
            <w:tcBorders>
              <w:top w:val="single" w:sz="4" w:color="BFCBD9"/>
              <w:left w:val="single" w:sz="4" w:color="BFCBD9"/>
              <w:bottom w:val="single" w:sz="4" w:color="BFCBD9"/>
              <w:right w:val="single" w:sz="4" w:color="BFCBD9"/>
            </w:tcBorders>
            <w:vAlign w:val="center"/>
            <w:shd w:val="clear" w:color="auto" w:fill="F4F7FB"/>
          </w:tcPr>
          <w:p>
            <w:r/>
            <w:r>
              <w:rPr>
                <w:color w:val="4A4A4A"/>
                <w:sz w:val="20"/>
              </w:rPr>
              <w:t>Power BI footprint</w:t>
            </w:r>
          </w:p>
        </w:tc>
        <w:tc>
          <w:tcPr>
            <w:tcW w:type="dxa" w:w="69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Yes — production deployment</w:t>
            </w:r>
          </w:p>
        </w:tc>
      </w:tr>
      <w:tr>
        <w:tc>
          <w:tcPr>
            <w:tcW w:type="dxa" w:w="2592"/>
            <w:tcBorders>
              <w:top w:val="single" w:sz="4" w:color="BFCBD9"/>
              <w:left w:val="single" w:sz="4" w:color="BFCBD9"/>
              <w:bottom w:val="single" w:sz="4" w:color="BFCBD9"/>
              <w:right w:val="single" w:sz="4" w:color="BFCBD9"/>
            </w:tcBorders>
            <w:vAlign w:val="center"/>
          </w:tcPr>
          <w:p>
            <w:r/>
            <w:r>
              <w:rPr>
                <w:color w:val="4A4A4A"/>
                <w:sz w:val="20"/>
              </w:rPr>
              <w:t>Azure footprint</w:t>
            </w:r>
          </w:p>
        </w:tc>
        <w:tc>
          <w:tcPr>
            <w:tcW w:type="dxa" w:w="6912"/>
            <w:tcBorders>
              <w:top w:val="single" w:sz="4" w:color="BFCBD9"/>
              <w:left w:val="single" w:sz="4" w:color="BFCBD9"/>
              <w:bottom w:val="single" w:sz="4" w:color="BFCBD9"/>
              <w:right w:val="single" w:sz="4" w:color="BFCBD9"/>
            </w:tcBorders>
            <w:vAlign w:val="center"/>
          </w:tcPr>
          <w:p>
            <w:r/>
            <w:r>
              <w:rPr>
                <w:color w:val="4A4A4A"/>
                <w:sz w:val="20"/>
              </w:rPr>
              <w:t>Yes</w:t>
            </w:r>
          </w:p>
        </w:tc>
      </w:tr>
    </w:tbl>
    <w:p>
      <w:pPr>
        <w:spacing w:after="160" w:line="300" w:lineRule="auto"/>
      </w:pPr>
      <w:r>
        <w:rPr>
          <w:b w:val="0"/>
          <w:i w:val="0"/>
          <w:color w:val="4A4A4A"/>
          <w:sz w:val="22"/>
        </w:rPr>
      </w:r>
    </w:p>
    <w:p>
      <w:pPr>
        <w:spacing w:before="200" w:after="40"/>
      </w:pPr>
      <w:r>
        <w:rPr>
          <w:b/>
          <w:color w:val="008C9E"/>
          <w:sz w:val="24"/>
        </w:rPr>
        <w:t>Reference 2 — Globex Manufacturing</w:t>
      </w:r>
    </w:p>
    <w:tbl>
      <w:tblPr>
        <w:tblW w:type="auto" w:w="0"/>
        <w:jc w:val="center"/>
        <w:tblLayout w:type="fixed"/>
        <w:tblLook w:firstColumn="1" w:firstRow="1" w:lastColumn="0" w:lastRow="0" w:noHBand="0" w:noVBand="1" w:val="04A0"/>
      </w:tblPr>
      <w:tblGrid>
        <w:gridCol w:w="4873"/>
        <w:gridCol w:w="4873"/>
      </w:tblGrid>
      <w:tr>
        <w:tc>
          <w:tcPr>
            <w:tcW w:type="dxa" w:w="2592"/>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r>
          </w:p>
        </w:tc>
        <w:tc>
          <w:tcPr>
            <w:tcW w:type="dxa" w:w="6912"/>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r>
          </w:p>
        </w:tc>
      </w:tr>
      <w:tr>
        <w:tc>
          <w:tcPr>
            <w:tcW w:type="dxa" w:w="2592"/>
            <w:tcBorders>
              <w:top w:val="single" w:sz="4" w:color="BFCBD9"/>
              <w:left w:val="single" w:sz="4" w:color="BFCBD9"/>
              <w:bottom w:val="single" w:sz="4" w:color="BFCBD9"/>
              <w:right w:val="single" w:sz="4" w:color="BFCBD9"/>
            </w:tcBorders>
            <w:vAlign w:val="center"/>
          </w:tcPr>
          <w:p>
            <w:r/>
            <w:r>
              <w:rPr>
                <w:color w:val="4A4A4A"/>
                <w:sz w:val="20"/>
              </w:rPr>
              <w:t>Industry</w:t>
            </w:r>
          </w:p>
        </w:tc>
        <w:tc>
          <w:tcPr>
            <w:tcW w:type="dxa" w:w="6912"/>
            <w:tcBorders>
              <w:top w:val="single" w:sz="4" w:color="BFCBD9"/>
              <w:left w:val="single" w:sz="4" w:color="BFCBD9"/>
              <w:bottom w:val="single" w:sz="4" w:color="BFCBD9"/>
              <w:right w:val="single" w:sz="4" w:color="BFCBD9"/>
            </w:tcBorders>
            <w:vAlign w:val="center"/>
          </w:tcPr>
          <w:p>
            <w:r/>
            <w:r>
              <w:rPr>
                <w:color w:val="4A4A4A"/>
                <w:sz w:val="20"/>
              </w:rPr>
              <w:t>Industrial / Manufacturing</w:t>
            </w:r>
          </w:p>
        </w:tc>
      </w:tr>
      <w:tr>
        <w:tc>
          <w:tcPr>
            <w:tcW w:type="dxa" w:w="2592"/>
            <w:tcBorders>
              <w:top w:val="single" w:sz="4" w:color="BFCBD9"/>
              <w:left w:val="single" w:sz="4" w:color="BFCBD9"/>
              <w:bottom w:val="single" w:sz="4" w:color="BFCBD9"/>
              <w:right w:val="single" w:sz="4" w:color="BFCBD9"/>
            </w:tcBorders>
            <w:vAlign w:val="center"/>
            <w:shd w:val="clear" w:color="auto" w:fill="F4F7FB"/>
          </w:tcPr>
          <w:p>
            <w:r/>
            <w:r>
              <w:rPr>
                <w:color w:val="4A4A4A"/>
                <w:sz w:val="20"/>
              </w:rPr>
              <w:t>Annual contract value</w:t>
            </w:r>
          </w:p>
        </w:tc>
        <w:tc>
          <w:tcPr>
            <w:tcW w:type="dxa" w:w="69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$580,000</w:t>
            </w:r>
          </w:p>
        </w:tc>
      </w:tr>
      <w:tr>
        <w:tc>
          <w:tcPr>
            <w:tcW w:type="dxa" w:w="2592"/>
            <w:tcBorders>
              <w:top w:val="single" w:sz="4" w:color="BFCBD9"/>
              <w:left w:val="single" w:sz="4" w:color="BFCBD9"/>
              <w:bottom w:val="single" w:sz="4" w:color="BFCBD9"/>
              <w:right w:val="single" w:sz="4" w:color="BFCBD9"/>
            </w:tcBorders>
            <w:vAlign w:val="center"/>
          </w:tcPr>
          <w:p>
            <w:r/>
            <w:r>
              <w:rPr>
                <w:color w:val="4A4A4A"/>
                <w:sz w:val="20"/>
              </w:rPr>
              <w:t>Term</w:t>
            </w:r>
          </w:p>
        </w:tc>
        <w:tc>
          <w:tcPr>
            <w:tcW w:type="dxa" w:w="6912"/>
            <w:tcBorders>
              <w:top w:val="single" w:sz="4" w:color="BFCBD9"/>
              <w:left w:val="single" w:sz="4" w:color="BFCBD9"/>
              <w:bottom w:val="single" w:sz="4" w:color="BFCBD9"/>
              <w:right w:val="single" w:sz="4" w:color="BFCBD9"/>
            </w:tcBorders>
            <w:vAlign w:val="center"/>
          </w:tcPr>
          <w:p>
            <w:r/>
            <w:r>
              <w:rPr>
                <w:color w:val="4A4A4A"/>
                <w:sz w:val="20"/>
              </w:rPr>
              <w:t>3 years (2025–2028)</w:t>
            </w:r>
          </w:p>
        </w:tc>
      </w:tr>
      <w:tr>
        <w:tc>
          <w:tcPr>
            <w:tcW w:type="dxa" w:w="2592"/>
            <w:tcBorders>
              <w:top w:val="single" w:sz="4" w:color="BFCBD9"/>
              <w:left w:val="single" w:sz="4" w:color="BFCBD9"/>
              <w:bottom w:val="single" w:sz="4" w:color="BFCBD9"/>
              <w:right w:val="single" w:sz="4" w:color="BFCBD9"/>
            </w:tcBorders>
            <w:vAlign w:val="center"/>
            <w:shd w:val="clear" w:color="auto" w:fill="F4F7FB"/>
          </w:tcPr>
          <w:p>
            <w:r/>
            <w:r>
              <w:rPr>
                <w:color w:val="4A4A4A"/>
                <w:sz w:val="20"/>
              </w:rPr>
              <w:t>Competitors displaced</w:t>
            </w:r>
          </w:p>
        </w:tc>
        <w:tc>
          <w:tcPr>
            <w:tcW w:type="dxa" w:w="69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Snowflake, Databricks</w:t>
            </w:r>
          </w:p>
        </w:tc>
      </w:tr>
      <w:tr>
        <w:tc>
          <w:tcPr>
            <w:tcW w:type="dxa" w:w="2592"/>
            <w:tcBorders>
              <w:top w:val="single" w:sz="4" w:color="BFCBD9"/>
              <w:left w:val="single" w:sz="4" w:color="BFCBD9"/>
              <w:bottom w:val="single" w:sz="4" w:color="BFCBD9"/>
              <w:right w:val="single" w:sz="4" w:color="BFCBD9"/>
            </w:tcBorders>
            <w:vAlign w:val="center"/>
          </w:tcPr>
          <w:p>
            <w:r/>
            <w:r>
              <w:rPr>
                <w:color w:val="4A4A4A"/>
                <w:sz w:val="20"/>
              </w:rPr>
              <w:t>Won on</w:t>
            </w:r>
          </w:p>
        </w:tc>
        <w:tc>
          <w:tcPr>
            <w:tcW w:type="dxa" w:w="6912"/>
            <w:tcBorders>
              <w:top w:val="single" w:sz="4" w:color="BFCBD9"/>
              <w:left w:val="single" w:sz="4" w:color="BFCBD9"/>
              <w:bottom w:val="single" w:sz="4" w:color="BFCBD9"/>
              <w:right w:val="single" w:sz="4" w:color="BFCBD9"/>
            </w:tcBorders>
            <w:vAlign w:val="center"/>
          </w:tcPr>
          <w:p>
            <w:r/>
            <w:r>
              <w:rPr>
                <w:color w:val="4A4A4A"/>
                <w:sz w:val="20"/>
              </w:rPr>
              <w:t>TCO and multi-cloud flexibility. Customer arrived favouring Snowflake; 3-year TCO comparison at actual workload profile (heavy unstructured) closed the case for BTS-Synthetic.</w:t>
            </w:r>
          </w:p>
        </w:tc>
      </w:tr>
      <w:tr>
        <w:tc>
          <w:tcPr>
            <w:tcW w:type="dxa" w:w="2592"/>
            <w:tcBorders>
              <w:top w:val="single" w:sz="4" w:color="BFCBD9"/>
              <w:left w:val="single" w:sz="4" w:color="BFCBD9"/>
              <w:bottom w:val="single" w:sz="4" w:color="BFCBD9"/>
              <w:right w:val="single" w:sz="4" w:color="BFCBD9"/>
            </w:tcBorders>
            <w:vAlign w:val="center"/>
            <w:shd w:val="clear" w:color="auto" w:fill="F4F7FB"/>
          </w:tcPr>
          <w:p>
            <w:r/>
            <w:r>
              <w:rPr>
                <w:color w:val="4A4A4A"/>
                <w:sz w:val="20"/>
              </w:rPr>
              <w:t>Power BI footprint</w:t>
            </w:r>
          </w:p>
        </w:tc>
        <w:tc>
          <w:tcPr>
            <w:tcW w:type="dxa" w:w="69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Yes</w:t>
            </w:r>
          </w:p>
        </w:tc>
      </w:tr>
      <w:tr>
        <w:tc>
          <w:tcPr>
            <w:tcW w:type="dxa" w:w="2592"/>
            <w:tcBorders>
              <w:top w:val="single" w:sz="4" w:color="BFCBD9"/>
              <w:left w:val="single" w:sz="4" w:color="BFCBD9"/>
              <w:bottom w:val="single" w:sz="4" w:color="BFCBD9"/>
              <w:right w:val="single" w:sz="4" w:color="BFCBD9"/>
            </w:tcBorders>
            <w:vAlign w:val="center"/>
          </w:tcPr>
          <w:p>
            <w:r/>
            <w:r>
              <w:rPr>
                <w:color w:val="4A4A4A"/>
                <w:sz w:val="20"/>
              </w:rPr>
              <w:t>Azure footprint</w:t>
            </w:r>
          </w:p>
        </w:tc>
        <w:tc>
          <w:tcPr>
            <w:tcW w:type="dxa" w:w="6912"/>
            <w:tcBorders>
              <w:top w:val="single" w:sz="4" w:color="BFCBD9"/>
              <w:left w:val="single" w:sz="4" w:color="BFCBD9"/>
              <w:bottom w:val="single" w:sz="4" w:color="BFCBD9"/>
              <w:right w:val="single" w:sz="4" w:color="BFCBD9"/>
            </w:tcBorders>
            <w:vAlign w:val="center"/>
          </w:tcPr>
          <w:p>
            <w:r/>
            <w:r>
              <w:rPr>
                <w:color w:val="4A4A4A"/>
                <w:sz w:val="20"/>
              </w:rPr>
              <w:t>Yes (primary), multi-cloud retained</w:t>
            </w:r>
          </w:p>
        </w:tc>
      </w:tr>
    </w:tbl>
    <w:p>
      <w:pPr>
        <w:spacing w:after="160" w:line="300" w:lineRule="auto"/>
      </w:pPr>
      <w:r>
        <w:rPr>
          <w:b w:val="0"/>
          <w:i w:val="0"/>
          <w:color w:val="4A4A4A"/>
          <w:sz w:val="22"/>
        </w:rPr>
      </w:r>
    </w:p>
    <w:p>
      <w:pPr>
        <w:spacing w:before="200" w:after="40"/>
      </w:pPr>
      <w:r>
        <w:rPr>
          <w:b/>
          <w:color w:val="008C9E"/>
          <w:sz w:val="24"/>
        </w:rPr>
        <w:t>Reference 3 — Stark Industries</w:t>
      </w:r>
    </w:p>
    <w:tbl>
      <w:tblPr>
        <w:tblW w:type="auto" w:w="0"/>
        <w:jc w:val="center"/>
        <w:tblLayout w:type="fixed"/>
        <w:tblLook w:firstColumn="1" w:firstRow="1" w:lastColumn="0" w:lastRow="0" w:noHBand="0" w:noVBand="1" w:val="04A0"/>
      </w:tblPr>
      <w:tblGrid>
        <w:gridCol w:w="4873"/>
        <w:gridCol w:w="4873"/>
      </w:tblGrid>
      <w:tr>
        <w:tc>
          <w:tcPr>
            <w:tcW w:type="dxa" w:w="2592"/>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r>
          </w:p>
        </w:tc>
        <w:tc>
          <w:tcPr>
            <w:tcW w:type="dxa" w:w="6912"/>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r>
          </w:p>
        </w:tc>
      </w:tr>
      <w:tr>
        <w:tc>
          <w:tcPr>
            <w:tcW w:type="dxa" w:w="2592"/>
            <w:tcBorders>
              <w:top w:val="single" w:sz="4" w:color="BFCBD9"/>
              <w:left w:val="single" w:sz="4" w:color="BFCBD9"/>
              <w:bottom w:val="single" w:sz="4" w:color="BFCBD9"/>
              <w:right w:val="single" w:sz="4" w:color="BFCBD9"/>
            </w:tcBorders>
            <w:vAlign w:val="center"/>
          </w:tcPr>
          <w:p>
            <w:r/>
            <w:r>
              <w:rPr>
                <w:color w:val="4A4A4A"/>
                <w:sz w:val="20"/>
              </w:rPr>
              <w:t>Industry</w:t>
            </w:r>
          </w:p>
        </w:tc>
        <w:tc>
          <w:tcPr>
            <w:tcW w:type="dxa" w:w="6912"/>
            <w:tcBorders>
              <w:top w:val="single" w:sz="4" w:color="BFCBD9"/>
              <w:left w:val="single" w:sz="4" w:color="BFCBD9"/>
              <w:bottom w:val="single" w:sz="4" w:color="BFCBD9"/>
              <w:right w:val="single" w:sz="4" w:color="BFCBD9"/>
            </w:tcBorders>
            <w:vAlign w:val="center"/>
          </w:tcPr>
          <w:p>
            <w:r/>
            <w:r>
              <w:rPr>
                <w:color w:val="4A4A4A"/>
                <w:sz w:val="20"/>
              </w:rPr>
              <w:t>Defence / Aerospace</w:t>
            </w:r>
          </w:p>
        </w:tc>
      </w:tr>
      <w:tr>
        <w:tc>
          <w:tcPr>
            <w:tcW w:type="dxa" w:w="2592"/>
            <w:tcBorders>
              <w:top w:val="single" w:sz="4" w:color="BFCBD9"/>
              <w:left w:val="single" w:sz="4" w:color="BFCBD9"/>
              <w:bottom w:val="single" w:sz="4" w:color="BFCBD9"/>
              <w:right w:val="single" w:sz="4" w:color="BFCBD9"/>
            </w:tcBorders>
            <w:vAlign w:val="center"/>
            <w:shd w:val="clear" w:color="auto" w:fill="F4F7FB"/>
          </w:tcPr>
          <w:p>
            <w:r/>
            <w:r>
              <w:rPr>
                <w:color w:val="4A4A4A"/>
                <w:sz w:val="20"/>
              </w:rPr>
              <w:t>Annual contract value</w:t>
            </w:r>
          </w:p>
        </w:tc>
        <w:tc>
          <w:tcPr>
            <w:tcW w:type="dxa" w:w="69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$1,100,000</w:t>
            </w:r>
          </w:p>
        </w:tc>
      </w:tr>
      <w:tr>
        <w:tc>
          <w:tcPr>
            <w:tcW w:type="dxa" w:w="2592"/>
            <w:tcBorders>
              <w:top w:val="single" w:sz="4" w:color="BFCBD9"/>
              <w:left w:val="single" w:sz="4" w:color="BFCBD9"/>
              <w:bottom w:val="single" w:sz="4" w:color="BFCBD9"/>
              <w:right w:val="single" w:sz="4" w:color="BFCBD9"/>
            </w:tcBorders>
            <w:vAlign w:val="center"/>
          </w:tcPr>
          <w:p>
            <w:r/>
            <w:r>
              <w:rPr>
                <w:color w:val="4A4A4A"/>
                <w:sz w:val="20"/>
              </w:rPr>
              <w:t>Term</w:t>
            </w:r>
          </w:p>
        </w:tc>
        <w:tc>
          <w:tcPr>
            <w:tcW w:type="dxa" w:w="6912"/>
            <w:tcBorders>
              <w:top w:val="single" w:sz="4" w:color="BFCBD9"/>
              <w:left w:val="single" w:sz="4" w:color="BFCBD9"/>
              <w:bottom w:val="single" w:sz="4" w:color="BFCBD9"/>
              <w:right w:val="single" w:sz="4" w:color="BFCBD9"/>
            </w:tcBorders>
            <w:vAlign w:val="center"/>
          </w:tcPr>
          <w:p>
            <w:r/>
            <w:r>
              <w:rPr>
                <w:color w:val="4A4A4A"/>
                <w:sz w:val="20"/>
              </w:rPr>
              <w:t>5 years (2026–2031)</w:t>
            </w:r>
          </w:p>
        </w:tc>
      </w:tr>
      <w:tr>
        <w:tc>
          <w:tcPr>
            <w:tcW w:type="dxa" w:w="2592"/>
            <w:tcBorders>
              <w:top w:val="single" w:sz="4" w:color="BFCBD9"/>
              <w:left w:val="single" w:sz="4" w:color="BFCBD9"/>
              <w:bottom w:val="single" w:sz="4" w:color="BFCBD9"/>
              <w:right w:val="single" w:sz="4" w:color="BFCBD9"/>
            </w:tcBorders>
            <w:vAlign w:val="center"/>
            <w:shd w:val="clear" w:color="auto" w:fill="F4F7FB"/>
          </w:tcPr>
          <w:p>
            <w:r/>
            <w:r>
              <w:rPr>
                <w:color w:val="4A4A4A"/>
                <w:sz w:val="20"/>
              </w:rPr>
              <w:t>Competitors displaced</w:t>
            </w:r>
          </w:p>
        </w:tc>
        <w:tc>
          <w:tcPr>
            <w:tcW w:type="dxa" w:w="69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Databricks, Snowflake, Microsoft Fabric</w:t>
            </w:r>
          </w:p>
        </w:tc>
      </w:tr>
      <w:tr>
        <w:tc>
          <w:tcPr>
            <w:tcW w:type="dxa" w:w="2592"/>
            <w:tcBorders>
              <w:top w:val="single" w:sz="4" w:color="BFCBD9"/>
              <w:left w:val="single" w:sz="4" w:color="BFCBD9"/>
              <w:bottom w:val="single" w:sz="4" w:color="BFCBD9"/>
              <w:right w:val="single" w:sz="4" w:color="BFCBD9"/>
            </w:tcBorders>
            <w:vAlign w:val="center"/>
          </w:tcPr>
          <w:p>
            <w:r/>
            <w:r>
              <w:rPr>
                <w:color w:val="4A4A4A"/>
                <w:sz w:val="20"/>
              </w:rPr>
              <w:t>Won on</w:t>
            </w:r>
          </w:p>
        </w:tc>
        <w:tc>
          <w:tcPr>
            <w:tcW w:type="dxa" w:w="6912"/>
            <w:tcBorders>
              <w:top w:val="single" w:sz="4" w:color="BFCBD9"/>
              <w:left w:val="single" w:sz="4" w:color="BFCBD9"/>
              <w:bottom w:val="single" w:sz="4" w:color="BFCBD9"/>
              <w:right w:val="single" w:sz="4" w:color="BFCBD9"/>
            </w:tcBorders>
            <w:vAlign w:val="center"/>
          </w:tcPr>
          <w:p>
            <w:r/>
            <w:r>
              <w:rPr>
                <w:color w:val="4A4A4A"/>
                <w:sz w:val="20"/>
              </w:rPr>
              <w:t>Sovereign deployment and IP licence-back model. Stark initially demanded full IP assignment of custom work (same as Acme §4.4); we offered perpetual royalty-free licence-back and Stark accepted.</w:t>
            </w:r>
          </w:p>
        </w:tc>
      </w:tr>
      <w:tr>
        <w:tc>
          <w:tcPr>
            <w:tcW w:type="dxa" w:w="2592"/>
            <w:tcBorders>
              <w:top w:val="single" w:sz="4" w:color="BFCBD9"/>
              <w:left w:val="single" w:sz="4" w:color="BFCBD9"/>
              <w:bottom w:val="single" w:sz="4" w:color="BFCBD9"/>
              <w:right w:val="single" w:sz="4" w:color="BFCBD9"/>
            </w:tcBorders>
            <w:vAlign w:val="center"/>
            <w:shd w:val="clear" w:color="auto" w:fill="F4F7FB"/>
          </w:tcPr>
          <w:p>
            <w:r/>
            <w:r>
              <w:rPr>
                <w:color w:val="4A4A4A"/>
                <w:sz w:val="20"/>
              </w:rPr>
              <w:t>Power BI footprint</w:t>
            </w:r>
          </w:p>
        </w:tc>
        <w:tc>
          <w:tcPr>
            <w:tcW w:type="dxa" w:w="69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Yes</w:t>
            </w:r>
          </w:p>
        </w:tc>
      </w:tr>
      <w:tr>
        <w:tc>
          <w:tcPr>
            <w:tcW w:type="dxa" w:w="2592"/>
            <w:tcBorders>
              <w:top w:val="single" w:sz="4" w:color="BFCBD9"/>
              <w:left w:val="single" w:sz="4" w:color="BFCBD9"/>
              <w:bottom w:val="single" w:sz="4" w:color="BFCBD9"/>
              <w:right w:val="single" w:sz="4" w:color="BFCBD9"/>
            </w:tcBorders>
            <w:vAlign w:val="center"/>
          </w:tcPr>
          <w:p>
            <w:r/>
            <w:r>
              <w:rPr>
                <w:color w:val="4A4A4A"/>
                <w:sz w:val="20"/>
              </w:rPr>
              <w:t>Azure footprint</w:t>
            </w:r>
          </w:p>
        </w:tc>
        <w:tc>
          <w:tcPr>
            <w:tcW w:type="dxa" w:w="6912"/>
            <w:tcBorders>
              <w:top w:val="single" w:sz="4" w:color="BFCBD9"/>
              <w:left w:val="single" w:sz="4" w:color="BFCBD9"/>
              <w:bottom w:val="single" w:sz="4" w:color="BFCBD9"/>
              <w:right w:val="single" w:sz="4" w:color="BFCBD9"/>
            </w:tcBorders>
            <w:vAlign w:val="center"/>
          </w:tcPr>
          <w:p>
            <w:r/>
            <w:r>
              <w:rPr>
                <w:color w:val="4A4A4A"/>
                <w:sz w:val="20"/>
              </w:rPr>
              <w:t>Yes</w:t>
            </w:r>
          </w:p>
        </w:tc>
      </w:tr>
      <w:tr>
        <w:tc>
          <w:tcPr>
            <w:tcW w:type="dxa" w:w="2592"/>
            <w:tcBorders>
              <w:top w:val="single" w:sz="4" w:color="BFCBD9"/>
              <w:left w:val="single" w:sz="4" w:color="BFCBD9"/>
              <w:bottom w:val="single" w:sz="4" w:color="BFCBD9"/>
              <w:right w:val="single" w:sz="4" w:color="BFCBD9"/>
            </w:tcBorders>
            <w:vAlign w:val="center"/>
            <w:shd w:val="clear" w:color="auto" w:fill="F4F7FB"/>
          </w:tcPr>
          <w:p>
            <w:r/>
            <w:r>
              <w:rPr>
                <w:color w:val="4A4A4A"/>
                <w:sz w:val="20"/>
              </w:rPr>
              <w:t>Relevance to Acme</w:t>
            </w:r>
          </w:p>
        </w:tc>
        <w:tc>
          <w:tcPr>
            <w:tcW w:type="dxa" w:w="6912"/>
            <w:tcBorders>
              <w:top w:val="single" w:sz="4" w:color="BFCBD9"/>
              <w:left w:val="single" w:sz="4" w:color="BFCBD9"/>
              <w:bottom w:val="single" w:sz="4" w:color="BFCBD9"/>
              <w:right w:val="single" w:sz="4" w:color="BFCBD9"/>
            </w:tcBorders>
            <w:vAlign w:val="center"/>
            <w:shd w:val="clear" w:color="auto" w:fill="F4F7FB"/>
          </w:tcPr>
          <w:p>
            <w:r/>
            <w:r>
              <w:rPr>
                <w:color w:val="4A4A4A"/>
                <w:sz w:val="20"/>
              </w:rPr>
              <w:t>Sets the contractual precedent for our position on §4.4 in this RFP.</w:t>
            </w:r>
          </w:p>
        </w:tc>
      </w:tr>
    </w:tbl>
    <w:p>
      <w:pPr>
        <w:spacing w:after="120" w:line="300" w:lineRule="auto"/>
      </w:pPr>
      <w:r>
        <w:rPr>
          <w:b w:val="0"/>
          <w:i w:val="0"/>
          <w:color w:val="4A4A4A"/>
          <w:sz w:val="22"/>
        </w:rPr>
      </w:r>
    </w:p>
    <w:p>
      <w:pPr>
        <w:spacing w:after="120" w:line="300" w:lineRule="auto"/>
      </w:pPr>
      <w:r>
        <w:rPr>
          <w:b/>
          <w:i w:val="0"/>
          <w:color w:val="0B2C4D"/>
          <w:sz w:val="22"/>
        </w:rPr>
        <w:t xml:space="preserve">Capability Matrix attachment (per RFP §7): </w:t>
      </w:r>
      <w:r>
        <w:rPr>
          <w:b w:val="0"/>
          <w:i/>
          <w:color w:val="4A4A4A"/>
          <w:sz w:val="22"/>
        </w:rPr>
        <w:t>submitted separately under cover of this response.</w:t>
      </w:r>
    </w:p>
    <w:p>
      <w:r>
        <w:br w:type="page"/>
      </w:r>
    </w:p>
    <w:p>
      <w:pPr>
        <w:spacing w:before="360" w:after="120"/>
        <w:pBdr>
          <w:bottom w:val="single" w:sz="12" w:space="1" w:color="008C9E"/>
        </w:pBdr>
      </w:pPr>
      <w:r>
        <w:rPr>
          <w:rFonts w:ascii="Calibri" w:hAnsi="Calibri"/>
          <w:b/>
          <w:color w:val="0B2C4D"/>
          <w:sz w:val="40"/>
        </w:rPr>
        <w:t>9. Risk Register — Top 3</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576"/>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w:t>
            </w:r>
          </w:p>
        </w:tc>
        <w:tc>
          <w:tcPr>
            <w:tcW w:type="dxa" w:w="2592"/>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Risk</w:t>
            </w:r>
          </w:p>
        </w:tc>
        <w:tc>
          <w:tcPr>
            <w:tcW w:type="dxa" w:w="1152"/>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Probability</w:t>
            </w:r>
          </w:p>
        </w:tc>
        <w:tc>
          <w:tcPr>
            <w:tcW w:type="dxa" w:w="1008"/>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Impact</w:t>
            </w:r>
          </w:p>
        </w:tc>
        <w:tc>
          <w:tcPr>
            <w:tcW w:type="dxa" w:w="4176"/>
            <w:shd w:val="clear" w:color="auto" w:fill="0B2C4D"/>
            <w:tcBorders>
              <w:top w:val="single" w:sz="4" w:color="0B2C4D"/>
              <w:left w:val="single" w:sz="4" w:color="0B2C4D"/>
              <w:bottom w:val="single" w:sz="4" w:color="0B2C4D"/>
              <w:right w:val="single" w:sz="4" w:color="0B2C4D"/>
            </w:tcBorders>
            <w:vAlign w:val="center"/>
          </w:tcPr>
          <w:p>
            <w:r/>
            <w:r>
              <w:rPr>
                <w:b/>
                <w:color w:val="FFFFFF"/>
                <w:sz w:val="21"/>
              </w:rPr>
              <w:t>Mitigation</w:t>
            </w:r>
          </w:p>
        </w:tc>
      </w:tr>
      <w:tr>
        <w:tc>
          <w:tcPr>
            <w:tcW w:type="dxa" w:w="576"/>
            <w:tcBorders>
              <w:top w:val="single" w:sz="4" w:color="BFCBD9"/>
              <w:left w:val="single" w:sz="4" w:color="BFCBD9"/>
              <w:bottom w:val="single" w:sz="4" w:color="BFCBD9"/>
              <w:right w:val="single" w:sz="4" w:color="BFCBD9"/>
            </w:tcBorders>
            <w:vAlign w:val="center"/>
          </w:tcPr>
          <w:p>
            <w:r/>
            <w:r>
              <w:rPr>
                <w:color w:val="4A4A4A"/>
                <w:sz w:val="20"/>
              </w:rPr>
              <w:t>R1</w:t>
            </w:r>
          </w:p>
        </w:tc>
        <w:tc>
          <w:tcPr>
            <w:tcW w:type="dxa" w:w="2592"/>
            <w:tcBorders>
              <w:top w:val="single" w:sz="4" w:color="BFCBD9"/>
              <w:left w:val="single" w:sz="4" w:color="BFCBD9"/>
              <w:bottom w:val="single" w:sz="4" w:color="BFCBD9"/>
              <w:right w:val="single" w:sz="4" w:color="BFCBD9"/>
            </w:tcBorders>
            <w:vAlign w:val="center"/>
          </w:tcPr>
          <w:p>
            <w:r/>
            <w:r>
              <w:rPr>
                <w:color w:val="4A4A4A"/>
                <w:sz w:val="20"/>
              </w:rPr>
              <w:t>Source-system discovery overruns M0</w:t>
            </w:r>
          </w:p>
        </w:tc>
        <w:tc>
          <w:tcPr>
            <w:tcW w:type="dxa" w:w="1152"/>
            <w:tcBorders>
              <w:top w:val="single" w:sz="4" w:color="BFCBD9"/>
              <w:left w:val="single" w:sz="4" w:color="BFCBD9"/>
              <w:bottom w:val="single" w:sz="4" w:color="BFCBD9"/>
              <w:right w:val="single" w:sz="4" w:color="BFCBD9"/>
            </w:tcBorders>
            <w:vAlign w:val="center"/>
          </w:tcPr>
          <w:p>
            <w:r/>
            <w:r>
              <w:rPr>
                <w:color w:val="4A4A4A"/>
                <w:sz w:val="20"/>
              </w:rPr>
              <w:t>High</w:t>
            </w:r>
          </w:p>
        </w:tc>
        <w:tc>
          <w:tcPr>
            <w:tcW w:type="dxa" w:w="1008"/>
            <w:tcBorders>
              <w:top w:val="single" w:sz="4" w:color="BFCBD9"/>
              <w:left w:val="single" w:sz="4" w:color="BFCBD9"/>
              <w:bottom w:val="single" w:sz="4" w:color="BFCBD9"/>
              <w:right w:val="single" w:sz="4" w:color="BFCBD9"/>
            </w:tcBorders>
            <w:vAlign w:val="center"/>
          </w:tcPr>
          <w:p>
            <w:r/>
            <w:r>
              <w:rPr>
                <w:color w:val="4A4A4A"/>
                <w:sz w:val="20"/>
              </w:rPr>
              <w:t>High</w:t>
            </w:r>
          </w:p>
        </w:tc>
        <w:tc>
          <w:tcPr>
            <w:tcW w:type="dxa" w:w="4176"/>
            <w:tcBorders>
              <w:top w:val="single" w:sz="4" w:color="BFCBD9"/>
              <w:left w:val="single" w:sz="4" w:color="BFCBD9"/>
              <w:bottom w:val="single" w:sz="4" w:color="BFCBD9"/>
              <w:right w:val="single" w:sz="4" w:color="BFCBD9"/>
            </w:tcBorders>
            <w:vAlign w:val="center"/>
          </w:tcPr>
          <w:p>
            <w:r/>
            <w:r>
              <w:rPr>
                <w:color w:val="4A4A4A"/>
                <w:sz w:val="20"/>
              </w:rPr>
              <w:t>M0 is a fixed 4-week discovery sprint with explicit gating before M3. Migration schedule is not committed in writing until M0 sign-off by Acme CDO. 90-day buffer at M7 absorbs schedule slip.</w:t>
            </w:r>
          </w:p>
        </w:tc>
      </w:tr>
      <w:tr>
        <w:tc>
          <w:tcPr>
            <w:tcW w:type="dxa" w:w="576"/>
            <w:tcBorders>
              <w:top w:val="single" w:sz="4" w:color="BFCBD9"/>
              <w:left w:val="single" w:sz="4" w:color="BFCBD9"/>
              <w:bottom w:val="single" w:sz="4" w:color="BFCBD9"/>
              <w:right w:val="single" w:sz="4" w:color="BFCBD9"/>
            </w:tcBorders>
            <w:vAlign w:val="center"/>
            <w:shd w:val="clear" w:color="auto" w:fill="F4F7FB"/>
          </w:tcPr>
          <w:p>
            <w:r/>
            <w:r>
              <w:rPr>
                <w:color w:val="4A4A4A"/>
                <w:sz w:val="20"/>
              </w:rPr>
              <w:t>R2</w:t>
            </w:r>
          </w:p>
        </w:tc>
        <w:tc>
          <w:tcPr>
            <w:tcW w:type="dxa" w:w="2592"/>
            <w:tcBorders>
              <w:top w:val="single" w:sz="4" w:color="BFCBD9"/>
              <w:left w:val="single" w:sz="4" w:color="BFCBD9"/>
              <w:bottom w:val="single" w:sz="4" w:color="BFCBD9"/>
              <w:right w:val="single" w:sz="4" w:color="BFCBD9"/>
            </w:tcBorders>
            <w:vAlign w:val="center"/>
            <w:shd w:val="clear" w:color="auto" w:fill="F4F7FB"/>
          </w:tcPr>
          <w:p>
            <w:r/>
            <w:r>
              <w:rPr>
                <w:color w:val="4A4A4A"/>
                <w:sz w:val="20"/>
              </w:rPr>
              <w:t>Streaming latency requirement emerges below 250 ms after contract signature</w:t>
            </w:r>
          </w:p>
        </w:tc>
        <w:tc>
          <w:tcPr>
            <w:tcW w:type="dxa" w:w="1152"/>
            <w:tcBorders>
              <w:top w:val="single" w:sz="4" w:color="BFCBD9"/>
              <w:left w:val="single" w:sz="4" w:color="BFCBD9"/>
              <w:bottom w:val="single" w:sz="4" w:color="BFCBD9"/>
              <w:right w:val="single" w:sz="4" w:color="BFCBD9"/>
            </w:tcBorders>
            <w:vAlign w:val="center"/>
            <w:shd w:val="clear" w:color="auto" w:fill="F4F7FB"/>
          </w:tcPr>
          <w:p>
            <w:r/>
            <w:r>
              <w:rPr>
                <w:color w:val="4A4A4A"/>
                <w:sz w:val="20"/>
              </w:rPr>
              <w:t>Low</w:t>
            </w:r>
          </w:p>
        </w:tc>
        <w:tc>
          <w:tcPr>
            <w:tcW w:type="dxa" w:w="1008"/>
            <w:tcBorders>
              <w:top w:val="single" w:sz="4" w:color="BFCBD9"/>
              <w:left w:val="single" w:sz="4" w:color="BFCBD9"/>
              <w:bottom w:val="single" w:sz="4" w:color="BFCBD9"/>
              <w:right w:val="single" w:sz="4" w:color="BFCBD9"/>
            </w:tcBorders>
            <w:vAlign w:val="center"/>
            <w:shd w:val="clear" w:color="auto" w:fill="F4F7FB"/>
          </w:tcPr>
          <w:p>
            <w:r/>
            <w:r>
              <w:rPr>
                <w:color w:val="4A4A4A"/>
                <w:sz w:val="20"/>
              </w:rPr>
              <w:t>High</w:t>
            </w:r>
          </w:p>
        </w:tc>
        <w:tc>
          <w:tcPr>
            <w:tcW w:type="dxa" w:w="4176"/>
            <w:tcBorders>
              <w:top w:val="single" w:sz="4" w:color="BFCBD9"/>
              <w:left w:val="single" w:sz="4" w:color="BFCBD9"/>
              <w:bottom w:val="single" w:sz="4" w:color="BFCBD9"/>
              <w:right w:val="single" w:sz="4" w:color="BFCBD9"/>
            </w:tcBorders>
            <w:vAlign w:val="center"/>
            <w:shd w:val="clear" w:color="auto" w:fill="F4F7FB"/>
          </w:tcPr>
          <w:p>
            <w:r/>
            <w:r>
              <w:rPr>
                <w:color w:val="4A4A4A"/>
                <w:sz w:val="20"/>
              </w:rPr>
              <w:t>Clarification question lodged in §11. We will not contract to sub-100ms end-to-end without confirmed scope. If Acme requires sub-100ms for predictive maintenance alerting, we will scope a co-engineered solution as a change order rather than commit at signature.</w:t>
            </w:r>
          </w:p>
        </w:tc>
      </w:tr>
      <w:tr>
        <w:tc>
          <w:tcPr>
            <w:tcW w:type="dxa" w:w="576"/>
            <w:tcBorders>
              <w:top w:val="single" w:sz="4" w:color="BFCBD9"/>
              <w:left w:val="single" w:sz="4" w:color="BFCBD9"/>
              <w:bottom w:val="single" w:sz="4" w:color="BFCBD9"/>
              <w:right w:val="single" w:sz="4" w:color="BFCBD9"/>
            </w:tcBorders>
            <w:vAlign w:val="center"/>
          </w:tcPr>
          <w:p>
            <w:r/>
            <w:r>
              <w:rPr>
                <w:color w:val="4A4A4A"/>
                <w:sz w:val="20"/>
              </w:rPr>
              <w:t>R3</w:t>
            </w:r>
          </w:p>
        </w:tc>
        <w:tc>
          <w:tcPr>
            <w:tcW w:type="dxa" w:w="2592"/>
            <w:tcBorders>
              <w:top w:val="single" w:sz="4" w:color="BFCBD9"/>
              <w:left w:val="single" w:sz="4" w:color="BFCBD9"/>
              <w:bottom w:val="single" w:sz="4" w:color="BFCBD9"/>
              <w:right w:val="single" w:sz="4" w:color="BFCBD9"/>
            </w:tcBorders>
            <w:vAlign w:val="center"/>
          </w:tcPr>
          <w:p>
            <w:r/>
            <w:r>
              <w:rPr>
                <w:color w:val="4A4A4A"/>
                <w:sz w:val="20"/>
              </w:rPr>
              <w:t>Microsoft Fabric counter-bid undercuts on bundled E5 economics</w:t>
            </w:r>
          </w:p>
        </w:tc>
        <w:tc>
          <w:tcPr>
            <w:tcW w:type="dxa" w:w="1152"/>
            <w:tcBorders>
              <w:top w:val="single" w:sz="4" w:color="BFCBD9"/>
              <w:left w:val="single" w:sz="4" w:color="BFCBD9"/>
              <w:bottom w:val="single" w:sz="4" w:color="BFCBD9"/>
              <w:right w:val="single" w:sz="4" w:color="BFCBD9"/>
            </w:tcBorders>
            <w:vAlign w:val="center"/>
          </w:tcPr>
          <w:p>
            <w:r/>
            <w:r>
              <w:rPr>
                <w:color w:val="4A4A4A"/>
                <w:sz w:val="20"/>
              </w:rPr>
              <w:t>Medium</w:t>
            </w:r>
          </w:p>
        </w:tc>
        <w:tc>
          <w:tcPr>
            <w:tcW w:type="dxa" w:w="1008"/>
            <w:tcBorders>
              <w:top w:val="single" w:sz="4" w:color="BFCBD9"/>
              <w:left w:val="single" w:sz="4" w:color="BFCBD9"/>
              <w:bottom w:val="single" w:sz="4" w:color="BFCBD9"/>
              <w:right w:val="single" w:sz="4" w:color="BFCBD9"/>
            </w:tcBorders>
            <w:vAlign w:val="center"/>
          </w:tcPr>
          <w:p>
            <w:r/>
            <w:r>
              <w:rPr>
                <w:color w:val="4A4A4A"/>
                <w:sz w:val="20"/>
              </w:rPr>
              <w:t>Medium</w:t>
            </w:r>
          </w:p>
        </w:tc>
        <w:tc>
          <w:tcPr>
            <w:tcW w:type="dxa" w:w="4176"/>
            <w:tcBorders>
              <w:top w:val="single" w:sz="4" w:color="BFCBD9"/>
              <w:left w:val="single" w:sz="4" w:color="BFCBD9"/>
              <w:bottom w:val="single" w:sz="4" w:color="BFCBD9"/>
              <w:right w:val="single" w:sz="4" w:color="BFCBD9"/>
            </w:tcBorders>
            <w:vAlign w:val="center"/>
          </w:tcPr>
          <w:p>
            <w:r/>
            <w:r>
              <w:rPr>
                <w:color w:val="4A4A4A"/>
                <w:sz w:val="20"/>
              </w:rPr>
              <w:t>Pre-emptive published TCO model including unbundled Professional Services for real-time governance and per-table residency. Reference: Initech Sensors won the same competitive scenario on TCO maturity, not on opening price.</w:t>
            </w:r>
          </w:p>
        </w:tc>
      </w:tr>
    </w:tbl>
    <w:p>
      <w:r>
        <w:br w:type="page"/>
      </w:r>
    </w:p>
    <w:p>
      <w:pPr>
        <w:spacing w:before="360" w:after="120"/>
        <w:pBdr>
          <w:bottom w:val="single" w:sz="12" w:space="1" w:color="008C9E"/>
        </w:pBdr>
      </w:pPr>
      <w:r>
        <w:rPr>
          <w:rFonts w:ascii="Calibri" w:hAnsi="Calibri"/>
          <w:b/>
          <w:color w:val="0B2C4D"/>
          <w:sz w:val="40"/>
        </w:rPr>
        <w:t>10. Vendor Stability</w:t>
      </w:r>
    </w:p>
    <w:p>
      <w:pPr>
        <w:spacing w:after="120" w:line="300" w:lineRule="auto"/>
      </w:pPr>
      <w:r>
        <w:rPr>
          <w:b w:val="0"/>
          <w:i w:val="0"/>
          <w:color w:val="4A4A4A"/>
          <w:sz w:val="22"/>
        </w:rPr>
        <w:t xml:space="preserve">BTS-Synthetic operates a financially stable, profitable enterprise software business with multi-year visibility on revenue. Compliance posture: </w:t>
      </w:r>
      <w:r>
        <w:rPr>
          <w:b/>
          <w:i w:val="0"/>
          <w:color w:val="0B2C4D"/>
          <w:sz w:val="22"/>
        </w:rPr>
        <w:t>SOC 2 Type II</w:t>
      </w:r>
      <w:r>
        <w:rPr>
          <w:b w:val="0"/>
          <w:i w:val="0"/>
          <w:color w:val="4A4A4A"/>
          <w:sz w:val="22"/>
        </w:rPr>
        <w:t xml:space="preserve">, </w:t>
      </w:r>
      <w:r>
        <w:rPr>
          <w:b/>
          <w:i w:val="0"/>
          <w:color w:val="0B2C4D"/>
          <w:sz w:val="22"/>
        </w:rPr>
        <w:t>ISO 27001</w:t>
      </w:r>
      <w:r>
        <w:rPr>
          <w:b w:val="0"/>
          <w:i w:val="0"/>
          <w:color w:val="4A4A4A"/>
          <w:sz w:val="22"/>
        </w:rPr>
        <w:t xml:space="preserve">, </w:t>
      </w:r>
      <w:r>
        <w:rPr>
          <w:b/>
          <w:i w:val="0"/>
          <w:color w:val="0B2C4D"/>
          <w:sz w:val="22"/>
        </w:rPr>
        <w:t>HIPAA-eligible</w:t>
      </w:r>
      <w:r>
        <w:rPr>
          <w:b w:val="0"/>
          <w:i w:val="0"/>
          <w:color w:val="4A4A4A"/>
          <w:sz w:val="22"/>
        </w:rPr>
        <w:t xml:space="preserve">, </w:t>
      </w:r>
      <w:r>
        <w:rPr>
          <w:b/>
          <w:i w:val="0"/>
          <w:color w:val="0B2C4D"/>
          <w:sz w:val="22"/>
        </w:rPr>
        <w:t>GDPR-aligned (DPA available)</w:t>
      </w:r>
      <w:r>
        <w:rPr>
          <w:b w:val="0"/>
          <w:i w:val="0"/>
          <w:color w:val="4A4A4A"/>
          <w:sz w:val="22"/>
        </w:rPr>
        <w:t xml:space="preserve">, </w:t>
      </w:r>
      <w:r>
        <w:rPr>
          <w:b/>
          <w:i w:val="0"/>
          <w:color w:val="0B2C4D"/>
          <w:sz w:val="22"/>
        </w:rPr>
        <w:t>FedRAMP Moderate</w:t>
      </w:r>
      <w:r>
        <w:rPr>
          <w:b w:val="0"/>
          <w:i w:val="0"/>
          <w:color w:val="4A4A4A"/>
          <w:sz w:val="22"/>
        </w:rPr>
        <w:t xml:space="preserve"> (US Government tier). Audited financials and current attestation reports available under NDA on request to procurement@acme-synthetic.example.</w:t>
      </w:r>
    </w:p>
    <w:p>
      <w:pPr>
        <w:spacing w:before="360" w:after="120"/>
        <w:pBdr>
          <w:bottom w:val="single" w:sz="12" w:space="1" w:color="008C9E"/>
        </w:pBdr>
      </w:pPr>
      <w:r>
        <w:rPr>
          <w:rFonts w:ascii="Calibri" w:hAnsi="Calibri"/>
          <w:b/>
          <w:color w:val="0B2C4D"/>
          <w:sz w:val="40"/>
        </w:rPr>
        <w:t>11. Clarification Questions for Acme</w:t>
      </w:r>
    </w:p>
    <w:p>
      <w:pPr>
        <w:spacing w:after="120" w:line="300" w:lineRule="auto"/>
      </w:pPr>
      <w:r>
        <w:rPr>
          <w:b w:val="0"/>
          <w:i w:val="0"/>
          <w:color w:val="4A4A4A"/>
          <w:sz w:val="22"/>
        </w:rPr>
        <w:t>To finalise our binding response, we request written answers to the following before contract signature. None of these block submission of this proposal:</w:t>
      </w:r>
    </w:p>
    <w:p>
      <w:pPr>
        <w:pStyle w:val="ListBullet"/>
        <w:spacing w:after="60" w:line="288" w:lineRule="auto"/>
        <w:ind w:left="360"/>
      </w:pPr>
      <w:r>
        <w:rPr>
          <w:b/>
          <w:color w:val="0B2C4D"/>
          <w:sz w:val="22"/>
        </w:rPr>
        <w:t xml:space="preserve">Q1. Streaming latency SLO — </w:t>
      </w:r>
      <w:r>
        <w:rPr>
          <w:color w:val="4A4A4A"/>
          <w:sz w:val="22"/>
        </w:rPr>
        <w:t xml:space="preserve"> What is the maximum acceptable end-to-end streaming latency, particularly for the predictive maintenance alerting use case? Our standard is 250 ms – 1 s p99; sub-100ms is achievable only via co-engineering and should be scoped accordingly.</w:t>
      </w:r>
    </w:p>
    <w:p>
      <w:pPr>
        <w:pStyle w:val="ListBullet"/>
        <w:spacing w:after="60" w:line="288" w:lineRule="auto"/>
        <w:ind w:left="360"/>
      </w:pPr>
      <w:r>
        <w:rPr>
          <w:b/>
          <w:color w:val="0B2C4D"/>
          <w:sz w:val="22"/>
        </w:rPr>
        <w:t xml:space="preserve">Q2. EU region selection — </w:t>
      </w:r>
      <w:r>
        <w:rPr>
          <w:color w:val="4A4A4A"/>
          <w:sz w:val="22"/>
        </w:rPr>
        <w:t xml:space="preserve"> Confirmation of Acme's EU region preference (e.g. North Europe, West Europe). We will validate residency coverage for the specific data model in our pre-signature solutioning sprint.</w:t>
      </w:r>
    </w:p>
    <w:p>
      <w:pPr>
        <w:pStyle w:val="ListBullet"/>
        <w:spacing w:after="60" w:line="288" w:lineRule="auto"/>
        <w:ind w:left="360"/>
      </w:pPr>
      <w:r>
        <w:rPr>
          <w:b/>
          <w:color w:val="0B2C4D"/>
          <w:sz w:val="22"/>
        </w:rPr>
        <w:t xml:space="preserve">Q3. Source system documentation availability — </w:t>
      </w:r>
      <w:r>
        <w:rPr>
          <w:color w:val="4A4A4A"/>
          <w:sz w:val="22"/>
        </w:rPr>
        <w:t xml:space="preserve"> For schedule planning at M0, confirmation that Acme will provide source-system documentation and named technical owners for the 30+ batch sources within Weeks 1–2 of kickoff.</w:t>
      </w:r>
    </w:p>
    <w:p>
      <w:pPr>
        <w:pStyle w:val="ListBullet"/>
        <w:spacing w:after="60" w:line="288" w:lineRule="auto"/>
        <w:ind w:left="360"/>
      </w:pPr>
      <w:r>
        <w:rPr>
          <w:b/>
          <w:color w:val="0B2C4D"/>
          <w:sz w:val="22"/>
        </w:rPr>
        <w:t xml:space="preserve">Q4. Pre-submission legal redline call — </w:t>
      </w:r>
      <w:r>
        <w:rPr>
          <w:color w:val="4A4A4A"/>
          <w:sz w:val="22"/>
        </w:rPr>
        <w:t xml:space="preserve"> Procurement (Sarah Chen) and CDO (Marcus Webb) to confirm availability before 2026-05-26 for a 60-minute redline call covering §4.1, §4.2, §4.3, §4.4.</w:t>
      </w:r>
    </w:p>
    <w:p>
      <w:pPr>
        <w:spacing w:before="360" w:after="120"/>
        <w:pBdr>
          <w:bottom w:val="single" w:sz="12" w:space="1" w:color="008C9E"/>
        </w:pBdr>
      </w:pPr>
      <w:r>
        <w:rPr>
          <w:rFonts w:ascii="Calibri" w:hAnsi="Calibri"/>
          <w:b/>
          <w:color w:val="0B2C4D"/>
          <w:sz w:val="40"/>
        </w:rPr>
        <w:t>Closing</w:t>
      </w:r>
    </w:p>
    <w:p>
      <w:pPr>
        <w:spacing w:after="120" w:line="300" w:lineRule="auto"/>
      </w:pPr>
      <w:r>
        <w:rPr>
          <w:b w:val="0"/>
          <w:i w:val="0"/>
          <w:color w:val="4A4A4A"/>
          <w:sz w:val="22"/>
        </w:rPr>
        <w:t>We have written this response to score against the criteria Acme has set: functional fit first, then total cost of ownership, then commercial terms, then implementation, then stability. Where our position differs from your draft contract, we have said so plainly and proposed workable counter-positions backed by real customer precedent.</w:t>
      </w:r>
    </w:p>
    <w:p>
      <w:pPr>
        <w:spacing w:after="120" w:line="300" w:lineRule="auto"/>
      </w:pPr>
      <w:r>
        <w:rPr>
          <w:b w:val="0"/>
          <w:i w:val="0"/>
          <w:color w:val="4A4A4A"/>
          <w:sz w:val="22"/>
        </w:rPr>
        <w:t xml:space="preserve">Direct any questions, redline requests, or scheduling for the legal review call to </w:t>
      </w:r>
      <w:r>
        <w:rPr>
          <w:b/>
          <w:i w:val="0"/>
          <w:color w:val="0B2C4D"/>
          <w:sz w:val="22"/>
        </w:rPr>
        <w:t>procurement@acme-synthetic.example</w:t>
      </w:r>
      <w:r>
        <w:rPr>
          <w:b w:val="0"/>
          <w:i w:val="0"/>
          <w:color w:val="4A4A4A"/>
          <w:sz w:val="22"/>
        </w:rPr>
        <w:t xml:space="preserve"> or to your BTS-Synthetic account team.</w:t>
      </w:r>
    </w:p>
    <w:p/>
    <w:p>
      <w:r>
        <w:rPr>
          <w:b/>
          <w:color w:val="0B2C4D"/>
          <w:sz w:val="22"/>
        </w:rPr>
        <w:t>— BTS-Synthetic Deal Desk</w:t>
      </w:r>
    </w:p>
    <w:p>
      <w:pPr>
        <w:pBdr>
          <w:bottom w:val="single" w:sz="12" w:space="1" w:color="008C9E"/>
        </w:pBdr>
      </w:pPr>
    </w:p>
    <w:p>
      <w:r>
        <w:rPr>
          <w:i/>
          <w:color w:val="4A4A4A"/>
          <w:sz w:val="16"/>
        </w:rPr>
        <w:t>CONFIDENTIAL — BTS-Synthetic response to Acme Corp RFP dated 2026-05-12. Submitted 2026-05-26. Commercial terms subject to mutual contract execution.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4A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