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909"/>
          <w:sz w:val="44"/>
        </w:rPr>
        <w:t>Harry Potter's Crew</w:t>
        <w:br/>
        <w:t>for</w:t>
        <w:br/>
        <w:t>Hogwarts</w:t>
      </w:r>
    </w:p>
    <w:p/>
    <w:p>
      <w:pPr>
        <w:jc w:val="center"/>
      </w:pPr>
      <w:r>
        <w:rPr>
          <w:b/>
          <w:color w:val="3C0000"/>
          <w:sz w:val="56"/>
        </w:rPr>
        <w:t>Modernising the Hogwarts Records &amp; Magical Artefact Platform</w:t>
      </w:r>
    </w:p>
    <w:p>
      <w:pPr>
        <w:jc w:val="center"/>
      </w:pPr>
      <w:r>
        <w:rPr>
          <w:i/>
          <w:color w:val="FFC500"/>
          <w:sz w:val="28"/>
        </w:rPr>
        <w:t>A proposal from Harry Potter's Crew -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2&quot; \h \z \u">
        <w:r>
          <w:t>Right-click and select 'Update Field' in Word to populate this table of contents.</w:t>
        </w:r>
      </w:fldSimple>
    </w:p>
    <w:p>
      <w:pPr>
        <w:pStyle w:val="Heading1"/>
      </w:pPr>
      <w:r>
        <w:t>1. Executive Summary</w:t>
      </w:r>
    </w:p>
    <w:p>
      <w:r>
        <w:t>Hogwarts' RFP calls for an enterprise data platform to replace the current patchwork of on-premises archives and ad-hoc cloud analytics. The platform must support real-time ingest from 40,000 magical artefacts in the field, batch ETL from 30+ internal sources, BI for 600 analysts, self-service preparation for 150 data engineers, and a planned predictive-maintenance ML programme - all on an Azure-primary, EU-resident footprint with native Pensieve BI (Power BI) integration.</w:t>
      </w:r>
    </w:p>
    <w:p>
      <w:r>
        <w:t>Harry Potter's Crew proposes our Enterprise tier on a 3-year initial term with a 2-year renewal option, delivered in a 26-week implementation programme across five workstreams. We have addressed every functional requirement, flagged the eight contractual positions that must move before signature, and delivered a 3-year total cost of $1.82M against a market-clearing benchmark.</w:t>
      </w:r>
    </w:p>
    <w:p>
      <w:r>
        <w:rPr>
          <w:b/>
        </w:rPr>
        <w:t>Why Harry Potter's Crew:</w:t>
      </w:r>
    </w:p>
    <w:p>
      <w:pPr>
        <w:pStyle w:val="ListBullet"/>
      </w:pPr>
      <w:r>
        <w:t>Eight years operating lakehouse architectures at the scale Hogwarts requires.</w:t>
      </w:r>
    </w:p>
    <w:p>
      <w:pPr>
        <w:pStyle w:val="ListBullet"/>
      </w:pPr>
      <w:r>
        <w:t>ML-native platform - predictive maintenance is a first-class workload, not a bolt-on.</w:t>
      </w:r>
    </w:p>
    <w:p>
      <w:pPr>
        <w:pStyle w:val="ListBullet"/>
      </w:pPr>
      <w:r>
        <w:t>Honest, fixed TCO with no escalators - the only bid you can trust at year 3.</w:t>
      </w:r>
    </w:p>
    <w:p>
      <w:pPr>
        <w:pStyle w:val="Heading1"/>
      </w:pPr>
      <w:r>
        <w:t>2. Understanding of Hogwarts' Needs</w:t>
      </w:r>
    </w:p>
    <w:p>
      <w:r>
        <w:t>We have read the RFP closely. The platform must consolidate the legacy parchment-and-quill archive (Teradata-equivalent), serve 600 analysts on Pensieve BI, and provide a foundation for the planned predictive-maintenance programme on the 40,000-artefact estate. Three constraints stand out: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Requirement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Hogwarts' position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Our coverage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Native Pensieve BI integration</w:t>
            </w:r>
          </w:p>
        </w:tc>
        <w:tc>
          <w:tcPr>
            <w:tcW w:type="dxa" w:w="2880"/>
            <w:shd w:val="clear" w:color="auto" w:fill="FFF8E7"/>
          </w:tcPr>
          <w:p>
            <w:r>
              <w:t>Non-negotiable - 600 active users</w:t>
            </w:r>
          </w:p>
        </w:tc>
        <w:tc>
          <w:tcPr>
            <w:tcW w:type="dxa" w:w="2880"/>
            <w:shd w:val="clear" w:color="auto" w:fill="FFF8E7"/>
          </w:tcPr>
          <w:p>
            <w:r>
              <w:t>Full coverage; certified Pensieve BI connector</w:t>
            </w:r>
          </w:p>
        </w:tc>
      </w:tr>
      <w:tr>
        <w:tc>
          <w:tcPr>
            <w:tcW w:type="dxa" w:w="2880"/>
          </w:tcPr>
          <w:p>
            <w:r>
              <w:t>Multi-region deployment</w:t>
            </w:r>
          </w:p>
        </w:tc>
        <w:tc>
          <w:tcPr>
            <w:tcW w:type="dxa" w:w="2880"/>
          </w:tcPr>
          <w:p>
            <w:r>
              <w:t>EU primary, US East secondary</w:t>
            </w:r>
          </w:p>
        </w:tc>
        <w:tc>
          <w:tcPr>
            <w:tcW w:type="dxa" w:w="2880"/>
          </w:tcPr>
          <w:p>
            <w:r>
              <w:t>Azure-native; EU data residency by default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Scale headroom</w:t>
            </w:r>
          </w:p>
        </w:tc>
        <w:tc>
          <w:tcPr>
            <w:tcW w:type="dxa" w:w="2880"/>
            <w:shd w:val="clear" w:color="auto" w:fill="FFF8E7"/>
          </w:tcPr>
          <w:p>
            <w:r>
              <w:t>280TB today, 12TB/month growth, 80K events/sec peak</w:t>
            </w:r>
          </w:p>
        </w:tc>
        <w:tc>
          <w:tcPr>
            <w:tcW w:type="dxa" w:w="2880"/>
            <w:shd w:val="clear" w:color="auto" w:fill="FFF8E7"/>
          </w:tcPr>
          <w:p>
            <w:r>
              <w:t>Tested to 160K events/sec; 2x headroom on day 1</w:t>
            </w:r>
          </w:p>
        </w:tc>
      </w:tr>
      <w:tr>
        <w:tc>
          <w:tcPr>
            <w:tcW w:type="dxa" w:w="2880"/>
          </w:tcPr>
          <w:p>
            <w:r>
              <w:t>Lakehouse + open formats</w:t>
            </w:r>
          </w:p>
        </w:tc>
        <w:tc>
          <w:tcPr>
            <w:tcW w:type="dxa" w:w="2880"/>
          </w:tcPr>
          <w:p>
            <w:r>
              <w:t>Parquet, Delta, Iceberg for portability</w:t>
            </w:r>
          </w:p>
        </w:tc>
        <w:tc>
          <w:tcPr>
            <w:tcW w:type="dxa" w:w="2880"/>
          </w:tcPr>
          <w:p>
            <w:r>
              <w:t>Delta-first; Iceberg read/write GA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Predictive maintenance ML</w:t>
            </w:r>
          </w:p>
        </w:tc>
        <w:tc>
          <w:tcPr>
            <w:tcW w:type="dxa" w:w="2880"/>
            <w:shd w:val="clear" w:color="auto" w:fill="FFF8E7"/>
          </w:tcPr>
          <w:p>
            <w:r>
              <w:t>Planned, not active</w:t>
            </w:r>
          </w:p>
        </w:tc>
        <w:tc>
          <w:tcPr>
            <w:tcW w:type="dxa" w:w="2880"/>
            <w:shd w:val="clear" w:color="auto" w:fill="FFF8E7"/>
          </w:tcPr>
          <w:p>
            <w:r>
              <w:t>MLflow-backed feature store ready when programme starts</w:t>
            </w:r>
          </w:p>
        </w:tc>
      </w:tr>
    </w:tbl>
    <w:p>
      <w:pPr>
        <w:pStyle w:val="Heading1"/>
      </w:pPr>
      <w:r>
        <w:t>3. Proposed Approach</w:t>
      </w:r>
    </w:p>
    <w:p>
      <w:r>
        <w:t>We propose a 26-week implementation programme across five workstreams, running partly in parallel. Discovery anchors the architecture; the lakehouse build and Pensieve BI integration run concurrently from week 4; predictive maintenance ML begins once the feature store has 8 weeks of clean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8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a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C0000"/>
          <w:sz w:val="18"/>
        </w:rPr>
        <w:t>Figure - Workstream effort - five pillars of the engagement</w:t>
      </w:r>
    </w:p>
    <w:p>
      <w:r>
        <w:t>Each workstream is led by a named HP Crew partner. Hogwarts will have a dedicated Customer Success Manager from day 1 and weekly steering with the Chief Data Officer's office.</w:t>
      </w:r>
    </w:p>
    <w:p>
      <w:pPr>
        <w:pStyle w:val="Heading1"/>
      </w:pPr>
      <w:r>
        <w:t>4. Commercials</w:t>
      </w:r>
    </w:p>
    <w:p>
      <w:r>
        <w:t>Pricing is built on our Enterprise tier at $720K annual list. Hogwarts qualifies for the Strategic 25% discount band (3-year commitment, marquee logo, reference customer agreement). Net annual platform fee: $540K. Implementation services and 24/7 support are quoted separately.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Workstream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Term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Fee (USD)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Enterprise platform - Year 1</w:t>
            </w:r>
          </w:p>
        </w:tc>
        <w:tc>
          <w:tcPr>
            <w:tcW w:type="dxa" w:w="2880"/>
            <w:shd w:val="clear" w:color="auto" w:fill="FFF8E7"/>
          </w:tcPr>
          <w:p>
            <w:r>
              <w:t>12 months</w:t>
            </w:r>
          </w:p>
        </w:tc>
        <w:tc>
          <w:tcPr>
            <w:tcW w:type="dxa" w:w="2880"/>
            <w:shd w:val="clear" w:color="auto" w:fill="FFF8E7"/>
          </w:tcPr>
          <w:p>
            <w:r>
              <w:t>$468,000</w:t>
            </w:r>
          </w:p>
        </w:tc>
      </w:tr>
      <w:tr>
        <w:tc>
          <w:tcPr>
            <w:tcW w:type="dxa" w:w="2880"/>
          </w:tcPr>
          <w:p>
            <w:r>
              <w:t>Enterprise platform - Year 2 &amp; 3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  <w:tc>
          <w:tcPr>
            <w:tcW w:type="dxa" w:w="2880"/>
          </w:tcPr>
          <w:p>
            <w:r>
              <w:t>$936,000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Implementation services (26 weeks)</w:t>
            </w:r>
          </w:p>
        </w:tc>
        <w:tc>
          <w:tcPr>
            <w:tcW w:type="dxa" w:w="2880"/>
            <w:shd w:val="clear" w:color="auto" w:fill="FFF8E7"/>
          </w:tcPr>
          <w:p>
            <w:r>
              <w:t>One-time</w:t>
            </w:r>
          </w:p>
        </w:tc>
        <w:tc>
          <w:tcPr>
            <w:tcW w:type="dxa" w:w="2880"/>
            <w:shd w:val="clear" w:color="auto" w:fill="FFF8E7"/>
          </w:tcPr>
          <w:p>
            <w:r>
              <w:t>$240,000</w:t>
            </w:r>
          </w:p>
        </w:tc>
      </w:tr>
      <w:tr>
        <w:tc>
          <w:tcPr>
            <w:tcW w:type="dxa" w:w="2880"/>
          </w:tcPr>
          <w:p>
            <w:r>
              <w:t>24/7 support + dedicated CSM</w:t>
            </w:r>
          </w:p>
        </w:tc>
        <w:tc>
          <w:tcPr>
            <w:tcW w:type="dxa" w:w="2880"/>
          </w:tcPr>
          <w:p>
            <w:r>
              <w:t>36 months</w:t>
            </w:r>
          </w:p>
        </w:tc>
        <w:tc>
          <w:tcPr>
            <w:tcW w:type="dxa" w:w="2880"/>
          </w:tcPr>
          <w:p>
            <w:r>
              <w:t>$180,000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TOTAL - 3 year programme</w:t>
            </w:r>
          </w:p>
        </w:tc>
        <w:tc>
          <w:tcPr>
            <w:tcW w:type="dxa" w:w="2880"/>
            <w:shd w:val="clear" w:color="auto" w:fill="FFF8E7"/>
          </w:tcPr>
          <w:p>
            <w:r>
              <w:t>-</w:t>
            </w:r>
          </w:p>
        </w:tc>
        <w:tc>
          <w:tcPr>
            <w:tcW w:type="dxa" w:w="2880"/>
            <w:shd w:val="clear" w:color="auto" w:fill="FFF8E7"/>
          </w:tcPr>
          <w:p>
            <w:r>
              <w:t>$1,824,000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1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-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C0000"/>
          <w:sz w:val="18"/>
        </w:rPr>
        <w:t>Figure - 3-year cost breakdown by category</w:t>
      </w:r>
    </w:p>
    <w:p>
      <w:r>
        <w:t>Pilot/POC fees are credited toward Year 1. We offer a 30-day acceptance testing window. We will not accept the RFP's MFN clause, Net 90 payment terms, or uncapped breach liability - these are non-negotiable and our Counter-Positions are detailed in Section 8.</w:t>
      </w:r>
    </w:p>
    <w:p>
      <w:pPr>
        <w:pStyle w:val="Heading1"/>
      </w:pPr>
      <w:r>
        <w:t>5. Timeline &amp; Milestones</w:t>
      </w:r>
    </w:p>
    <w:p>
      <w:r>
        <w:t>The 26-week programme is sequenced to put a working lakehouse in front of Hogwarts' analysts by week 12 and to begin the predictive-maintenance ML programme by week 14 once the feature store has stabilised.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98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C0000"/>
          <w:sz w:val="18"/>
        </w:rPr>
        <w:t>Figure - Implementation timeline - 26 working weeks</w:t>
      </w:r>
    </w:p>
    <w:p>
      <w:pPr>
        <w:pStyle w:val="Heading1"/>
      </w:pPr>
      <w:r>
        <w:t>6. Why Harry Potter's Crew</w:t>
      </w:r>
    </w:p>
    <w:p>
      <w:r>
        <w:t>Hogwarts named Databricks, Snowflake, and Microsoft Fabric in the RFP. Each is a credible competitor. Our differentiation is not headline price - it is predictable total cost of ownership over the full 5-year horizon, maturity at Hogwarts' scale, and an ML-native architecture that does not treat predictive maintenance as a bolt-on.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Competitor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Their strength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Our angle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Microsoft Fabric</w:t>
            </w:r>
          </w:p>
        </w:tc>
        <w:tc>
          <w:tcPr>
            <w:tcW w:type="dxa" w:w="2880"/>
            <w:shd w:val="clear" w:color="auto" w:fill="FFF8E7"/>
          </w:tcPr>
          <w:p>
            <w:r>
              <w:t>Bundled in E5, owns Pensieve BI</w:t>
            </w:r>
          </w:p>
        </w:tc>
        <w:tc>
          <w:tcPr>
            <w:tcW w:type="dxa" w:w="2880"/>
            <w:shd w:val="clear" w:color="auto" w:fill="FFF8E7"/>
          </w:tcPr>
          <w:p>
            <w:r>
              <w:t>Honest TCO including Microsoft consulting; 8 years vs. 18 months of maturity</w:t>
            </w:r>
          </w:p>
        </w:tc>
      </w:tr>
      <w:tr>
        <w:tc>
          <w:tcPr>
            <w:tcW w:type="dxa" w:w="2880"/>
          </w:tcPr>
          <w:p>
            <w:r>
              <w:t>Databricks</w:t>
            </w:r>
          </w:p>
        </w:tc>
        <w:tc>
          <w:tcPr>
            <w:tcW w:type="dxa" w:w="2880"/>
          </w:tcPr>
          <w:p>
            <w:r>
              <w:t>Lakehouse + ML breadth</w:t>
            </w:r>
          </w:p>
        </w:tc>
        <w:tc>
          <w:tcPr>
            <w:tcW w:type="dxa" w:w="2880"/>
          </w:tcPr>
          <w:p>
            <w:r>
              <w:t>TCO predictability; analyst time-to-insight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Snowflake</w:t>
            </w:r>
          </w:p>
        </w:tc>
        <w:tc>
          <w:tcPr>
            <w:tcW w:type="dxa" w:w="2880"/>
            <w:shd w:val="clear" w:color="auto" w:fill="FFF8E7"/>
          </w:tcPr>
          <w:p>
            <w:r>
              <w:t>Analyst experience, data sharing</w:t>
            </w:r>
          </w:p>
        </w:tc>
        <w:tc>
          <w:tcPr>
            <w:tcW w:type="dxa" w:w="2880"/>
            <w:shd w:val="clear" w:color="auto" w:fill="FFF8E7"/>
          </w:tcPr>
          <w:p>
            <w:r>
              <w:t>Workload coverage (real-time, unstructured); ML-native</w:t>
            </w:r>
          </w:p>
        </w:tc>
      </w:tr>
      <w:tr>
        <w:tc>
          <w:tcPr>
            <w:tcW w:type="dxa" w:w="2880"/>
          </w:tcPr>
          <w:p>
            <w:r>
              <w:t>Regional unnamed vendor</w:t>
            </w:r>
          </w:p>
        </w:tc>
        <w:tc>
          <w:tcPr>
            <w:tcW w:type="dxa" w:w="2880"/>
          </w:tcPr>
          <w:p>
            <w:r>
              <w:t>Unknown - likely price-led</w:t>
            </w:r>
          </w:p>
        </w:tc>
        <w:tc>
          <w:tcPr>
            <w:tcW w:type="dxa" w:w="2880"/>
          </w:tcPr>
          <w:p>
            <w:r>
              <w:t>Vendor financial stability; reference customers at Hogwarts' scale</w:t>
            </w:r>
          </w:p>
        </w:tc>
      </w:tr>
    </w:tbl>
    <w:p>
      <w:pPr>
        <w:pStyle w:val="Heading1"/>
      </w:pPr>
      <w:r>
        <w:t>7. Contractual Counter-Positions</w:t>
      </w:r>
    </w:p>
    <w:p>
      <w:r>
        <w:t>Our Legal Reviewer flagged eight RFP clauses requiring movement before signature. Five are BLOCKERS (cannot be insured around or commercially justified) and three are NEGOTIABLE.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Clause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Severity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HP Crew counter-position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Liability cap</w:t>
            </w:r>
          </w:p>
        </w:tc>
        <w:tc>
          <w:tcPr>
            <w:tcW w:type="dxa" w:w="2880"/>
            <w:shd w:val="clear" w:color="auto" w:fill="FFF8E7"/>
          </w:tcPr>
          <w:p>
            <w:r>
              <w:t>BLOCKER</w:t>
            </w:r>
          </w:p>
        </w:tc>
        <w:tc>
          <w:tcPr>
            <w:tcW w:type="dxa" w:w="2880"/>
            <w:shd w:val="clear" w:color="auto" w:fill="FFF8E7"/>
          </w:tcPr>
          <w:p>
            <w:r>
              <w:t>RFP demands uncapped liability for data breach. Our cyber policy caps at 24 months of fees - uncapped voids coverage. Counter: 24 months of fees, with mutual carve-outs for IP infringement and gross negligence.</w:t>
            </w:r>
          </w:p>
        </w:tc>
      </w:tr>
      <w:tr>
        <w:tc>
          <w:tcPr>
            <w:tcW w:type="dxa" w:w="2880"/>
          </w:tcPr>
          <w:p>
            <w:r>
              <w:t>Termination for convenience</w:t>
            </w:r>
          </w:p>
        </w:tc>
        <w:tc>
          <w:tcPr>
            <w:tcW w:type="dxa" w:w="2880"/>
          </w:tcPr>
          <w:p>
            <w:r>
              <w:t>BLOCKER</w:t>
            </w:r>
          </w:p>
        </w:tc>
        <w:tc>
          <w:tcPr>
            <w:tcW w:type="dxa" w:w="2880"/>
          </w:tcPr>
          <w:p>
            <w:r>
              <w:t>30-day termination for any reason, no penalty. Counter: 90 days' notice after the first 12 months of the initial term.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Audit rights</w:t>
            </w:r>
          </w:p>
        </w:tc>
        <w:tc>
          <w:tcPr>
            <w:tcW w:type="dxa" w:w="2880"/>
            <w:shd w:val="clear" w:color="auto" w:fill="FFF8E7"/>
          </w:tcPr>
          <w:p>
            <w:r>
              <w:t>BLOCKER</w:t>
            </w:r>
          </w:p>
        </w:tc>
        <w:tc>
          <w:tcPr>
            <w:tcW w:type="dxa" w:w="2880"/>
            <w:shd w:val="clear" w:color="auto" w:fill="FFF8E7"/>
          </w:tcPr>
          <w:p>
            <w:r>
              <w:t>Up to 4 audits/year without notice, vendor-paid. Counter: 1 audit/year, 30 days' notice, audit confidentiality required, Hogwarts pays beyond the first.</w:t>
            </w:r>
          </w:p>
        </w:tc>
      </w:tr>
      <w:tr>
        <w:tc>
          <w:tcPr>
            <w:tcW w:type="dxa" w:w="2880"/>
          </w:tcPr>
          <w:p>
            <w:r>
              <w:t>Service levels</w:t>
            </w:r>
          </w:p>
        </w:tc>
        <w:tc>
          <w:tcPr>
            <w:tcW w:type="dxa" w:w="2880"/>
          </w:tcPr>
          <w:p>
            <w:r>
              <w:t>BLOCKER</w:t>
            </w:r>
          </w:p>
        </w:tc>
        <w:tc>
          <w:tcPr>
            <w:tcW w:type="dxa" w:w="2880"/>
          </w:tcPr>
          <w:p>
            <w:r>
              <w:t>99.99% uptime with immediate termination on any miss. Counter: 99.95% Enterprise SLA, service credits up to 30% of monthly fees as sole remedy.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Most Favoured Nation</w:t>
            </w:r>
          </w:p>
        </w:tc>
        <w:tc>
          <w:tcPr>
            <w:tcW w:type="dxa" w:w="2880"/>
            <w:shd w:val="clear" w:color="auto" w:fill="FFF8E7"/>
          </w:tcPr>
          <w:p>
            <w:r>
              <w:t>BLOCKER</w:t>
            </w:r>
          </w:p>
        </w:tc>
        <w:tc>
          <w:tcPr>
            <w:tcW w:type="dxa" w:w="2880"/>
            <w:shd w:val="clear" w:color="auto" w:fill="FFF8E7"/>
          </w:tcPr>
          <w:p>
            <w:r>
              <w:t>MFN pricing for the life of the contract. Counter: remove entirely - the single most poisonous clause for SaaS.</w:t>
            </w:r>
          </w:p>
        </w:tc>
      </w:tr>
      <w:tr>
        <w:tc>
          <w:tcPr>
            <w:tcW w:type="dxa" w:w="2880"/>
          </w:tcPr>
          <w:p>
            <w:r>
              <w:t>IP assignment</w:t>
            </w:r>
          </w:p>
        </w:tc>
        <w:tc>
          <w:tcPr>
            <w:tcW w:type="dxa" w:w="2880"/>
          </w:tcPr>
          <w:p>
            <w:r>
              <w:t>NEGOTIABLE</w:t>
            </w:r>
          </w:p>
        </w:tc>
        <w:tc>
          <w:tcPr>
            <w:tcW w:type="dxa" w:w="2880"/>
          </w:tcPr>
          <w:p>
            <w:r>
              <w:t>RFP demands assignment of all work product. Counter: Hogwarts owns customer-specific configurations; HP Crew retains IP in the underlying service and any general-purpose enhancements.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Payment terms</w:t>
            </w:r>
          </w:p>
        </w:tc>
        <w:tc>
          <w:tcPr>
            <w:tcW w:type="dxa" w:w="2880"/>
            <w:shd w:val="clear" w:color="auto" w:fill="FFF8E7"/>
          </w:tcPr>
          <w:p>
            <w:r>
              <w:t>NEGOTIABLE</w:t>
            </w:r>
          </w:p>
        </w:tc>
        <w:tc>
          <w:tcPr>
            <w:tcW w:type="dxa" w:w="2880"/>
            <w:shd w:val="clear" w:color="auto" w:fill="FFF8E7"/>
          </w:tcPr>
          <w:p>
            <w:r>
              <w:t>Net 90 demanded. Counter: Net 30 default, Net 60 acceptable given Hogwarts' standing and 3-year commitment.</w:t>
            </w:r>
          </w:p>
        </w:tc>
      </w:tr>
      <w:tr>
        <w:tc>
          <w:tcPr>
            <w:tcW w:type="dxa" w:w="2880"/>
          </w:tcPr>
          <w:p>
            <w:r>
              <w:t>Subprocessors</w:t>
            </w:r>
          </w:p>
        </w:tc>
        <w:tc>
          <w:tcPr>
            <w:tcW w:type="dxa" w:w="2880"/>
          </w:tcPr>
          <w:p>
            <w:r>
              <w:t>NEGOTIABLE</w:t>
            </w:r>
          </w:p>
        </w:tc>
        <w:tc>
          <w:tcPr>
            <w:tcW w:type="dxa" w:w="2880"/>
          </w:tcPr>
          <w:p>
            <w:r>
              <w:t>Pre-approval of every subprocessor. Counter: published subprocessor list with 30 days' notice of additions and a right to object.</w:t>
            </w:r>
          </w:p>
        </w:tc>
      </w:tr>
    </w:tbl>
    <w:p>
      <w:pPr>
        <w:pStyle w:val="Heading1"/>
      </w:pPr>
      <w:r>
        <w:t>8. Appendix - Assumptions, Risks &amp; Glossary</w:t>
      </w:r>
    </w:p>
    <w:p>
      <w:pPr>
        <w:pStyle w:val="Heading2"/>
      </w:pPr>
      <w:r>
        <w:t>8.1 Assumptions baked into this proposal</w:t>
      </w:r>
    </w:p>
    <w:p>
      <w:pPr>
        <w:pStyle w:val="ListBullet"/>
      </w:pPr>
      <w:r>
        <w:t>Currency is USD; conversion to galleons at the prevailing Gringotts rate is the client's responsibility.</w:t>
      </w:r>
    </w:p>
    <w:p>
      <w:pPr>
        <w:pStyle w:val="ListBullet"/>
      </w:pPr>
      <w:r>
        <w:t>All headcount and scale figures (40,000 artefacts, 280TB, 600 analysts) are taken from the RFP at face value.</w:t>
      </w:r>
    </w:p>
    <w:p>
      <w:pPr>
        <w:pStyle w:val="ListBullet"/>
      </w:pPr>
      <w:r>
        <w:t>The Capability Matrix attachment is assumed to be returned separately as the RFP instructs.</w:t>
      </w:r>
    </w:p>
    <w:p>
      <w:pPr>
        <w:pStyle w:val="ListBullet"/>
      </w:pPr>
      <w:r>
        <w:t>Pricing is illustrative for this synthetic exercise and would be confirmed by the Deal Desk before issue.</w:t>
      </w:r>
    </w:p>
    <w:p>
      <w:pPr>
        <w:pStyle w:val="ListBullet"/>
      </w:pPr>
      <w:r>
        <w:t>Pensieve BI is used as the Hogwarts-themed name for Power BI throughout this document.</w:t>
      </w:r>
    </w:p>
    <w:p>
      <w:pPr>
        <w:pStyle w:val="Heading2"/>
      </w:pPr>
      <w:r>
        <w:t>8.2 Top three risks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Risk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Likelihood</w:t>
            </w:r>
          </w:p>
        </w:tc>
        <w:tc>
          <w:tcPr>
            <w:tcW w:type="dxa" w:w="2880"/>
            <w:shd w:val="clear" w:color="auto" w:fill="7F0909"/>
          </w:tcPr>
          <w:p>
            <w:r/>
            <w:r>
              <w:rPr>
                <w:b/>
                <w:color w:val="FFC500"/>
              </w:rPr>
              <w:t>Mitigation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Legal blockers (esp. uncapped liability, MFN) not movable</w:t>
            </w:r>
          </w:p>
        </w:tc>
        <w:tc>
          <w:tcPr>
            <w:tcW w:type="dxa" w:w="2880"/>
            <w:shd w:val="clear" w:color="auto" w:fill="FFF8E7"/>
          </w:tcPr>
          <w:p>
            <w:r>
              <w:t>Medium</w:t>
            </w:r>
          </w:p>
        </w:tc>
        <w:tc>
          <w:tcPr>
            <w:tcW w:type="dxa" w:w="2880"/>
            <w:shd w:val="clear" w:color="auto" w:fill="FFF8E7"/>
          </w:tcPr>
          <w:p>
            <w:r>
              <w:t>Escalate to Hogwarts general counsel in Week 1</w:t>
            </w:r>
          </w:p>
        </w:tc>
      </w:tr>
      <w:tr>
        <w:tc>
          <w:tcPr>
            <w:tcW w:type="dxa" w:w="2880"/>
          </w:tcPr>
          <w:p>
            <w:r>
              <w:t>Pensieve BI semantic-model migration scope grows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Bound the scope to top-100 reports; tail-end remains client-led</w:t>
            </w:r>
          </w:p>
        </w:tc>
      </w:tr>
      <w:tr>
        <w:tc>
          <w:tcPr>
            <w:tcW w:type="dxa" w:w="2880"/>
            <w:shd w:val="clear" w:color="auto" w:fill="FFF8E7"/>
          </w:tcPr>
          <w:p>
            <w:r>
              <w:t>Predictive maintenance feature store delayed by data quality</w:t>
            </w:r>
          </w:p>
        </w:tc>
        <w:tc>
          <w:tcPr>
            <w:tcW w:type="dxa" w:w="2880"/>
            <w:shd w:val="clear" w:color="auto" w:fill="FFF8E7"/>
          </w:tcPr>
          <w:p>
            <w:r>
              <w:t>Low-Medium</w:t>
            </w:r>
          </w:p>
        </w:tc>
        <w:tc>
          <w:tcPr>
            <w:tcW w:type="dxa" w:w="2880"/>
            <w:shd w:val="clear" w:color="auto" w:fill="FFF8E7"/>
          </w:tcPr>
          <w:p>
            <w:r>
              <w:t>Treat Weeks 4-8 as a quality gate; do not start ML until clean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C0000"/>
        <w:sz w:val="18"/>
      </w:rPr>
      <w:t xml:space="preserve">Harry Potter's Crew  -  Prepared for Hogwarts  -  Confidential  -  Page </w:t>
    </w:r>
    <w:r>
      <w:rPr>
        <w:color w:val="3C0000"/>
        <w:sz w:val="18"/>
      </w:rPr>
      <w:fldChar w:fldCharType="begin"/>
      <w:instrText> PAGE </w:instrText>
      <w:fldChar w:fldCharType="end"/>
    </w:r>
    <w:r>
      <w:rPr>
        <w:color w:val="3C0000"/>
        <w:sz w:val="18"/>
      </w:rPr>
      <w:t xml:space="preserve"> of </w:t>
    </w:r>
    <w:r>
      <w:rPr>
        <w:color w:val="3C0000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F0909"/>
        <w:sz w:val="18"/>
      </w:rPr>
      <w:t>Harry Potter's Crew  -&gt;  Hogwarts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Cambria" w:hAnsi="Cambria"/>
      <w:b/>
      <w:bCs/>
      <w:color w:val="3C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mbria" w:hAnsi="Cambria"/>
      <w:b/>
      <w:bCs/>
      <w:color w:val="3C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mbria" w:hAnsi="Cambria"/>
      <w:b/>
      <w:bCs/>
      <w:color w:val="3C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mbria" w:hAnsi="Cambria"/>
      <w:b/>
      <w:color w:val="3C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