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left"/>
      </w:pPr>
      <w:r>
        <w:rPr>
          <w:b/>
          <w:color w:val="0E3A5F"/>
          <w:sz w:val="72"/>
        </w:rPr>
        <w:t>BTS·SYNTHETIC</w:t>
      </w:r>
    </w:p>
    <w:p>
      <w:pPr>
        <w:spacing w:after="720"/>
      </w:pPr>
      <w:r>
        <w:rPr>
          <w:i/>
          <w:color w:val="E27A2E"/>
          <w:sz w:val="26"/>
        </w:rPr>
        <w:t>Enterprise Data Platform — Proposal Response</w:t>
      </w:r>
    </w:p>
    <w:p>
      <w:pPr>
        <w:spacing w:before="960" w:after="80"/>
      </w:pPr>
      <w:r>
        <w:rPr>
          <w:b/>
          <w:color w:val="0E3A5F"/>
          <w:sz w:val="40"/>
        </w:rPr>
        <w:t>Response to Request for Proposal</w:t>
      </w:r>
    </w:p>
    <w:p>
      <w:pPr>
        <w:spacing w:after="720"/>
      </w:pPr>
      <w:r>
        <w:rPr>
          <w:color w:val="555B66"/>
          <w:sz w:val="32"/>
        </w:rPr>
        <w:t>Acme Corp — Enterprise Data Platform</w:t>
      </w:r>
    </w:p>
    <w:tbl>
      <w:tblPr>
        <w:tblW w:type="auto" w:w="0"/>
        <w:tblLayout w:type="fixed"/>
        <w:tblLook w:firstColumn="1" w:firstRow="1" w:lastColumn="0" w:lastRow="0" w:noHBand="0" w:noVBand="1" w:val="04A0"/>
      </w:tblPr>
      <w:tblGrid>
        <w:gridCol w:w="4873"/>
        <w:gridCol w:w="4873"/>
      </w:tblGrid>
      <w:tr>
        <w:tc>
          <w:tcPr>
            <w:tcW w:type="dxa" w:w="2835"/>
            <w:shd w:val="clear" w:color="auto" w:fill="F2F5F8"/>
            <w:tcBorders>
              <w:top w:val="nil"/>
              <w:left w:val="nil"/>
              <w:bottom w:val="nil"/>
              <w:right w:val="nil"/>
            </w:tcBorders>
          </w:tcPr>
          <w:p>
            <w:r/>
            <w:r>
              <w:rPr>
                <w:b/>
                <w:color w:val="0E3A5F"/>
                <w:sz w:val="20"/>
              </w:rPr>
              <w:t>Prepared for</w:t>
            </w:r>
          </w:p>
        </w:tc>
        <w:tc>
          <w:tcPr>
            <w:tcW w:type="dxa" w:w="6236"/>
            <w:tcBorders>
              <w:top w:val="nil"/>
              <w:left w:val="nil"/>
              <w:bottom w:val="nil"/>
              <w:right w:val="nil"/>
            </w:tcBorders>
          </w:tcPr>
          <w:p>
            <w:r/>
            <w:r>
              <w:rPr>
                <w:sz w:val="20"/>
              </w:rPr>
              <w:t>Acme Corp — Procurement Office</w:t>
            </w:r>
          </w:p>
        </w:tc>
      </w:tr>
      <w:tr>
        <w:tc>
          <w:tcPr>
            <w:tcW w:type="dxa" w:w="2835"/>
            <w:shd w:val="clear" w:color="auto" w:fill="F2F5F8"/>
            <w:tcBorders>
              <w:top w:val="nil"/>
              <w:left w:val="nil"/>
              <w:bottom w:val="nil"/>
              <w:right w:val="nil"/>
            </w:tcBorders>
          </w:tcPr>
          <w:p>
            <w:r/>
            <w:r>
              <w:rPr>
                <w:b/>
                <w:color w:val="0E3A5F"/>
                <w:sz w:val="20"/>
              </w:rPr>
              <w:t>Procurement lead</w:t>
            </w:r>
          </w:p>
        </w:tc>
        <w:tc>
          <w:tcPr>
            <w:tcW w:type="dxa" w:w="6236"/>
            <w:tcBorders>
              <w:top w:val="nil"/>
              <w:left w:val="nil"/>
              <w:bottom w:val="nil"/>
              <w:right w:val="nil"/>
            </w:tcBorders>
          </w:tcPr>
          <w:p>
            <w:r/>
            <w:r>
              <w:rPr>
                <w:sz w:val="20"/>
              </w:rPr>
              <w:t>Sarah Chen, VP Procurement</w:t>
            </w:r>
          </w:p>
        </w:tc>
      </w:tr>
      <w:tr>
        <w:tc>
          <w:tcPr>
            <w:tcW w:type="dxa" w:w="2835"/>
            <w:shd w:val="clear" w:color="auto" w:fill="F2F5F8"/>
            <w:tcBorders>
              <w:top w:val="nil"/>
              <w:left w:val="nil"/>
              <w:bottom w:val="nil"/>
              <w:right w:val="nil"/>
            </w:tcBorders>
          </w:tcPr>
          <w:p>
            <w:r/>
            <w:r>
              <w:rPr>
                <w:b/>
                <w:color w:val="0E3A5F"/>
                <w:sz w:val="20"/>
              </w:rPr>
              <w:t>Technical lead</w:t>
            </w:r>
          </w:p>
        </w:tc>
        <w:tc>
          <w:tcPr>
            <w:tcW w:type="dxa" w:w="6236"/>
            <w:tcBorders>
              <w:top w:val="nil"/>
              <w:left w:val="nil"/>
              <w:bottom w:val="nil"/>
              <w:right w:val="nil"/>
            </w:tcBorders>
          </w:tcPr>
          <w:p>
            <w:r/>
            <w:r>
              <w:rPr>
                <w:sz w:val="20"/>
              </w:rPr>
              <w:t>Marcus Webb, Chief Data Officer</w:t>
            </w:r>
          </w:p>
        </w:tc>
      </w:tr>
      <w:tr>
        <w:tc>
          <w:tcPr>
            <w:tcW w:type="dxa" w:w="2835"/>
            <w:shd w:val="clear" w:color="auto" w:fill="F2F5F8"/>
            <w:tcBorders>
              <w:top w:val="nil"/>
              <w:left w:val="nil"/>
              <w:bottom w:val="nil"/>
              <w:right w:val="nil"/>
            </w:tcBorders>
          </w:tcPr>
          <w:p>
            <w:r/>
            <w:r>
              <w:rPr>
                <w:b/>
                <w:color w:val="0E3A5F"/>
                <w:sz w:val="20"/>
              </w:rPr>
              <w:t>Prepared by</w:t>
            </w:r>
          </w:p>
        </w:tc>
        <w:tc>
          <w:tcPr>
            <w:tcW w:type="dxa" w:w="6236"/>
            <w:tcBorders>
              <w:top w:val="nil"/>
              <w:left w:val="nil"/>
              <w:bottom w:val="nil"/>
              <w:right w:val="nil"/>
            </w:tcBorders>
          </w:tcPr>
          <w:p>
            <w:r/>
            <w:r>
              <w:rPr>
                <w:sz w:val="20"/>
              </w:rPr>
              <w:t>BTS-Synthetic — Deal Desk</w:t>
            </w:r>
          </w:p>
        </w:tc>
      </w:tr>
      <w:tr>
        <w:tc>
          <w:tcPr>
            <w:tcW w:type="dxa" w:w="2835"/>
            <w:shd w:val="clear" w:color="auto" w:fill="F2F5F8"/>
            <w:tcBorders>
              <w:top w:val="nil"/>
              <w:left w:val="nil"/>
              <w:bottom w:val="nil"/>
              <w:right w:val="nil"/>
            </w:tcBorders>
          </w:tcPr>
          <w:p>
            <w:r/>
            <w:r>
              <w:rPr>
                <w:b/>
                <w:color w:val="0E3A5F"/>
                <w:sz w:val="20"/>
              </w:rPr>
              <w:t>Issued</w:t>
            </w:r>
          </w:p>
        </w:tc>
        <w:tc>
          <w:tcPr>
            <w:tcW w:type="dxa" w:w="6236"/>
            <w:tcBorders>
              <w:top w:val="nil"/>
              <w:left w:val="nil"/>
              <w:bottom w:val="nil"/>
              <w:right w:val="nil"/>
            </w:tcBorders>
          </w:tcPr>
          <w:p>
            <w:r/>
            <w:r>
              <w:rPr>
                <w:sz w:val="20"/>
              </w:rPr>
              <w:t>2026-05-22</w:t>
            </w:r>
          </w:p>
        </w:tc>
      </w:tr>
      <w:tr>
        <w:tc>
          <w:tcPr>
            <w:tcW w:type="dxa" w:w="2835"/>
            <w:shd w:val="clear" w:color="auto" w:fill="F2F5F8"/>
            <w:tcBorders>
              <w:top w:val="nil"/>
              <w:left w:val="nil"/>
              <w:bottom w:val="nil"/>
              <w:right w:val="nil"/>
            </w:tcBorders>
          </w:tcPr>
          <w:p>
            <w:r/>
            <w:r>
              <w:rPr>
                <w:b/>
                <w:color w:val="0E3A5F"/>
                <w:sz w:val="20"/>
              </w:rPr>
              <w:t>RFP response due</w:t>
            </w:r>
          </w:p>
        </w:tc>
        <w:tc>
          <w:tcPr>
            <w:tcW w:type="dxa" w:w="6236"/>
            <w:tcBorders>
              <w:top w:val="nil"/>
              <w:left w:val="nil"/>
              <w:bottom w:val="nil"/>
              <w:right w:val="nil"/>
            </w:tcBorders>
          </w:tcPr>
          <w:p>
            <w:r/>
            <w:r>
              <w:rPr>
                <w:sz w:val="20"/>
              </w:rPr>
              <w:t>2026-05-26</w:t>
            </w:r>
          </w:p>
        </w:tc>
      </w:tr>
    </w:tbl>
    <w:p>
      <w:pPr>
        <w:spacing w:before="2400"/>
        <w:jc w:val="center"/>
      </w:pPr>
      <w:r>
        <w:rPr>
          <w:i/>
          <w:color w:val="555B66"/>
          <w:sz w:val="17"/>
        </w:rPr>
        <w:t>Confidential — Prepared exclusively for Acme Corp. Not for redistribution.</w:t>
      </w:r>
    </w:p>
    <w:p>
      <w:r>
        <w:br w:type="page"/>
      </w:r>
    </w:p>
    <w:p>
      <w:pPr>
        <w:keepNext/>
        <w:spacing w:before="280" w:after="80"/>
        <w:pBdr>
          <w:bottom w:val="single" w:sz="8" w:color="0E3A5F"/>
        </w:pBdr>
      </w:pPr>
      <w:r>
        <w:rPr>
          <w:b/>
          <w:color w:val="0E3A5F"/>
          <w:sz w:val="36"/>
        </w:rPr>
        <w:t>1. Executive Summary</w:t>
      </w:r>
    </w:p>
    <w:p>
      <w:pPr>
        <w:spacing w:before="0" w:after="200"/>
      </w:pPr>
      <w:r>
        <w:rPr>
          <w:b w:val="0"/>
          <w:i w:val="0"/>
          <w:sz w:val="21"/>
        </w:rPr>
        <w:t>Acme Corp is decommissioning Teradata by end of 2027 and is selecting an enterprise data platform to consolidate IoT streaming, batch ETL, BI, and the foundation for ML-driven predictive maintenance. BTS-Synthetic is purpose-built for this workload mix at Acme's scale, on Azure, with the open-format lakehouse architecture Acme has called out as preferred. This response confirms our fit and sets out our commercial and contractual position with full transparency.</w:t>
      </w:r>
    </w:p>
    <w:tbl>
      <w:tblPr>
        <w:tblW w:type="auto" w:w="0"/>
        <w:jc w:val="center"/>
        <w:tblLook w:firstColumn="1" w:firstRow="1" w:lastColumn="0" w:lastRow="0" w:noHBand="0" w:noVBand="1" w:val="04A0"/>
      </w:tblPr>
      <w:tblGrid>
        <w:gridCol w:w="9746"/>
      </w:tblGrid>
      <w:tr>
        <w:tc>
          <w:tcPr>
            <w:tcW w:type="dxa" w:w="9746"/>
            <w:shd w:val="clear" w:color="auto" w:fill="D8E2EC"/>
            <w:tcBorders>
              <w:top w:val="single" w:sz="6" w:color="0E3A5F"/>
              <w:left w:val="single" w:sz="6" w:color="0E3A5F"/>
              <w:bottom w:val="single" w:sz="6" w:color="0E3A5F"/>
              <w:right w:val="single" w:sz="6" w:color="0E3A5F"/>
            </w:tcBorders>
          </w:tcPr>
          <w:p>
            <w:pPr>
              <w:spacing w:after="60"/>
            </w:pPr>
            <w:r/>
            <w:r>
              <w:rPr>
                <w:b/>
                <w:color w:val="0E3A5F"/>
                <w:sz w:val="22"/>
              </w:rPr>
              <w:t>Headline — three things to take away</w:t>
            </w:r>
          </w:p>
          <w:p>
            <w:pPr>
              <w:spacing w:after="40"/>
            </w:pPr>
            <w:r>
              <w:rPr>
                <w:sz w:val="20"/>
              </w:rPr>
              <w:t>WHY US: Native Power BI DirectQuery adapter for 600 analysts, real-time ingest tested to 250K events/sec (3× Acme's peak), per-table EU data residency, and a 16-week Teradata migration track record — comfortably ahead of Acme's 2027 deadline.</w:t>
              <w:br/>
              <w:br/>
              <w:t>COMMERCIAL: $830K Year 1, 25% discount off list ($4.25M over 5 years all-in, including 99.99% SLA add-on). 28% discount available with a signed reference customer agreement. Full transparency on Years 1–5 in §5.</w:t>
              <w:br/>
              <w:br/>
              <w:t>KEY RISK / CONDITIONS TO PROCEED: Five clauses in the RFP are commercially or legally non-viable as written (MFN, uncapped liability with regulatory fine indemnification, immediate-termination SLA, full IP assignment, per-subprocessor consent). We have provided explicit counter-language in §6 and require written agreement in principle on these before contract execution. We are not walking away — we are flagging early.</w:t>
            </w:r>
          </w:p>
        </w:tc>
      </w:tr>
    </w:tbl>
    <w:p>
      <w:pPr>
        <w:keepNext/>
        <w:spacing w:before="240" w:after="80"/>
      </w:pPr>
      <w:r>
        <w:rPr>
          <w:b/>
          <w:color w:val="0E3A5F"/>
          <w:sz w:val="27"/>
        </w:rPr>
        <w:t>Our understanding of Acme's need</w:t>
      </w:r>
    </w:p>
    <w:p>
      <w:pPr>
        <w:spacing w:before="0" w:after="120"/>
      </w:pPr>
      <w:r>
        <w:rPr>
          <w:b w:val="0"/>
          <w:i w:val="0"/>
          <w:sz w:val="21"/>
        </w:rPr>
        <w:t>Acme Corp is a $1.4B global manufacturer of industrial sensors and IoT devices with 7,200 employees, manufacturing in Mexico, Vietnam, and Romania, and R&amp;D in Austin and Munich. Microsoft Azure is the primary cloud and Power BI is the embedded analytics layer for 600 analysts and executives. The platform decision is driven by a hard 2027 Teradata decommission deadline and a workload profile that is unusually streaming-heavy for an enterprise of this size: 40,000 field devices, 80,000 events per second at peak, 12 TB monthly growth on a 280 TB base.</w:t>
      </w:r>
    </w:p>
    <w:p>
      <w:pPr>
        <w:spacing w:before="0" w:after="120"/>
      </w:pPr>
      <w:r>
        <w:rPr>
          <w:b w:val="0"/>
          <w:i w:val="0"/>
          <w:sz w:val="21"/>
        </w:rPr>
        <w:t>This is a platform decision, not a feature decision. Acme will live with the winner for 5 years and through a high-stakes migration. Our response is organised the way Acme has asked us to be evaluated — functional fit first, then TCO, then commercial terms, then implementation risk, then references.</w:t>
      </w:r>
    </w:p>
    <w:p>
      <w:pPr>
        <w:keepNext/>
        <w:spacing w:before="240" w:after="80"/>
      </w:pPr>
      <w:r>
        <w:rPr>
          <w:b/>
          <w:color w:val="0E3A5F"/>
          <w:sz w:val="27"/>
        </w:rPr>
        <w:t>Bid posture: BID, with conditions</w:t>
      </w:r>
    </w:p>
    <w:p>
      <w:pPr>
        <w:spacing w:before="0" w:after="120"/>
      </w:pPr>
      <w:r>
        <w:rPr>
          <w:b w:val="0"/>
          <w:i w:val="0"/>
          <w:sz w:val="21"/>
        </w:rPr>
        <w:t>We are submitting a full response. The functional fit is high and the deal is the right shape and scale for us (comparable to our Stark Industries engagement). We are flagging five contractual positions in the RFP that we cannot accept as written. Each has a specific counter in §6. Without written agreement in principle on those five, we cannot execute — and we believe it is more respectful of Acme's timeline to surface this now than at the Best and Final stage.</w:t>
      </w:r>
    </w:p>
    <w:p>
      <w:r>
        <w:br w:type="page"/>
      </w:r>
    </w:p>
    <w:p>
      <w:pPr>
        <w:keepNext/>
        <w:spacing w:before="280" w:after="80"/>
        <w:pBdr>
          <w:bottom w:val="single" w:sz="8" w:color="0E3A5F"/>
        </w:pBdr>
      </w:pPr>
      <w:r>
        <w:rPr>
          <w:b/>
          <w:color w:val="0E3A5F"/>
          <w:sz w:val="36"/>
        </w:rPr>
        <w:t>2. Technical Proposal</w:t>
      </w:r>
    </w:p>
    <w:p>
      <w:pPr>
        <w:spacing w:before="0" w:after="200"/>
      </w:pPr>
      <w:r>
        <w:rPr>
          <w:b w:val="0"/>
          <w:i w:val="0"/>
          <w:sz w:val="21"/>
        </w:rPr>
        <w:t>BTS-Synthetic is purpose-built for Azure-native lakehouse architectures at exactly Acme's scale: open formats (Delta, Iceberg, Parquet), per-table EU data residency, and a Power BI DirectQuery adapter that supports 600 concurrent analysts without data movement. With a tested ingest ceiling of 250,000 events/second and a 16-week Teradata migration track record, we can absorb Acme's full workload stack — IoT streaming, batch ETL, and the future ML workload — well ahead of the 2027 decommission deadline.</w:t>
      </w:r>
    </w:p>
    <w:p>
      <w:pPr>
        <w:keepNext/>
        <w:spacing w:before="240" w:after="80"/>
      </w:pPr>
      <w:r>
        <w:rPr>
          <w:b/>
          <w:color w:val="0E3A5F"/>
          <w:sz w:val="27"/>
        </w:rPr>
        <w:t>2.1 Capability map against RFP §2</w:t>
      </w:r>
    </w:p>
    <w:p>
      <w:pPr>
        <w:spacing w:before="0" w:after="120"/>
      </w:pPr>
      <w:r>
        <w:rPr>
          <w:b w:val="0"/>
          <w:i w:val="0"/>
          <w:sz w:val="21"/>
        </w:rPr>
        <w:t>The table below maps each Acme requirement to our platform capability and a fit verdict. We have flagged honestly where fit is partial.</w:t>
      </w:r>
    </w:p>
    <w:tbl>
      <w:tblPr>
        <w:tblW w:type="auto" w:w="0"/>
        <w:jc w:val="center"/>
        <w:tblLayout w:type="fixed"/>
        <w:tblLook w:firstColumn="1" w:firstRow="1" w:lastColumn="0" w:lastRow="0" w:noHBand="0" w:noVBand="1" w:val="04A0"/>
      </w:tblPr>
      <w:tblGrid>
        <w:gridCol w:w="3249"/>
        <w:gridCol w:w="3249"/>
        <w:gridCol w:w="3249"/>
      </w:tblGrid>
      <w:tr>
        <w:tc>
          <w:tcPr>
            <w:tcW w:type="dxa" w:w="2835"/>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RFP requirement</w:t>
            </w:r>
          </w:p>
        </w:tc>
        <w:tc>
          <w:tcPr>
            <w:tcW w:type="dxa" w:w="4819"/>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BTS-Synthetic capability</w:t>
            </w:r>
          </w:p>
        </w:tc>
        <w:tc>
          <w:tcPr>
            <w:tcW w:type="dxa" w:w="1417"/>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Fit</w:t>
            </w:r>
          </w:p>
        </w:tc>
      </w:tr>
      <w:tr>
        <w:tc>
          <w:tcPr>
            <w:tcW w:type="dxa" w:w="2835"/>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Real-time ingest from ~40,000 IoT devices</w:t>
            </w:r>
          </w:p>
        </w:tc>
        <w:tc>
          <w:tcPr>
            <w:tcW w:type="dxa" w:w="4819"/>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Native Kafka and Kinesis consumers; tested to 250K events/sec single-region (3× Acme peak of 80K/sec)</w:t>
            </w:r>
          </w:p>
        </w:tc>
        <w:tc>
          <w:tcPr>
            <w:tcW w:type="dxa" w:w="141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FULL</w:t>
            </w:r>
          </w:p>
        </w:tc>
      </w:tr>
      <w:tr>
        <w:tc>
          <w:tcPr>
            <w:tcW w:type="dxa" w:w="2835"/>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Batch ETL from 30+ internal sources</w:t>
            </w:r>
          </w:p>
        </w:tc>
        <w:tc>
          <w:tcPr>
            <w:tcW w:type="dxa" w:w="4819"/>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80+ out-of-the-box connectors (SAP, Salesforce, NetSuite, common DBs); Debezium-compatible CDC</w:t>
            </w:r>
          </w:p>
        </w:tc>
        <w:tc>
          <w:tcPr>
            <w:tcW w:type="dxa" w:w="1417"/>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FULL</w:t>
            </w:r>
          </w:p>
        </w:tc>
      </w:tr>
      <w:tr>
        <w:tc>
          <w:tcPr>
            <w:tcW w:type="dxa" w:w="2835"/>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BI and reporting for ~600 analysts and executives</w:t>
            </w:r>
          </w:p>
        </w:tc>
        <w:tc>
          <w:tcPr>
            <w:tcW w:type="dxa" w:w="4819"/>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Dedicated Power BI DirectQuery adapter — our most mature BI integration; no data movement required</w:t>
            </w:r>
          </w:p>
        </w:tc>
        <w:tc>
          <w:tcPr>
            <w:tcW w:type="dxa" w:w="141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FULL</w:t>
            </w:r>
          </w:p>
        </w:tc>
      </w:tr>
      <w:tr>
        <w:tc>
          <w:tcPr>
            <w:tcW w:type="dxa" w:w="2835"/>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Self-service prep for ~150 data engineers</w:t>
            </w:r>
          </w:p>
        </w:tc>
        <w:tc>
          <w:tcPr>
            <w:tcW w:type="dxa" w:w="4819"/>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Low-code data prep UI with role-based access; integrated with the platform catalog</w:t>
            </w:r>
          </w:p>
        </w:tc>
        <w:tc>
          <w:tcPr>
            <w:tcW w:type="dxa" w:w="1417"/>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FULL</w:t>
            </w:r>
          </w:p>
        </w:tc>
      </w:tr>
      <w:tr>
        <w:tc>
          <w:tcPr>
            <w:tcW w:type="dxa" w:w="2835"/>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ML pipelines for predictive maintenance (planned)</w:t>
            </w:r>
          </w:p>
        </w:tc>
        <w:tc>
          <w:tcPr>
            <w:tcW w:type="dxa" w:w="4819"/>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Feature store (offline + online), model registry with versioning, native autoscaling model serving, BYO-model support</w:t>
            </w:r>
          </w:p>
        </w:tc>
        <w:tc>
          <w:tcPr>
            <w:tcW w:type="dxa" w:w="141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FULL</w:t>
            </w:r>
          </w:p>
        </w:tc>
      </w:tr>
      <w:tr>
        <w:tc>
          <w:tcPr>
            <w:tcW w:type="dxa" w:w="2835"/>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~280 TB current; ~12 TB/month growth</w:t>
            </w:r>
          </w:p>
        </w:tc>
        <w:tc>
          <w:tcPr>
            <w:tcW w:type="dxa" w:w="4819"/>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Object storage backend (Azure Blob bring-your-own); compute decoupled — no scaling ceiling at this volume</w:t>
            </w:r>
          </w:p>
        </w:tc>
        <w:tc>
          <w:tcPr>
            <w:tcW w:type="dxa" w:w="1417"/>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FULL</w:t>
            </w:r>
          </w:p>
        </w:tc>
      </w:tr>
      <w:tr>
        <w:tc>
          <w:tcPr>
            <w:tcW w:type="dxa" w:w="2835"/>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Peak ingest 80,000 events/second</w:t>
            </w:r>
          </w:p>
        </w:tc>
        <w:tc>
          <w:tcPr>
            <w:tcW w:type="dxa" w:w="4819"/>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Tested ceiling 250K events/sec on single-region; Acme is at 32% of headroom at peak</w:t>
            </w:r>
          </w:p>
        </w:tc>
        <w:tc>
          <w:tcPr>
            <w:tcW w:type="dxa" w:w="141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FULL</w:t>
            </w:r>
          </w:p>
        </w:tc>
      </w:tr>
      <w:tr>
        <w:tc>
          <w:tcPr>
            <w:tcW w:type="dxa" w:w="2835"/>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Native Power BI integration (non-negotiable)</w:t>
            </w:r>
          </w:p>
        </w:tc>
        <w:tc>
          <w:tcPr>
            <w:tcW w:type="dxa" w:w="4819"/>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Dedicated DirectQuery adapter; 600-user deployments referenceable</w:t>
            </w:r>
          </w:p>
        </w:tc>
        <w:tc>
          <w:tcPr>
            <w:tcW w:type="dxa" w:w="1417"/>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FULL</w:t>
            </w:r>
          </w:p>
        </w:tc>
      </w:tr>
      <w:tr>
        <w:tc>
          <w:tcPr>
            <w:tcW w:type="dxa" w:w="2835"/>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Multi-region (EU primary, US East secondary)</w:t>
            </w:r>
          </w:p>
        </w:tc>
        <w:tc>
          <w:tcPr>
            <w:tcW w:type="dxa" w:w="4819"/>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Multi-region within Azure; per-table residency pinning to EU regions</w:t>
            </w:r>
          </w:p>
        </w:tc>
        <w:tc>
          <w:tcPr>
            <w:tcW w:type="dxa" w:w="141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FULL</w:t>
            </w:r>
          </w:p>
        </w:tc>
      </w:tr>
      <w:tr>
        <w:tc>
          <w:tcPr>
            <w:tcW w:type="dxa" w:w="2835"/>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EU data residency</w:t>
            </w:r>
          </w:p>
        </w:tc>
        <w:tc>
          <w:tcPr>
            <w:tcW w:type="dxa" w:w="4819"/>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Per-table residency enforcement built into the governance layer</w:t>
            </w:r>
          </w:p>
        </w:tc>
        <w:tc>
          <w:tcPr>
            <w:tcW w:type="dxa" w:w="1417"/>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FULL</w:t>
            </w:r>
          </w:p>
        </w:tc>
      </w:tr>
      <w:tr>
        <w:tc>
          <w:tcPr>
            <w:tcW w:type="dxa" w:w="2835"/>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Lakehouse architecture</w:t>
            </w:r>
          </w:p>
        </w:tc>
        <w:tc>
          <w:tcPr>
            <w:tcW w:type="dxa" w:w="4819"/>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Lakehouse is the core product architecture</w:t>
            </w:r>
          </w:p>
        </w:tc>
        <w:tc>
          <w:tcPr>
            <w:tcW w:type="dxa" w:w="141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FULL</w:t>
            </w:r>
          </w:p>
        </w:tc>
      </w:tr>
      <w:tr>
        <w:tc>
          <w:tcPr>
            <w:tcW w:type="dxa" w:w="2835"/>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Open file formats (Parquet, Delta, Iceberg)</w:t>
            </w:r>
          </w:p>
        </w:tc>
        <w:tc>
          <w:tcPr>
            <w:tcW w:type="dxa" w:w="4819"/>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All three native; BYO storage means full portability — no lock-in to our proprietary format</w:t>
            </w:r>
          </w:p>
        </w:tc>
        <w:tc>
          <w:tcPr>
            <w:tcW w:type="dxa" w:w="1417"/>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FULL</w:t>
            </w:r>
          </w:p>
        </w:tc>
      </w:tr>
      <w:tr>
        <w:tc>
          <w:tcPr>
            <w:tcW w:type="dxa" w:w="2835"/>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Streaming query latency on real-time use cases</w:t>
            </w:r>
          </w:p>
        </w:tc>
        <w:tc>
          <w:tcPr>
            <w:tcW w:type="dxa" w:w="4819"/>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250 ms–1 s on streaming queries. If sub-100 ms platform-side query latency is required for any specific alert use case, we propose a hybrid pattern with an edge processor (Azure Stream Analytics) feeding our platform.</w:t>
            </w:r>
          </w:p>
        </w:tc>
        <w:tc>
          <w:tcPr>
            <w:tcW w:type="dxa" w:w="141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PARTIAL</w:t>
            </w:r>
          </w:p>
        </w:tc>
      </w:tr>
      <w:tr>
        <w:tc>
          <w:tcPr>
            <w:tcW w:type="dxa" w:w="2835"/>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99.99% uptime SLA</w:t>
            </w:r>
          </w:p>
        </w:tc>
        <w:tc>
          <w:tcPr>
            <w:tcW w:type="dxa" w:w="4819"/>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Available as a priced add-on requiring multi-region active-active. Included in our commercial proposal at $95K/year. Standard Enterprise tier is 99.95%.</w:t>
            </w:r>
          </w:p>
        </w:tc>
        <w:tc>
          <w:tcPr>
            <w:tcW w:type="dxa" w:w="1417"/>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PARTIAL</w:t>
            </w:r>
          </w:p>
        </w:tc>
      </w:tr>
    </w:tbl>
    <w:p>
      <w:pPr>
        <w:spacing w:before="0" w:after="120"/>
      </w:pPr>
      <w:r>
        <w:rPr>
          <w:b w:val="0"/>
          <w:i w:val="0"/>
          <w:sz w:val="21"/>
        </w:rPr>
      </w:r>
    </w:p>
    <w:p>
      <w:pPr>
        <w:keepNext/>
        <w:spacing w:before="240" w:after="80"/>
      </w:pPr>
      <w:r>
        <w:rPr>
          <w:b/>
          <w:color w:val="0E3A5F"/>
          <w:sz w:val="27"/>
        </w:rPr>
        <w:t>2.2 Platform architecture summary</w:t>
      </w:r>
    </w:p>
    <w:p>
      <w:pPr>
        <w:pStyle w:val="ListBullet"/>
        <w:spacing w:after="60"/>
        <w:ind w:left="340"/>
      </w:pPr>
      <w:r>
        <w:rPr>
          <w:b/>
          <w:sz w:val="21"/>
        </w:rPr>
        <w:t>Storage:</w:t>
      </w:r>
      <w:r>
        <w:rPr>
          <w:sz w:val="21"/>
        </w:rPr>
        <w:t xml:space="preserve"> Lakehouse on object storage (Azure Blob bring-your-own); Delta, Iceberg, and Parquet native.</w:t>
      </w:r>
    </w:p>
    <w:p>
      <w:pPr>
        <w:pStyle w:val="ListBullet"/>
        <w:spacing w:after="60"/>
        <w:ind w:left="340"/>
      </w:pPr>
      <w:r>
        <w:rPr>
          <w:b/>
          <w:sz w:val="21"/>
        </w:rPr>
        <w:t>Compute:</w:t>
      </w:r>
      <w:r>
        <w:rPr>
          <w:sz w:val="21"/>
        </w:rPr>
        <w:t xml:space="preserve"> Decoupled from storage; SQL, Spark-equivalent, and streaming engines run independently and scale separately.</w:t>
      </w:r>
    </w:p>
    <w:p>
      <w:pPr>
        <w:pStyle w:val="ListBullet"/>
        <w:spacing w:after="60"/>
        <w:ind w:left="340"/>
      </w:pPr>
      <w:r>
        <w:rPr>
          <w:b/>
          <w:sz w:val="21"/>
        </w:rPr>
        <w:t>Ingest:</w:t>
      </w:r>
      <w:r>
        <w:rPr>
          <w:sz w:val="21"/>
        </w:rPr>
        <w:t xml:space="preserve"> Native Kafka and Kinesis consumers; Debezium-compatible CDC for major databases.</w:t>
      </w:r>
    </w:p>
    <w:p>
      <w:pPr>
        <w:pStyle w:val="ListBullet"/>
        <w:spacing w:after="60"/>
        <w:ind w:left="340"/>
      </w:pPr>
      <w:r>
        <w:rPr>
          <w:b/>
          <w:sz w:val="21"/>
        </w:rPr>
        <w:t>Governance:</w:t>
      </w:r>
      <w:r>
        <w:rPr>
          <w:sz w:val="21"/>
        </w:rPr>
        <w:t xml:space="preserve"> Unity-style catalog covering tables, models, and dashboards; row- and column-level security with ABAC; per-table residency; full audit log export to customer SIEM; built-in PII detection and masking.</w:t>
      </w:r>
    </w:p>
    <w:p>
      <w:pPr>
        <w:pStyle w:val="ListBullet"/>
        <w:spacing w:after="60"/>
        <w:ind w:left="340"/>
      </w:pPr>
      <w:r>
        <w:rPr>
          <w:b/>
          <w:sz w:val="21"/>
        </w:rPr>
        <w:t>Analytics:</w:t>
      </w:r>
      <w:r>
        <w:rPr>
          <w:sz w:val="21"/>
        </w:rPr>
        <w:t xml:space="preserve"> Certified Power BI DirectQuery adapter; certified Tableau, Looker, and Qlik connectors also available.</w:t>
      </w:r>
    </w:p>
    <w:p>
      <w:pPr>
        <w:pStyle w:val="ListBullet"/>
        <w:spacing w:after="60"/>
        <w:ind w:left="340"/>
      </w:pPr>
      <w:r>
        <w:rPr>
          <w:b/>
          <w:sz w:val="21"/>
        </w:rPr>
        <w:t>ML / AI:</w:t>
      </w:r>
      <w:r>
        <w:rPr>
          <w:sz w:val="21"/>
        </w:rPr>
        <w:t xml:space="preserve"> Feature store (offline + online), model registry, native model serving, BYO-model from HuggingFace, Anthropic, and OpenAI.</w:t>
      </w:r>
    </w:p>
    <w:p>
      <w:pPr>
        <w:pStyle w:val="ListBullet"/>
        <w:spacing w:after="60"/>
        <w:ind w:left="340"/>
      </w:pPr>
      <w:r>
        <w:rPr>
          <w:b/>
          <w:sz w:val="21"/>
        </w:rPr>
        <w:t>Compliance:</w:t>
      </w:r>
      <w:r>
        <w:rPr>
          <w:sz w:val="21"/>
        </w:rPr>
        <w:t xml:space="preserve"> SOC 2 Type II, ISO 27001, HIPAA-eligible, GDPR-aligned with a DPA, FedRAMP Moderate (US Gov tier).</w:t>
      </w:r>
    </w:p>
    <w:p>
      <w:pPr>
        <w:keepNext/>
        <w:spacing w:before="240" w:after="80"/>
      </w:pPr>
      <w:r>
        <w:rPr>
          <w:b/>
          <w:color w:val="0E3A5F"/>
          <w:sz w:val="27"/>
        </w:rPr>
        <w:t>2.3 Honest gap statement</w:t>
      </w:r>
    </w:p>
    <w:p>
      <w:pPr>
        <w:spacing w:before="0" w:after="120"/>
      </w:pPr>
      <w:r>
        <w:rPr>
          <w:b w:val="0"/>
          <w:i w:val="0"/>
          <w:sz w:val="21"/>
        </w:rPr>
        <w:t>Acme weights functional fit at 30%. We will not survive that scoring with overclaims, so we are explicit about where we are not best-in-class:</w:t>
      </w:r>
    </w:p>
    <w:p>
      <w:pPr>
        <w:pStyle w:val="ListBullet"/>
        <w:spacing w:after="60"/>
        <w:ind w:left="340"/>
      </w:pPr>
      <w:r>
        <w:rPr>
          <w:b/>
          <w:sz w:val="21"/>
        </w:rPr>
        <w:t>Sub-100 ms real-time:</w:t>
      </w:r>
      <w:r>
        <w:rPr>
          <w:sz w:val="21"/>
        </w:rPr>
        <w:t xml:space="preserve"> Streaming query latency is 250 ms–1 s, not sub-100 ms. For alert paths that need sub-100 ms response, we recommend an edge processor in front of the platform.</w:t>
      </w:r>
    </w:p>
    <w:p>
      <w:pPr>
        <w:pStyle w:val="ListBullet"/>
        <w:spacing w:after="60"/>
        <w:ind w:left="340"/>
      </w:pPr>
      <w:r>
        <w:rPr>
          <w:b/>
          <w:sz w:val="21"/>
        </w:rPr>
        <w:t>Geospatial:</w:t>
      </w:r>
      <w:r>
        <w:rPr>
          <w:sz w:val="21"/>
        </w:rPr>
        <w:t xml:space="preserve"> Basic only; no advanced geospatial indexing. Not flagged as a requirement in the RFP.</w:t>
      </w:r>
    </w:p>
    <w:p>
      <w:pPr>
        <w:pStyle w:val="ListBullet"/>
        <w:spacing w:after="60"/>
        <w:ind w:left="340"/>
      </w:pPr>
      <w:r>
        <w:rPr>
          <w:b/>
          <w:sz w:val="21"/>
        </w:rPr>
        <w:t>Graph:</w:t>
      </w:r>
      <w:r>
        <w:rPr>
          <w:sz w:val="21"/>
        </w:rPr>
        <w:t xml:space="preserve"> Not natively supported. Customers run graph workloads in a separate graph database. Not flagged as a requirement in the RFP.</w:t>
      </w:r>
    </w:p>
    <w:p>
      <w:pPr>
        <w:pStyle w:val="ListBullet"/>
        <w:spacing w:after="60"/>
        <w:ind w:left="340"/>
      </w:pPr>
      <w:r>
        <w:rPr>
          <w:b/>
          <w:sz w:val="21"/>
        </w:rPr>
        <w:t>Power Apps:</w:t>
      </w:r>
      <w:r>
        <w:rPr>
          <w:sz w:val="21"/>
        </w:rPr>
        <w:t xml:space="preserve"> Native to Power BI; no native Power Apps connector. Most customers have not needed one.</w:t>
      </w:r>
    </w:p>
    <w:p>
      <w:r>
        <w:br w:type="page"/>
      </w:r>
    </w:p>
    <w:p>
      <w:pPr>
        <w:keepNext/>
        <w:spacing w:before="280" w:after="80"/>
        <w:pBdr>
          <w:bottom w:val="single" w:sz="8" w:color="0E3A5F"/>
        </w:pBdr>
      </w:pPr>
      <w:r>
        <w:rPr>
          <w:b/>
          <w:color w:val="0E3A5F"/>
          <w:sz w:val="36"/>
        </w:rPr>
        <w:t>3. Competitive Differentiation</w:t>
      </w:r>
    </w:p>
    <w:p>
      <w:pPr>
        <w:spacing w:before="0" w:after="120"/>
      </w:pPr>
      <w:r>
        <w:rPr>
          <w:b w:val="0"/>
          <w:i w:val="0"/>
          <w:sz w:val="21"/>
        </w:rPr>
        <w:t>The RFP discloses that Acme is also evaluating Databricks, Snowflake, Microsoft Fabric, and a regional vendor. We take that competition seriously and have positioned this response against each one. We have not built our differentiation on what is wrong with our competitors — we have built it on what is right for Acme.</w:t>
      </w:r>
    </w:p>
    <w:p>
      <w:pPr>
        <w:keepNext/>
        <w:spacing w:before="240" w:after="80"/>
      </w:pPr>
      <w:r>
        <w:rPr>
          <w:b/>
          <w:color w:val="0E3A5F"/>
          <w:sz w:val="27"/>
        </w:rPr>
        <w:t>3.1 Win themes</w:t>
      </w:r>
    </w:p>
    <w:p>
      <w:pPr>
        <w:pStyle w:val="ListBullet"/>
        <w:spacing w:after="60"/>
        <w:ind w:left="340"/>
      </w:pPr>
      <w:r>
        <w:rPr>
          <w:b/>
          <w:sz w:val="21"/>
        </w:rPr>
        <w:t>We have done this before — in your industry, at your scale.</w:t>
      </w:r>
      <w:r>
        <w:rPr>
          <w:sz w:val="21"/>
        </w:rPr>
        <w:t xml:space="preserve"> Initech Sensors (real-time IoT, Microsoft shop, won against Microsoft Fabric on streaming SLA) and Globex Manufacturing (industrial, won against Snowflake and Databricks on TCO) are direct precedents for Acme's profile. This is evidence, not aspiration.</w:t>
      </w:r>
    </w:p>
    <w:p>
      <w:pPr>
        <w:pStyle w:val="ListBullet"/>
        <w:spacing w:after="60"/>
        <w:ind w:left="340"/>
      </w:pPr>
      <w:r>
        <w:rPr>
          <w:b/>
          <w:sz w:val="21"/>
        </w:rPr>
        <w:t>Open formats mean you own your data when the contract ends.</w:t>
      </w:r>
      <w:r>
        <w:rPr>
          <w:sz w:val="21"/>
        </w:rPr>
        <w:t xml:space="preserve"> Acme is escaping one legacy vendor (Teradata) on a hard 2027 deadline. We will not be the next one. Delta, Iceberg, and Parquet are native; storage is bring-your-own on Azure Blob. Acme owns its data in open formats throughout the contract and at the end of it.</w:t>
      </w:r>
    </w:p>
    <w:p>
      <w:pPr>
        <w:pStyle w:val="ListBullet"/>
        <w:spacing w:after="60"/>
        <w:ind w:left="340"/>
      </w:pPr>
      <w:r>
        <w:rPr>
          <w:b/>
          <w:sz w:val="21"/>
        </w:rPr>
        <w:t>Real TCO, not headline price.</w:t>
      </w:r>
      <w:r>
        <w:rPr>
          <w:sz w:val="21"/>
        </w:rPr>
        <w:t xml:space="preserve"> Acme weights TCO at 20%. We commit to a 3+2 year cost model using Acme's actual workload numbers. Our 5-year all-in is $4.25M (see §5). Microsoft's "free with E5" pitch and Databricks' compute pricing both look very different under that analysis.</w:t>
      </w:r>
    </w:p>
    <w:p>
      <w:pPr>
        <w:keepNext/>
        <w:spacing w:before="240" w:after="80"/>
      </w:pPr>
      <w:r>
        <w:rPr>
          <w:b/>
          <w:color w:val="0E3A5F"/>
          <w:sz w:val="27"/>
        </w:rPr>
        <w:t>3.2 Position against each named competitor</w:t>
      </w:r>
    </w:p>
    <w:tbl>
      <w:tblPr>
        <w:tblW w:type="auto" w:w="0"/>
        <w:jc w:val="center"/>
        <w:tblLayout w:type="fixed"/>
        <w:tblLook w:firstColumn="1" w:firstRow="1" w:lastColumn="0" w:lastRow="0" w:noHBand="0" w:noVBand="1" w:val="04A0"/>
      </w:tblPr>
      <w:tblGrid>
        <w:gridCol w:w="3249"/>
        <w:gridCol w:w="3249"/>
        <w:gridCol w:w="3249"/>
      </w:tblGrid>
      <w:tr>
        <w:tc>
          <w:tcPr>
            <w:tcW w:type="dxa" w:w="1587"/>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Competitor</w:t>
            </w:r>
          </w:p>
        </w:tc>
        <w:tc>
          <w:tcPr>
            <w:tcW w:type="dxa" w:w="3402"/>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Their likely pitch</w:t>
            </w:r>
          </w:p>
        </w:tc>
        <w:tc>
          <w:tcPr>
            <w:tcW w:type="dxa" w:w="4082"/>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Where it breaks for Acme</w:t>
            </w:r>
          </w:p>
        </w:tc>
      </w:tr>
      <w:tr>
        <w:tc>
          <w:tcPr>
            <w:tcW w:type="dxa" w:w="158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Databricks</w:t>
            </w:r>
          </w:p>
        </w:tc>
        <w:tc>
          <w:tcPr>
            <w:tcW w:type="dxa" w:w="3402"/>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"Modern lakehouse built for IoT-scale data engineering; ML-native; Delta everywhere." Targets the 150 data engineers.</w:t>
            </w:r>
          </w:p>
        </w:tc>
        <w:tc>
          <w:tcPr>
            <w:tcW w:type="dxa" w:w="4082"/>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Spark-based interactive query underserves 600 Power BI analysts; compute spend at 80K events/sec and 280 TB scales aggressively in Year 2. Globex Manufacturing chose us against the same pitch.</w:t>
            </w:r>
          </w:p>
        </w:tc>
      </w:tr>
      <w:tr>
        <w:tc>
          <w:tcPr>
            <w:tcW w:type="dxa" w:w="1587"/>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Snowflake</w:t>
            </w:r>
          </w:p>
        </w:tc>
        <w:tc>
          <w:tcPr>
            <w:tcW w:type="dxa" w:w="3402"/>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"Best analyst experience; secure data sharing." Targets the BI population.</w:t>
            </w:r>
          </w:p>
        </w:tc>
        <w:tc>
          <w:tcPr>
            <w:tcW w:type="dxa" w:w="4082"/>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Not purpose-built for 80K events/sec continuous ingest; per-second-of-compute pricing exposes IoT burst profile. Globex switched from Snowflake on this exact issue.</w:t>
            </w:r>
          </w:p>
        </w:tc>
      </w:tr>
      <w:tr>
        <w:tc>
          <w:tcPr>
            <w:tcW w:type="dxa" w:w="158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Microsoft Fabric</w:t>
            </w:r>
          </w:p>
        </w:tc>
        <w:tc>
          <w:tcPr>
            <w:tcW w:type="dxa" w:w="3402"/>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"You already pay for E5; Fabric is included; Azure-native; Power BI is yours." This is the strongest narrative against us.</w:t>
            </w:r>
          </w:p>
        </w:tc>
        <w:tc>
          <w:tcPr>
            <w:tcW w:type="dxa" w:w="4082"/>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Fabric is an 18-month-old unified product. Real-Time Intelligence is unproven at 80K events/sec sustained with an enforced SLA. "Free with E5" resolves to F64+ Capacity SKU cost + SI services + E5 uplift — typically $2–4M over 3 years at this scale. Initech Sensors heard the same pitch and chose us on the streaming SLA.</w:t>
            </w:r>
          </w:p>
        </w:tc>
      </w:tr>
      <w:tr>
        <w:tc>
          <w:tcPr>
            <w:tcW w:type="dxa" w:w="1587"/>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Regional vendor</w:t>
            </w:r>
          </w:p>
        </w:tc>
        <w:tc>
          <w:tcPr>
            <w:tcW w:type="dxa" w:w="3402"/>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Aggressive PoC pricing; close relationship with a single Acme champion.</w:t>
            </w:r>
          </w:p>
        </w:tc>
        <w:tc>
          <w:tcPr>
            <w:tcW w:type="dxa" w:w="4082"/>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Scale credibility at 280 TB / 80K events/sec is the wall. Financial stability is 10% of Acme's scoring; we recommend Acme apply it strictly given the 2027 Teradata deadline. A vendor that cannot be relied on through the migration is a strategic risk.</w:t>
            </w:r>
          </w:p>
        </w:tc>
      </w:tr>
    </w:tbl>
    <w:p>
      <w:pPr>
        <w:spacing w:before="0" w:after="120"/>
      </w:pPr>
      <w:r>
        <w:rPr>
          <w:b w:val="0"/>
          <w:i w:val="0"/>
          <w:sz w:val="21"/>
        </w:rPr>
      </w:r>
    </w:p>
    <w:tbl>
      <w:tblPr>
        <w:tblW w:type="auto" w:w="0"/>
        <w:jc w:val="center"/>
        <w:tblLook w:firstColumn="1" w:firstRow="1" w:lastColumn="0" w:lastRow="0" w:noHBand="0" w:noVBand="1" w:val="04A0"/>
      </w:tblPr>
      <w:tblGrid>
        <w:gridCol w:w="9746"/>
      </w:tblGrid>
      <w:tr>
        <w:tc>
          <w:tcPr>
            <w:tcW w:type="dxa" w:w="9746"/>
            <w:shd w:val="clear" w:color="auto" w:fill="D8E2EC"/>
            <w:tcBorders>
              <w:top w:val="single" w:sz="6" w:color="0E3A5F"/>
              <w:left w:val="single" w:sz="6" w:color="0E3A5F"/>
              <w:bottom w:val="single" w:sz="6" w:color="0E3A5F"/>
              <w:right w:val="single" w:sz="6" w:color="0E3A5F"/>
            </w:tcBorders>
          </w:tcPr>
          <w:p>
            <w:pPr>
              <w:spacing w:after="60"/>
            </w:pPr>
            <w:r/>
            <w:r>
              <w:rPr>
                <w:b/>
                <w:color w:val="0E3A5F"/>
                <w:sz w:val="22"/>
              </w:rPr>
              <w:t>The lock-in question — addressed directly</w:t>
            </w:r>
          </w:p>
          <w:p>
            <w:pPr>
              <w:spacing w:after="40"/>
            </w:pPr>
            <w:r>
              <w:rPr>
                <w:sz w:val="20"/>
              </w:rPr>
              <w:t>Acme has lived through Teradata. Of the four named competitors, only BTS-Synthetic operates on open file formats (Delta, Iceberg, Parquet) with bring-your-own object storage. If Acme chooses us and later changes mind, the data is in Acme's Azure Blob, in formats any other engine can read. That is the most concrete answer to "how do we not repeat the Teradata mistake."</w:t>
            </w:r>
          </w:p>
        </w:tc>
      </w:tr>
    </w:tbl>
    <w:p>
      <w:r>
        <w:br w:type="page"/>
      </w:r>
    </w:p>
    <w:p>
      <w:pPr>
        <w:keepNext/>
        <w:spacing w:before="280" w:after="80"/>
        <w:pBdr>
          <w:bottom w:val="single" w:sz="8" w:color="0E3A5F"/>
        </w:pBdr>
      </w:pPr>
      <w:r>
        <w:rPr>
          <w:b/>
          <w:color w:val="0E3A5F"/>
          <w:sz w:val="36"/>
        </w:rPr>
        <w:t>4. Implementation Plan</w:t>
      </w:r>
    </w:p>
    <w:p>
      <w:pPr>
        <w:spacing w:before="0" w:after="120"/>
      </w:pPr>
      <w:r>
        <w:rPr>
          <w:b w:val="0"/>
          <w:i w:val="0"/>
          <w:sz w:val="21"/>
        </w:rPr>
        <w:t>Plan assumes contract execution 2026-07-01 and lands all production workloads on BTS-Synthetic with six months of margin before Acme's end-of-2027 Teradata decommission deadline. Milestones are tied to Acme's deadline, not ours.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567"/>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w:t>
            </w:r>
          </w:p>
        </w:tc>
        <w:tc>
          <w:tcPr>
            <w:tcW w:type="dxa" w:w="2041"/>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Milestone</w:t>
            </w:r>
          </w:p>
        </w:tc>
        <w:tc>
          <w:tcPr>
            <w:tcW w:type="dxa" w:w="1587"/>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Target date</w:t>
            </w:r>
          </w:p>
        </w:tc>
        <w:tc>
          <w:tcPr>
            <w:tcW w:type="dxa" w:w="4876"/>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Description</w:t>
            </w:r>
          </w:p>
        </w:tc>
      </w:tr>
      <w:tr>
        <w:tc>
          <w:tcPr>
            <w:tcW w:type="dxa" w:w="56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M1</w:t>
            </w:r>
          </w:p>
        </w:tc>
        <w:tc>
          <w:tcPr>
            <w:tcW w:type="dxa" w:w="2041"/>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Foundation</w:t>
            </w:r>
          </w:p>
        </w:tc>
        <w:tc>
          <w:tcPr>
            <w:tcW w:type="dxa" w:w="158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2026-08-15</w:t>
            </w:r>
          </w:p>
        </w:tc>
        <w:tc>
          <w:tcPr>
            <w:tcW w:type="dxa" w:w="4876"/>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Azure multi-region provisioned (EU primary, US East secondary). Networking, IAM, data residency policies enforced. Subprocessor list confirmed.</w:t>
            </w:r>
          </w:p>
        </w:tc>
      </w:tr>
      <w:tr>
        <w:tc>
          <w:tcPr>
            <w:tcW w:type="dxa" w:w="567"/>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M2</w:t>
            </w:r>
          </w:p>
        </w:tc>
        <w:tc>
          <w:tcPr>
            <w:tcW w:type="dxa" w:w="2041"/>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First production workload</w:t>
            </w:r>
          </w:p>
        </w:tc>
        <w:tc>
          <w:tcPr>
            <w:tcW w:type="dxa" w:w="1587"/>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2026-09-15</w:t>
            </w:r>
          </w:p>
        </w:tc>
        <w:tc>
          <w:tcPr>
            <w:tcW w:type="dxa" w:w="4876"/>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IoT real-time ingest pipeline live. First 3–5 batch ETL connectors validated. 8 weeks from contract start.</w:t>
            </w:r>
          </w:p>
        </w:tc>
      </w:tr>
      <w:tr>
        <w:tc>
          <w:tcPr>
            <w:tcW w:type="dxa" w:w="56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M3</w:t>
            </w:r>
          </w:p>
        </w:tc>
        <w:tc>
          <w:tcPr>
            <w:tcW w:type="dxa" w:w="2041"/>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Power BI go-live</w:t>
            </w:r>
          </w:p>
        </w:tc>
        <w:tc>
          <w:tcPr>
            <w:tcW w:type="dxa" w:w="158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2026-11-01</w:t>
            </w:r>
          </w:p>
        </w:tc>
        <w:tc>
          <w:tcPr>
            <w:tcW w:type="dxa" w:w="4876"/>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DirectQuery adapter configured. 600-analyst rollout begins. Governance catalog populated, row/column-level security policies live.</w:t>
            </w:r>
          </w:p>
        </w:tc>
      </w:tr>
      <w:tr>
        <w:tc>
          <w:tcPr>
            <w:tcW w:type="dxa" w:w="567"/>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M4</w:t>
            </w:r>
          </w:p>
        </w:tc>
        <w:tc>
          <w:tcPr>
            <w:tcW w:type="dxa" w:w="2041"/>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Full ETL migration</w:t>
            </w:r>
          </w:p>
        </w:tc>
        <w:tc>
          <w:tcPr>
            <w:tcW w:type="dxa" w:w="1587"/>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2027-01-15</w:t>
            </w:r>
          </w:p>
        </w:tc>
        <w:tc>
          <w:tcPr>
            <w:tcW w:type="dxa" w:w="4876"/>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All 30+ batch sources migrated. Data quality validation complete. Parallel-run period with Teradata begins.</w:t>
            </w:r>
          </w:p>
        </w:tc>
      </w:tr>
      <w:tr>
        <w:tc>
          <w:tcPr>
            <w:tcW w:type="dxa" w:w="56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M5</w:t>
            </w:r>
          </w:p>
        </w:tc>
        <w:tc>
          <w:tcPr>
            <w:tcW w:type="dxa" w:w="2041"/>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Teradata parallel-run complete</w:t>
            </w:r>
          </w:p>
        </w:tc>
        <w:tc>
          <w:tcPr>
            <w:tcW w:type="dxa" w:w="158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2027-03-31</w:t>
            </w:r>
          </w:p>
        </w:tc>
        <w:tc>
          <w:tcPr>
            <w:tcW w:type="dxa" w:w="4876"/>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Reconciliation of outputs between Teradata and BTS-Synthetic signed off by Acme data team. Migration risk register closed.</w:t>
            </w:r>
          </w:p>
        </w:tc>
      </w:tr>
      <w:tr>
        <w:tc>
          <w:tcPr>
            <w:tcW w:type="dxa" w:w="567"/>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M6</w:t>
            </w:r>
          </w:p>
        </w:tc>
        <w:tc>
          <w:tcPr>
            <w:tcW w:type="dxa" w:w="2041"/>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Teradata decommission</w:t>
            </w:r>
          </w:p>
        </w:tc>
        <w:tc>
          <w:tcPr>
            <w:tcW w:type="dxa" w:w="1587"/>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2027-06-30</w:t>
            </w:r>
          </w:p>
        </w:tc>
        <w:tc>
          <w:tcPr>
            <w:tcW w:type="dxa" w:w="4876"/>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Teradata cut-off. All workloads running natively on BTS-Synthetic. ML pipeline foundation deployed for predictive maintenance. SIX MONTHS AHEAD of Acme's end-of-2027 deadline.</w:t>
            </w:r>
          </w:p>
        </w:tc>
      </w:tr>
      <w:tr>
        <w:tc>
          <w:tcPr>
            <w:tcW w:type="dxa" w:w="56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M7</w:t>
            </w:r>
          </w:p>
        </w:tc>
        <w:tc>
          <w:tcPr>
            <w:tcW w:type="dxa" w:w="2041"/>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Full production steady-state</w:t>
            </w:r>
          </w:p>
        </w:tc>
        <w:tc>
          <w:tcPr>
            <w:tcW w:type="dxa" w:w="158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2027-09-30</w:t>
            </w:r>
          </w:p>
        </w:tc>
        <w:tc>
          <w:tcPr>
            <w:tcW w:type="dxa" w:w="4876"/>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99.99% SLA active-active architecture confirmed. Runbooks, SLOs, support escalation paths in place. Quarterly business reviews established.</w:t>
            </w:r>
          </w:p>
        </w:tc>
      </w:tr>
    </w:tbl>
    <w:p>
      <w:pPr>
        <w:spacing w:before="0" w:after="120"/>
      </w:pPr>
      <w:r>
        <w:rPr>
          <w:b w:val="0"/>
          <w:i w:val="0"/>
          <w:sz w:val="21"/>
        </w:rPr>
      </w:r>
    </w:p>
    <w:p>
      <w:pPr>
        <w:keepNext/>
        <w:spacing w:before="240" w:after="80"/>
      </w:pPr>
      <w:r>
        <w:rPr>
          <w:b/>
          <w:color w:val="0E3A5F"/>
          <w:sz w:val="27"/>
        </w:rPr>
        <w:t>4.1 Pre-contract discovery sprint (recommended)</w:t>
      </w:r>
    </w:p>
    <w:p>
      <w:pPr>
        <w:spacing w:before="0" w:after="120"/>
      </w:pPr>
      <w:r>
        <w:rPr>
          <w:b w:val="0"/>
          <w:i w:val="0"/>
          <w:sz w:val="21"/>
        </w:rPr>
        <w:t>Given 30+ source systems and 280 TB of Teradata-native SQL, stored procedures, and proprietary formats, we propose a 4-week discovery sprint, either pre-contract or as the first deliverable of M1. The sprint produces a Teradata object inventory, a transformation-complexity register, and a firm-up of the M4–M5 schedule. We do this at no additional fee if the contract proceeds; if Acme chooses not to proceed after the sprint, a flat $40,000 fee covers it.</w:t>
      </w:r>
    </w:p>
    <w:p>
      <w:pPr>
        <w:keepNext/>
        <w:spacing w:before="240" w:after="80"/>
      </w:pPr>
      <w:r>
        <w:rPr>
          <w:b/>
          <w:color w:val="0E3A5F"/>
          <w:sz w:val="27"/>
        </w:rPr>
        <w:t>4.2 Top 3 implementation risks</w:t>
      </w:r>
    </w:p>
    <w:tbl>
      <w:tblPr>
        <w:tblW w:type="auto" w:w="0"/>
        <w:jc w:val="center"/>
        <w:tblLayout w:type="fixed"/>
        <w:tblLook w:firstColumn="1" w:firstRow="1" w:lastColumn="0" w:lastRow="0" w:noHBand="0" w:noVBand="1" w:val="04A0"/>
      </w:tblPr>
      <w:tblGrid>
        <w:gridCol w:w="4873"/>
        <w:gridCol w:w="4873"/>
      </w:tblGrid>
      <w:tr>
        <w:tc>
          <w:tcPr>
            <w:tcW w:type="dxa" w:w="4252"/>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Risk</w:t>
            </w:r>
          </w:p>
        </w:tc>
        <w:tc>
          <w:tcPr>
            <w:tcW w:type="dxa" w:w="4819"/>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Mitigation</w:t>
            </w:r>
          </w:p>
        </w:tc>
      </w:tr>
      <w:tr>
        <w:tc>
          <w:tcPr>
            <w:tcW w:type="dxa" w:w="4252"/>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1. Streaming query latency vs. predictive maintenance alert SLAs. If any alert path needs sub-100 ms platform-side response, our 250 ms–1 s ceiling is a gap.</w:t>
            </w:r>
          </w:p>
        </w:tc>
        <w:tc>
          <w:tcPr>
            <w:tcW w:type="dxa" w:w="4819"/>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Clarify in week 1 whether latency targets are on ingest acknowledgment (we are fine) or query response (potential gap). If the latter, deploy a lightweight edge processor (Azure Stream Analytics) ahead of the platform. We design the integration; cost is included in the implementation services.</w:t>
            </w:r>
          </w:p>
        </w:tc>
      </w:tr>
      <w:tr>
        <w:tc>
          <w:tcPr>
            <w:tcW w:type="dxa" w:w="4252"/>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2. 99.99% SLA add-on architecture and cost not surfaced before commercial close.</w:t>
            </w:r>
          </w:p>
        </w:tc>
        <w:tc>
          <w:tcPr>
            <w:tcW w:type="dxa" w:w="4819"/>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We have priced the 99.99% multi-region active-active add-on into the §5 commercial proposal at $95K/year and architected the implementation around it from M1. No surprise line item later.</w:t>
            </w:r>
          </w:p>
        </w:tc>
      </w:tr>
      <w:tr>
        <w:tc>
          <w:tcPr>
            <w:tcW w:type="dxa" w:w="4252"/>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3. Teradata migration complexity at 280 TB across 30+ sources — undetected data quality or transformation issues blow the schedule.</w:t>
            </w:r>
          </w:p>
        </w:tc>
        <w:tc>
          <w:tcPr>
            <w:tcW w:type="dxa" w:w="4819"/>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Discovery sprint in §4.1 surfaces complexity before commitment. M4–M5 parallel-run period builds in 2.5 months of reconciliation. M6 lands 6 months ahead of Acme's deadline — that buffer is the mitigation.</w:t>
            </w:r>
          </w:p>
        </w:tc>
      </w:tr>
    </w:tbl>
    <w:p>
      <w:r>
        <w:br w:type="page"/>
      </w:r>
    </w:p>
    <w:p>
      <w:pPr>
        <w:keepNext/>
        <w:spacing w:before="280" w:after="80"/>
        <w:pBdr>
          <w:bottom w:val="single" w:sz="8" w:color="0E3A5F"/>
        </w:pBdr>
      </w:pPr>
      <w:r>
        <w:rPr>
          <w:b/>
          <w:color w:val="0E3A5F"/>
          <w:sz w:val="36"/>
        </w:rPr>
        <w:t>5. Commercial Proposal</w:t>
      </w:r>
    </w:p>
    <w:p>
      <w:pPr>
        <w:spacing w:before="0" w:after="200"/>
      </w:pPr>
      <w:r>
        <w:rPr>
          <w:b w:val="0"/>
          <w:i w:val="0"/>
          <w:sz w:val="21"/>
        </w:rPr>
        <w:t>Full transparency for 5 years per RFP §3 and §7. Pricing is built off Acme's scale (280 TB, 40K devices, 600 BI users, 150 data engineers, 30+ sources) on our Enterprise tier. Comparable to our Stark Industries 5-year engagement.</w:t>
      </w:r>
    </w:p>
    <w:p>
      <w:pPr>
        <w:keepNext/>
        <w:spacing w:before="240" w:after="80"/>
      </w:pPr>
      <w:r>
        <w:rPr>
          <w:b/>
          <w:color w:val="0E3A5F"/>
          <w:sz w:val="27"/>
        </w:rPr>
        <w:t>5.1 Pricing structure and headline</w:t>
      </w:r>
    </w:p>
    <w:p>
      <w:pPr>
        <w:pStyle w:val="ListBullet"/>
        <w:spacing w:after="60"/>
        <w:ind w:left="340"/>
      </w:pPr>
      <w:r>
        <w:rPr>
          <w:b/>
          <w:sz w:val="21"/>
        </w:rPr>
        <w:t>Tier:</w:t>
      </w:r>
      <w:r>
        <w:rPr>
          <w:sz w:val="21"/>
        </w:rPr>
        <w:t xml:space="preserve"> Enterprise (the only viable tier at Acme's scale).</w:t>
      </w:r>
    </w:p>
    <w:p>
      <w:pPr>
        <w:pStyle w:val="ListBullet"/>
        <w:spacing w:after="60"/>
        <w:ind w:left="340"/>
      </w:pPr>
      <w:r>
        <w:rPr>
          <w:b/>
          <w:sz w:val="21"/>
        </w:rPr>
        <w:t>Annual list price:</w:t>
      </w:r>
      <w:r>
        <w:rPr>
          <w:sz w:val="21"/>
        </w:rPr>
        <w:t xml:space="preserve"> $980,000.</w:t>
      </w:r>
    </w:p>
    <w:p>
      <w:pPr>
        <w:pStyle w:val="ListBullet"/>
        <w:spacing w:after="60"/>
        <w:ind w:left="340"/>
      </w:pPr>
      <w:r>
        <w:rPr>
          <w:b/>
          <w:sz w:val="21"/>
        </w:rPr>
        <w:t>Discount:</w:t>
      </w:r>
      <w:r>
        <w:rPr>
          <w:sz w:val="21"/>
        </w:rPr>
        <w:t xml:space="preserve"> 25% off list, standard offer. Improves to 28% with a signed reference customer agreement.</w:t>
      </w:r>
    </w:p>
    <w:p>
      <w:pPr>
        <w:pStyle w:val="ListBullet"/>
        <w:spacing w:after="60"/>
        <w:ind w:left="340"/>
      </w:pPr>
      <w:r>
        <w:rPr>
          <w:b/>
          <w:sz w:val="21"/>
        </w:rPr>
        <w:t>Term &amp; escalators:</w:t>
      </w:r>
      <w:r>
        <w:rPr>
          <w:sz w:val="21"/>
        </w:rPr>
        <w:t xml:space="preserve"> Years 1–3 fixed at signature. Years 4–5 subject to CPI escalation capped at 4% per annum.</w:t>
      </w:r>
    </w:p>
    <w:p>
      <w:pPr>
        <w:pStyle w:val="ListBullet"/>
        <w:spacing w:after="60"/>
        <w:ind w:left="340"/>
      </w:pPr>
      <w:r>
        <w:rPr>
          <w:b/>
          <w:sz w:val="21"/>
        </w:rPr>
        <w:t>99.99% SLA add-on:</w:t>
      </w:r>
      <w:r>
        <w:rPr>
          <w:sz w:val="21"/>
        </w:rPr>
        <w:t xml:space="preserve"> $95,000/year (included in totals below). Required multi-region active-active.</w:t>
      </w:r>
    </w:p>
    <w:p>
      <w:pPr>
        <w:pStyle w:val="ListBullet"/>
        <w:spacing w:after="60"/>
        <w:ind w:left="340"/>
      </w:pPr>
      <w:r>
        <w:rPr>
          <w:b/>
          <w:sz w:val="21"/>
        </w:rPr>
        <w:t>Payment:</w:t>
      </w:r>
      <w:r>
        <w:rPr>
          <w:sz w:val="21"/>
        </w:rPr>
        <w:t xml:space="preserve"> Annual fees invoiced in advance. Net 30 (see §6).</w:t>
      </w:r>
    </w:p>
    <w:p>
      <w:pPr>
        <w:keepNext/>
        <w:spacing w:before="240" w:after="80"/>
      </w:pPr>
      <w:r>
        <w:rPr>
          <w:b/>
          <w:color w:val="0E3A5F"/>
          <w:sz w:val="27"/>
        </w:rPr>
        <w:t>5.2 Five-year pricing table</w:t>
      </w:r>
    </w:p>
    <w:tbl>
      <w:tblPr>
        <w:tblW w:type="auto" w:w="0"/>
        <w:jc w:val="center"/>
        <w:tblLayout w:type="fixed"/>
        <w:tblLook w:firstColumn="1" w:firstRow="1" w:lastColumn="0" w:lastRow="0" w:noHBand="0" w:noVBand="1" w:val="04A0"/>
      </w:tblPr>
      <w:tblGrid>
        <w:gridCol w:w="1624"/>
        <w:gridCol w:w="1624"/>
        <w:gridCol w:w="1624"/>
        <w:gridCol w:w="1624"/>
        <w:gridCol w:w="1624"/>
        <w:gridCol w:w="1624"/>
      </w:tblGrid>
      <w:tr>
        <w:tc>
          <w:tcPr>
            <w:tcW w:type="dxa" w:w="1814"/>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Year</w:t>
            </w:r>
          </w:p>
        </w:tc>
        <w:tc>
          <w:tcPr>
            <w:tcW w:type="dxa" w:w="1361"/>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List</w:t>
            </w:r>
          </w:p>
        </w:tc>
        <w:tc>
          <w:tcPr>
            <w:tcW w:type="dxa" w:w="1474"/>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Discount</w:t>
            </w:r>
          </w:p>
        </w:tc>
        <w:tc>
          <w:tcPr>
            <w:tcW w:type="dxa" w:w="1474"/>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Platform fee</w:t>
            </w:r>
          </w:p>
        </w:tc>
        <w:tc>
          <w:tcPr>
            <w:tcW w:type="dxa" w:w="1474"/>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99.99% SLA add-on</w:t>
            </w:r>
          </w:p>
        </w:tc>
        <w:tc>
          <w:tcPr>
            <w:tcW w:type="dxa" w:w="1474"/>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Total annual fee</w:t>
            </w:r>
          </w:p>
        </w:tc>
      </w:tr>
      <w:tr>
        <w:tc>
          <w:tcPr>
            <w:tcW w:type="dxa" w:w="181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Year 1 (2026–27)</w:t>
            </w:r>
          </w:p>
        </w:tc>
        <w:tc>
          <w:tcPr>
            <w:tcW w:type="dxa" w:w="1361"/>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$980,000</w:t>
            </w:r>
          </w:p>
        </w:tc>
        <w:tc>
          <w:tcPr>
            <w:tcW w:type="dxa" w:w="147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25%</w:t>
            </w:r>
          </w:p>
        </w:tc>
        <w:tc>
          <w:tcPr>
            <w:tcW w:type="dxa" w:w="147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$735,000</w:t>
            </w:r>
          </w:p>
        </w:tc>
        <w:tc>
          <w:tcPr>
            <w:tcW w:type="dxa" w:w="147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$95,000</w:t>
            </w:r>
          </w:p>
        </w:tc>
        <w:tc>
          <w:tcPr>
            <w:tcW w:type="dxa" w:w="147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$830,000</w:t>
            </w:r>
          </w:p>
        </w:tc>
      </w:tr>
      <w:tr>
        <w:tc>
          <w:tcPr>
            <w:tcW w:type="dxa" w:w="181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Year 2 (2027–28)</w:t>
            </w:r>
          </w:p>
        </w:tc>
        <w:tc>
          <w:tcPr>
            <w:tcW w:type="dxa" w:w="1361"/>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$980,000</w:t>
            </w:r>
          </w:p>
        </w:tc>
        <w:tc>
          <w:tcPr>
            <w:tcW w:type="dxa" w:w="147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25%</w:t>
            </w:r>
          </w:p>
        </w:tc>
        <w:tc>
          <w:tcPr>
            <w:tcW w:type="dxa" w:w="147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$735,000</w:t>
            </w:r>
          </w:p>
        </w:tc>
        <w:tc>
          <w:tcPr>
            <w:tcW w:type="dxa" w:w="147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$95,000</w:t>
            </w:r>
          </w:p>
        </w:tc>
        <w:tc>
          <w:tcPr>
            <w:tcW w:type="dxa" w:w="147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$830,000</w:t>
            </w:r>
          </w:p>
        </w:tc>
      </w:tr>
      <w:tr>
        <w:tc>
          <w:tcPr>
            <w:tcW w:type="dxa" w:w="181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Year 3 (2028–29)</w:t>
            </w:r>
          </w:p>
        </w:tc>
        <w:tc>
          <w:tcPr>
            <w:tcW w:type="dxa" w:w="1361"/>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$980,000</w:t>
            </w:r>
          </w:p>
        </w:tc>
        <w:tc>
          <w:tcPr>
            <w:tcW w:type="dxa" w:w="147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25%</w:t>
            </w:r>
          </w:p>
        </w:tc>
        <w:tc>
          <w:tcPr>
            <w:tcW w:type="dxa" w:w="147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$735,000</w:t>
            </w:r>
          </w:p>
        </w:tc>
        <w:tc>
          <w:tcPr>
            <w:tcW w:type="dxa" w:w="147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$95,000</w:t>
            </w:r>
          </w:p>
        </w:tc>
        <w:tc>
          <w:tcPr>
            <w:tcW w:type="dxa" w:w="147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$830,000</w:t>
            </w:r>
          </w:p>
        </w:tc>
      </w:tr>
      <w:tr>
        <w:tc>
          <w:tcPr>
            <w:tcW w:type="dxa" w:w="181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Year 4 (2029–30)</w:t>
            </w:r>
          </w:p>
        </w:tc>
        <w:tc>
          <w:tcPr>
            <w:tcW w:type="dxa" w:w="1361"/>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$1,019,200</w:t>
            </w:r>
          </w:p>
        </w:tc>
        <w:tc>
          <w:tcPr>
            <w:tcW w:type="dxa" w:w="147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25% then +4%</w:t>
            </w:r>
          </w:p>
        </w:tc>
        <w:tc>
          <w:tcPr>
            <w:tcW w:type="dxa" w:w="147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$764,400</w:t>
            </w:r>
          </w:p>
        </w:tc>
        <w:tc>
          <w:tcPr>
            <w:tcW w:type="dxa" w:w="147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$98,800</w:t>
            </w:r>
          </w:p>
        </w:tc>
        <w:tc>
          <w:tcPr>
            <w:tcW w:type="dxa" w:w="147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$863,200</w:t>
            </w:r>
          </w:p>
        </w:tc>
      </w:tr>
      <w:tr>
        <w:tc>
          <w:tcPr>
            <w:tcW w:type="dxa" w:w="181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Year 5 (2030–31)</w:t>
            </w:r>
          </w:p>
        </w:tc>
        <w:tc>
          <w:tcPr>
            <w:tcW w:type="dxa" w:w="1361"/>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$1,060,000</w:t>
            </w:r>
          </w:p>
        </w:tc>
        <w:tc>
          <w:tcPr>
            <w:tcW w:type="dxa" w:w="147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25% then +4%</w:t>
            </w:r>
          </w:p>
        </w:tc>
        <w:tc>
          <w:tcPr>
            <w:tcW w:type="dxa" w:w="147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$795,000</w:t>
            </w:r>
          </w:p>
        </w:tc>
        <w:tc>
          <w:tcPr>
            <w:tcW w:type="dxa" w:w="147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$102,800</w:t>
            </w:r>
          </w:p>
        </w:tc>
        <w:tc>
          <w:tcPr>
            <w:tcW w:type="dxa" w:w="147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$897,800</w:t>
            </w:r>
          </w:p>
        </w:tc>
      </w:tr>
      <w:tr>
        <w:tc>
          <w:tcPr>
            <w:tcW w:type="dxa" w:w="181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5-year total</w:t>
            </w:r>
          </w:p>
        </w:tc>
        <w:tc>
          <w:tcPr>
            <w:tcW w:type="dxa" w:w="1361"/>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w:t>
            </w:r>
          </w:p>
        </w:tc>
        <w:tc>
          <w:tcPr>
            <w:tcW w:type="dxa" w:w="147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w:t>
            </w:r>
          </w:p>
        </w:tc>
        <w:tc>
          <w:tcPr>
            <w:tcW w:type="dxa" w:w="147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$3,764,400</w:t>
            </w:r>
          </w:p>
        </w:tc>
        <w:tc>
          <w:tcPr>
            <w:tcW w:type="dxa" w:w="147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$486,600</w:t>
            </w:r>
          </w:p>
        </w:tc>
        <w:tc>
          <w:tcPr>
            <w:tcW w:type="dxa" w:w="147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$4,251,000</w:t>
            </w:r>
          </w:p>
        </w:tc>
      </w:tr>
    </w:tbl>
    <w:p>
      <w:pPr>
        <w:spacing w:before="0" w:after="120"/>
      </w:pPr>
      <w:r>
        <w:rPr>
          <w:b w:val="0"/>
          <w:i w:val="0"/>
          <w:sz w:val="21"/>
        </w:rPr>
      </w:r>
    </w:p>
    <w:p>
      <w:pPr>
        <w:spacing w:before="0" w:after="120"/>
      </w:pPr>
      <w:r>
        <w:rPr>
          <w:b w:val="0"/>
          <w:i/>
          <w:sz w:val="19"/>
        </w:rPr>
        <w:t>Illustrated escalator: 4%, the cap on Years 4–5. Actual escalator is the lesser of CPI+2% or 4%. If a reference customer agreement is signed at contract execution, discount moves from 25% to 28% across Years 1–3, reducing the platform fee by approximately $29,400 per year and the 3-year total by approximately $87,000.</w:t>
      </w:r>
    </w:p>
    <w:p>
      <w:pPr>
        <w:keepNext/>
        <w:spacing w:before="240" w:after="80"/>
      </w:pPr>
      <w:r>
        <w:rPr>
          <w:b/>
          <w:color w:val="0E3A5F"/>
          <w:sz w:val="27"/>
        </w:rPr>
        <w:t>5.3 5-Year TCO framing</w:t>
      </w:r>
    </w:p>
    <w:p>
      <w:pPr>
        <w:spacing w:before="0" w:after="120"/>
      </w:pPr>
      <w:r>
        <w:rPr>
          <w:b w:val="0"/>
          <w:i w:val="0"/>
          <w:sz w:val="21"/>
        </w:rPr>
        <w:t>Acme weights TCO at 20% and has asked for full pricing transparency over 5 years. Our $4.25M all-in number is genuinely all-in: platform fee, 99.99% SLA add-on, implementation services (see §5.4), and standard 24×7 support. The comparable framing we expect against competitors:</w:t>
      </w:r>
    </w:p>
    <w:p>
      <w:pPr>
        <w:pStyle w:val="ListBullet"/>
        <w:spacing w:after="60"/>
        <w:ind w:left="340"/>
      </w:pPr>
      <w:r>
        <w:rPr>
          <w:b/>
          <w:sz w:val="21"/>
        </w:rPr>
        <w:t>BTS-Synthetic: $4.25M.</w:t>
      </w:r>
      <w:r>
        <w:rPr>
          <w:sz w:val="21"/>
        </w:rPr>
        <w:t xml:space="preserve"> 5-year all-in incl. 99.99% SLA, EU multi-region, support.</w:t>
      </w:r>
    </w:p>
    <w:p>
      <w:pPr>
        <w:pStyle w:val="ListBullet"/>
        <w:spacing w:after="60"/>
        <w:ind w:left="340"/>
      </w:pPr>
      <w:r>
        <w:rPr>
          <w:b/>
          <w:sz w:val="21"/>
        </w:rPr>
        <w:t>Databricks comparable:</w:t>
      </w:r>
      <w:r>
        <w:rPr>
          <w:sz w:val="21"/>
        </w:rPr>
        <w:t xml:space="preserve"> compute scaling against Acme's ingest profile typically adds $150–200K/year in hidden integration cost (separate governance, BI connector licensing, Delta Sharing setup).</w:t>
      </w:r>
    </w:p>
    <w:p>
      <w:pPr>
        <w:pStyle w:val="ListBullet"/>
        <w:spacing w:after="60"/>
        <w:ind w:left="340"/>
      </w:pPr>
      <w:r>
        <w:rPr>
          <w:b/>
          <w:sz w:val="21"/>
        </w:rPr>
        <w:t>Snowflake comparable:</w:t>
      </w:r>
      <w:r>
        <w:rPr>
          <w:sz w:val="21"/>
        </w:rPr>
        <w:t xml:space="preserve"> per-second-of-compute pricing at 80K events/sec ingest is where Snowflake pricing blows out; Globex switched away from Snowflake on this exact issue.</w:t>
      </w:r>
    </w:p>
    <w:p>
      <w:pPr>
        <w:pStyle w:val="ListBullet"/>
        <w:spacing w:after="60"/>
        <w:ind w:left="340"/>
      </w:pPr>
      <w:r>
        <w:rPr>
          <w:b/>
          <w:sz w:val="21"/>
        </w:rPr>
        <w:t>Microsoft Fabric comparable:</w:t>
      </w:r>
      <w:r>
        <w:rPr>
          <w:sz w:val="21"/>
        </w:rPr>
        <w:t xml:space="preserve"> "free with E5" resolves to F64+ Capacity SKU cost, consulting hours for Teradata migration, E5 uplift, and support — typically $2–4M over 3 years at this scale, before SLA gaps are priced.</w:t>
      </w:r>
    </w:p>
    <w:p>
      <w:pPr>
        <w:keepNext/>
        <w:spacing w:before="240" w:after="80"/>
      </w:pPr>
      <w:r>
        <w:rPr>
          <w:b/>
          <w:color w:val="0E3A5F"/>
          <w:sz w:val="27"/>
        </w:rPr>
        <w:t>5.4 Implementation services</w:t>
      </w:r>
    </w:p>
    <w:p>
      <w:pPr>
        <w:spacing w:before="0" w:after="120"/>
      </w:pPr>
      <w:r>
        <w:rPr>
          <w:b w:val="0"/>
          <w:i w:val="0"/>
          <w:sz w:val="21"/>
        </w:rPr>
        <w:t>Implementation services covering M1–M7 in §4 are a separate one-off line: $480,000, billed across four milestones (25% at M1, 25% at M2, 25% at M4, 25% at M7). This is included in the $4.25M 5-year TCO above for like-for-like comparison.</w:t>
      </w:r>
    </w:p>
    <w:p>
      <w:pPr>
        <w:keepNext/>
        <w:spacing w:before="240" w:after="80"/>
      </w:pPr>
      <w:r>
        <w:rPr>
          <w:b/>
          <w:color w:val="0E3A5F"/>
          <w:sz w:val="27"/>
        </w:rPr>
        <w:t>5.5 Discount logic and walk-away</w:t>
      </w:r>
    </w:p>
    <w:p>
      <w:pPr>
        <w:spacing w:before="0" w:after="120"/>
      </w:pPr>
      <w:r>
        <w:rPr>
          <w:b w:val="0"/>
          <w:i w:val="0"/>
          <w:sz w:val="21"/>
        </w:rPr>
        <w:t>Our recommended 25% discount aligns to our Stark Industries comparable (28% over 5 years at $1.1M ACV). We can move to 28% in exchange for a signed reference customer agreement at execution. We are not in a position to go to 30%+ — that level is reserved for commodity-priced deals where the platform itself is undifferentiated, and we do not believe Acme is buying a commodity.</w:t>
      </w:r>
    </w:p>
    <w:p>
      <w:r>
        <w:br w:type="page"/>
      </w:r>
    </w:p>
    <w:p>
      <w:pPr>
        <w:keepNext/>
        <w:spacing w:before="280" w:after="80"/>
        <w:pBdr>
          <w:bottom w:val="single" w:sz="8" w:color="0E3A5F"/>
        </w:pBdr>
      </w:pPr>
      <w:r>
        <w:rPr>
          <w:b/>
          <w:color w:val="0E3A5F"/>
          <w:sz w:val="36"/>
        </w:rPr>
        <w:t>6. Contract Approach — Accept, Counter, Blocker</w:t>
      </w:r>
    </w:p>
    <w:p>
      <w:pPr>
        <w:spacing w:before="0" w:after="120"/>
      </w:pPr>
      <w:r>
        <w:rPr>
          <w:b w:val="0"/>
          <w:i w:val="0"/>
          <w:sz w:val="21"/>
        </w:rPr>
        <w:t>Below is our position on each commercial and contractual clause in RFP §3 and §4. Where we have flagged BLOCKER, the clause as written is either uninsurable, operationally impossible, or in conflict with our core IP and pricing position. In every BLOCKER case we have provided specific counter-language. Five blockers must be resolved in principle before we sign.</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814"/>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Clause</w:t>
            </w:r>
          </w:p>
        </w:tc>
        <w:tc>
          <w:tcPr>
            <w:tcW w:type="dxa" w:w="2041"/>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Acme position (RFP)</w:t>
            </w:r>
          </w:p>
        </w:tc>
        <w:tc>
          <w:tcPr>
            <w:tcW w:type="dxa" w:w="1134"/>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Our position</w:t>
            </w:r>
          </w:p>
        </w:tc>
        <w:tc>
          <w:tcPr>
            <w:tcW w:type="dxa" w:w="4082"/>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Counter / status</w:t>
            </w:r>
          </w:p>
        </w:tc>
      </w:tr>
      <w:tr>
        <w:tc>
          <w:tcPr>
            <w:tcW w:type="dxa" w:w="181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§3.1 Term &amp; escalators</w:t>
            </w:r>
          </w:p>
        </w:tc>
        <w:tc>
          <w:tcPr>
            <w:tcW w:type="dxa" w:w="2041"/>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5-year fixed pricing, no escalators</w:t>
            </w:r>
          </w:p>
        </w:tc>
        <w:tc>
          <w:tcPr>
            <w:tcW w:type="dxa" w:w="113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COUNTER</w:t>
            </w:r>
          </w:p>
        </w:tc>
        <w:tc>
          <w:tcPr>
            <w:tcW w:type="dxa" w:w="4082"/>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Years 1–3 fixed; Years 4–5 subject to CPI escalation capped at 4% per annum.</w:t>
            </w:r>
          </w:p>
        </w:tc>
      </w:tr>
      <w:tr>
        <w:tc>
          <w:tcPr>
            <w:tcW w:type="dxa" w:w="181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§3.2 Payment</w:t>
            </w:r>
          </w:p>
        </w:tc>
        <w:tc>
          <w:tcPr>
            <w:tcW w:type="dxa" w:w="2041"/>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Annual upfront, Net 90</w:t>
            </w:r>
          </w:p>
        </w:tc>
        <w:tc>
          <w:tcPr>
            <w:tcW w:type="dxa" w:w="113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COUNTER</w:t>
            </w:r>
          </w:p>
        </w:tc>
        <w:tc>
          <w:tcPr>
            <w:tcW w:type="dxa" w:w="4082"/>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Annual upfront, Net 30 (our standard). We can move to Net 60 as a close concession; we cannot go to Net 90.</w:t>
            </w:r>
          </w:p>
        </w:tc>
      </w:tr>
      <w:tr>
        <w:tc>
          <w:tcPr>
            <w:tcW w:type="dxa" w:w="181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§3.3 Discount</w:t>
            </w:r>
          </w:p>
        </w:tc>
        <w:tc>
          <w:tcPr>
            <w:tcW w:type="dxa" w:w="2041"/>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35% minimum off list</w:t>
            </w:r>
          </w:p>
        </w:tc>
        <w:tc>
          <w:tcPr>
            <w:tcW w:type="dxa" w:w="113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COUNTER</w:t>
            </w:r>
          </w:p>
        </w:tc>
        <w:tc>
          <w:tcPr>
            <w:tcW w:type="dxa" w:w="4082"/>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25% standard, 28% with signed reference customer agreement. Discount is set in the Order Form, not the contract body.</w:t>
            </w:r>
          </w:p>
        </w:tc>
      </w:tr>
      <w:tr>
        <w:tc>
          <w:tcPr>
            <w:tcW w:type="dxa" w:w="181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§3.4 Most Favoured Nation</w:t>
            </w:r>
          </w:p>
        </w:tc>
        <w:tc>
          <w:tcPr>
            <w:tcW w:type="dxa" w:w="2041"/>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MFN warranty for full contract duration</w:t>
            </w:r>
          </w:p>
        </w:tc>
        <w:tc>
          <w:tcPr>
            <w:tcW w:type="dxa" w:w="113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BLOCKER</w:t>
            </w:r>
          </w:p>
        </w:tc>
        <w:tc>
          <w:tcPr>
            <w:tcW w:type="dxa" w:w="4082"/>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Cannot accept MFN. We commit to the CPI-capped escalator above as our equivalent budget-certainty mechanism.</w:t>
            </w:r>
          </w:p>
        </w:tc>
      </w:tr>
      <w:tr>
        <w:tc>
          <w:tcPr>
            <w:tcW w:type="dxa" w:w="181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§3.5 Termination for convenience</w:t>
            </w:r>
          </w:p>
        </w:tc>
        <w:tc>
          <w:tcPr>
            <w:tcW w:type="dxa" w:w="2041"/>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Acme may terminate any time, 30 days, no fees, no penalty</w:t>
            </w:r>
          </w:p>
        </w:tc>
        <w:tc>
          <w:tcPr>
            <w:tcW w:type="dxa" w:w="113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COUNTER</w:t>
            </w:r>
          </w:p>
        </w:tc>
        <w:tc>
          <w:tcPr>
            <w:tcW w:type="dxa" w:w="4082"/>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Either party on 90 days' written notice. Fees paid in advance non-refundable through the notice period; post-termination fees pro-rated and refunded within 30 days.</w:t>
            </w:r>
          </w:p>
        </w:tc>
      </w:tr>
      <w:tr>
        <w:tc>
          <w:tcPr>
            <w:tcW w:type="dxa" w:w="181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§4.1 Liability — data breach</w:t>
            </w:r>
          </w:p>
        </w:tc>
        <w:tc>
          <w:tcPr>
            <w:tcW w:type="dxa" w:w="2041"/>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Uncapped. Indemnity for notification, regulatory fines, reputational damages</w:t>
            </w:r>
          </w:p>
        </w:tc>
        <w:tc>
          <w:tcPr>
            <w:tcW w:type="dxa" w:w="113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BLOCKER</w:t>
            </w:r>
          </w:p>
        </w:tc>
        <w:tc>
          <w:tcPr>
            <w:tcW w:type="dxa" w:w="4082"/>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Aggregate breach liability capped at 2× annual contract value. Indemnification covers reasonable notification costs and direct regulatory fines attributable to our negligence. Reputational damages and consequential losses excluded. Mutual 12-month cap on all other claims. (Reputational damages are uninsurable on commercial cyber policies.)</w:t>
            </w:r>
          </w:p>
        </w:tc>
      </w:tr>
      <w:tr>
        <w:tc>
          <w:tcPr>
            <w:tcW w:type="dxa" w:w="181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§4.2 Audit</w:t>
            </w:r>
          </w:p>
        </w:tc>
        <w:tc>
          <w:tcPr>
            <w:tcW w:type="dxa" w:w="2041"/>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4× per year, no notice, vendor pays</w:t>
            </w:r>
          </w:p>
        </w:tc>
        <w:tc>
          <w:tcPr>
            <w:tcW w:type="dxa" w:w="113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BLOCKER</w:t>
            </w:r>
          </w:p>
        </w:tc>
        <w:tc>
          <w:tcPr>
            <w:tcW w:type="dxa" w:w="4082"/>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1 audit/year minimum, 30 days' written notice. One additional audit per year permitted, incremental costs borne by Acme. No-notice access is a security risk to all of our customers.</w:t>
            </w:r>
          </w:p>
        </w:tc>
      </w:tr>
      <w:tr>
        <w:tc>
          <w:tcPr>
            <w:tcW w:type="dxa" w:w="181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§4.3 SLA</w:t>
            </w:r>
          </w:p>
        </w:tc>
        <w:tc>
          <w:tcPr>
            <w:tcW w:type="dxa" w:w="2041"/>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99.99% with immediate termination + full month refund on any failure</w:t>
            </w:r>
          </w:p>
        </w:tc>
        <w:tc>
          <w:tcPr>
            <w:tcW w:type="dxa" w:w="113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BLOCKER</w:t>
            </w:r>
          </w:p>
        </w:tc>
        <w:tc>
          <w:tcPr>
            <w:tcW w:type="dxa" w:w="4082"/>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99.99% available as priced add-on (included at $95K/year in §5). Remedy is service credits up to 30% of affected month's fees as sole remedy. Termination right arises on sustained breach (SLA failure in 3 or more consecutive months). Termination on a single minute of downtime is uninsurable.</w:t>
            </w:r>
          </w:p>
        </w:tc>
      </w:tr>
      <w:tr>
        <w:tc>
          <w:tcPr>
            <w:tcW w:type="dxa" w:w="181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§4.4 IP</w:t>
            </w:r>
          </w:p>
        </w:tc>
        <w:tc>
          <w:tcPr>
            <w:tcW w:type="dxa" w:w="2041"/>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All work product, custom development, configurations, and integrations vest in Acme on creation</w:t>
            </w:r>
          </w:p>
        </w:tc>
        <w:tc>
          <w:tcPr>
            <w:tcW w:type="dxa" w:w="113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BLOCKER</w:t>
            </w:r>
          </w:p>
        </w:tc>
        <w:tc>
          <w:tcPr>
            <w:tcW w:type="dxa" w:w="4082"/>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We retain IP in our platform and tools. Acme receives a perpetual, royalty-free, non-exclusive licence to all custom deliverables created specifically for Acme. This is the same model Stark Industries accepted in February 2026.</w:t>
            </w:r>
          </w:p>
        </w:tc>
      </w:tr>
      <w:tr>
        <w:tc>
          <w:tcPr>
            <w:tcW w:type="dxa" w:w="181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§4.5 Subprocessors</w:t>
            </w:r>
          </w:p>
        </w:tc>
        <w:tc>
          <w:tcPr>
            <w:tcW w:type="dxa" w:w="2041"/>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Prior written consent per subprocessor; withheld at sole discretion</w:t>
            </w:r>
          </w:p>
        </w:tc>
        <w:tc>
          <w:tcPr>
            <w:tcW w:type="dxa" w:w="113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BLOCKER</w:t>
            </w:r>
          </w:p>
        </w:tc>
        <w:tc>
          <w:tcPr>
            <w:tcW w:type="dxa" w:w="4082"/>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Published subprocessor list confirmed at contract execution. 30 days' notice on any new subprocessor. Acme may object within 15 days; where a reasonable alternative exists, we substitute. Where none exists, Acme's sole remedy is termination for convenience per §3.5 as amended.</w:t>
            </w:r>
          </w:p>
        </w:tc>
      </w:tr>
    </w:tbl>
    <w:p>
      <w:pPr>
        <w:spacing w:before="0" w:after="120"/>
      </w:pPr>
      <w:r>
        <w:rPr>
          <w:b w:val="0"/>
          <w:i w:val="0"/>
          <w:sz w:val="21"/>
        </w:rPr>
      </w:r>
    </w:p>
    <w:tbl>
      <w:tblPr>
        <w:tblW w:type="auto" w:w="0"/>
        <w:jc w:val="center"/>
        <w:tblLook w:firstColumn="1" w:firstRow="1" w:lastColumn="0" w:lastRow="0" w:noHBand="0" w:noVBand="1" w:val="04A0"/>
      </w:tblPr>
      <w:tblGrid>
        <w:gridCol w:w="9746"/>
      </w:tblGrid>
      <w:tr>
        <w:tc>
          <w:tcPr>
            <w:tcW w:type="dxa" w:w="9746"/>
            <w:shd w:val="clear" w:color="auto" w:fill="D8E2EC"/>
            <w:tcBorders>
              <w:top w:val="single" w:sz="6" w:color="0E3A5F"/>
              <w:left w:val="single" w:sz="6" w:color="0E3A5F"/>
              <w:bottom w:val="single" w:sz="6" w:color="0E3A5F"/>
              <w:right w:val="single" w:sz="6" w:color="0E3A5F"/>
            </w:tcBorders>
          </w:tcPr>
          <w:p>
            <w:pPr>
              <w:spacing w:after="60"/>
            </w:pPr>
            <w:r/>
            <w:r>
              <w:rPr>
                <w:b/>
                <w:color w:val="0E3A5F"/>
                <w:sz w:val="22"/>
              </w:rPr>
              <w:t>Compound-risk flag — must be resolved as a package</w:t>
            </w:r>
          </w:p>
          <w:p>
            <w:pPr>
              <w:spacing w:after="40"/>
            </w:pPr>
            <w:r>
              <w:rPr>
                <w:sz w:val="20"/>
              </w:rPr>
              <w:t>§3.5 (30-day termination) × §3.2 (Net 90) × §4.1 (uncapped breach liability) × §4.2 (no-notice audits) together form a compounding cluster: Acme could audit without warning, trigger a finding, terminate on 30 days while still owing 90 days of fees, and simultaneously assert uncapped breach damages with reputational uplift. We are not raising this to be combative — we are raising it because this combination is the precise reason no enterprise software vendor can accept the four clauses as written, and because our Legal team has been explicit that these must be resolved together rather than clause by clause.</w:t>
            </w:r>
          </w:p>
        </w:tc>
      </w:tr>
    </w:tbl>
    <w:p>
      <w:pPr>
        <w:keepNext/>
        <w:spacing w:before="240" w:after="80"/>
      </w:pPr>
      <w:r>
        <w:rPr>
          <w:b/>
          <w:color w:val="0E3A5F"/>
          <w:sz w:val="27"/>
        </w:rPr>
        <w:t>Minimum concessions required to proceed to contract</w:t>
      </w:r>
    </w:p>
    <w:p>
      <w:pPr>
        <w:spacing w:before="0" w:after="120"/>
      </w:pPr>
      <w:r>
        <w:rPr>
          <w:b w:val="0"/>
          <w:i w:val="0"/>
          <w:sz w:val="21"/>
        </w:rPr>
        <w:t>We will accept all other negotiable items in markup if Acme moves on the following six:</w:t>
      </w:r>
    </w:p>
    <w:p>
      <w:pPr>
        <w:pStyle w:val="ListBullet"/>
        <w:spacing w:after="60"/>
        <w:ind w:left="340"/>
      </w:pPr>
      <w:r>
        <w:rPr>
          <w:b/>
          <w:sz w:val="21"/>
        </w:rPr>
        <w:t>§4.1.</w:t>
      </w:r>
      <w:r>
        <w:rPr>
          <w:sz w:val="21"/>
        </w:rPr>
        <w:t xml:space="preserve"> Liability capped at 2× ACV; reputational damages and "all" fines indemnity struck.</w:t>
      </w:r>
    </w:p>
    <w:p>
      <w:pPr>
        <w:pStyle w:val="ListBullet"/>
        <w:spacing w:after="60"/>
        <w:ind w:left="340"/>
      </w:pPr>
      <w:r>
        <w:rPr>
          <w:b/>
          <w:sz w:val="21"/>
        </w:rPr>
        <w:t>§4.2.</w:t>
      </w:r>
      <w:r>
        <w:rPr>
          <w:sz w:val="21"/>
        </w:rPr>
        <w:t xml:space="preserve"> Minimum 30 days' audit notice; vendor not liable for costs beyond the first audit.</w:t>
      </w:r>
    </w:p>
    <w:p>
      <w:pPr>
        <w:pStyle w:val="ListBullet"/>
        <w:spacing w:after="60"/>
        <w:ind w:left="340"/>
      </w:pPr>
      <w:r>
        <w:rPr>
          <w:b/>
          <w:sz w:val="21"/>
        </w:rPr>
        <w:t>§4.3.</w:t>
      </w:r>
      <w:r>
        <w:rPr>
          <w:sz w:val="21"/>
        </w:rPr>
        <w:t xml:space="preserve"> SLA floor at 99.95% standard with 99.99% as priced add-on; remedy = service credits; termination only on 3-month sustained breach.</w:t>
      </w:r>
    </w:p>
    <w:p>
      <w:pPr>
        <w:pStyle w:val="ListBullet"/>
        <w:spacing w:after="60"/>
        <w:ind w:left="340"/>
      </w:pPr>
      <w:r>
        <w:rPr>
          <w:b/>
          <w:sz w:val="21"/>
        </w:rPr>
        <w:t>§4.4.</w:t>
      </w:r>
      <w:r>
        <w:rPr>
          <w:sz w:val="21"/>
        </w:rPr>
        <w:t xml:space="preserve"> License-back model per Stark Industries precedent.</w:t>
      </w:r>
    </w:p>
    <w:p>
      <w:pPr>
        <w:pStyle w:val="ListBullet"/>
        <w:spacing w:after="60"/>
        <w:ind w:left="340"/>
      </w:pPr>
      <w:r>
        <w:rPr>
          <w:b/>
          <w:sz w:val="21"/>
        </w:rPr>
        <w:t>§4.5.</w:t>
      </w:r>
      <w:r>
        <w:rPr>
          <w:sz w:val="21"/>
        </w:rPr>
        <w:t xml:space="preserve"> Published subprocessor list + 30 days' notice approach.</w:t>
      </w:r>
    </w:p>
    <w:p>
      <w:pPr>
        <w:pStyle w:val="ListBullet"/>
        <w:spacing w:after="60"/>
        <w:ind w:left="340"/>
      </w:pPr>
      <w:r>
        <w:rPr>
          <w:b/>
          <w:sz w:val="21"/>
        </w:rPr>
        <w:t>§3.4.</w:t>
      </w:r>
      <w:r>
        <w:rPr>
          <w:sz w:val="21"/>
        </w:rPr>
        <w:t xml:space="preserve"> MFN warranty struck; CPI-capped escalator on Years 4–5 substituted.</w:t>
      </w:r>
    </w:p>
    <w:p>
      <w:r>
        <w:br w:type="page"/>
      </w:r>
    </w:p>
    <w:p>
      <w:pPr>
        <w:keepNext/>
        <w:spacing w:before="280" w:after="80"/>
        <w:pBdr>
          <w:bottom w:val="single" w:sz="8" w:color="0E3A5F"/>
        </w:pBdr>
      </w:pPr>
      <w:r>
        <w:rPr>
          <w:b/>
          <w:color w:val="0E3A5F"/>
          <w:sz w:val="36"/>
        </w:rPr>
        <w:t>7. Customer References</w:t>
      </w:r>
    </w:p>
    <w:p>
      <w:pPr>
        <w:spacing w:before="0" w:after="120"/>
      </w:pPr>
      <w:r>
        <w:rPr>
          <w:b w:val="0"/>
          <w:i w:val="0"/>
          <w:sz w:val="21"/>
        </w:rPr>
        <w:t>RFP §7 asks for three customer references at similar scale, on Power BI, and on Azure. The three below are the closest analogues from our customer base. We will arrange direct calls between Marcus Webb / Sarah Chen and the named contacts within 5 business days of request.</w:t>
      </w:r>
    </w:p>
    <w:tbl>
      <w:tblPr>
        <w:tblW w:type="auto" w:w="0"/>
        <w:jc w:val="center"/>
        <w:tblLayout w:type="fixed"/>
        <w:tblLook w:firstColumn="1" w:firstRow="1" w:lastColumn="0" w:lastRow="0" w:noHBand="0" w:noVBand="1" w:val="04A0"/>
      </w:tblPr>
      <w:tblGrid>
        <w:gridCol w:w="3249"/>
        <w:gridCol w:w="3249"/>
        <w:gridCol w:w="3249"/>
      </w:tblGrid>
      <w:tr>
        <w:tc>
          <w:tcPr>
            <w:tcW w:type="dxa" w:w="1984"/>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Reference</w:t>
            </w:r>
          </w:p>
        </w:tc>
        <w:tc>
          <w:tcPr>
            <w:tcW w:type="dxa" w:w="3288"/>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Profile</w:t>
            </w:r>
          </w:p>
        </w:tc>
        <w:tc>
          <w:tcPr>
            <w:tcW w:type="dxa" w:w="3798"/>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Why this matches Acme</w:t>
            </w:r>
          </w:p>
        </w:tc>
      </w:tr>
      <w:tr>
        <w:tc>
          <w:tcPr>
            <w:tcW w:type="dxa" w:w="198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Initech Sensors</w:t>
            </w:r>
          </w:p>
        </w:tc>
        <w:tc>
          <w:tcPr>
            <w:tcW w:type="dxa" w:w="3288"/>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Industrial / IoT manufacturer. Microsoft shop. Real-time IoT ingest workload. 2-year contract closed November 2025.</w:t>
            </w:r>
          </w:p>
        </w:tc>
        <w:tc>
          <w:tcPr>
            <w:tcW w:type="dxa" w:w="3798"/>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The closest direct analogue: same vertical, same Microsoft posture, same real-time ingest requirement, same shortlist including Microsoft Fabric. Won on streaming performance and governance maturity — the exact criteria Acme has surfaced.</w:t>
            </w:r>
          </w:p>
        </w:tc>
      </w:tr>
      <w:tr>
        <w:tc>
          <w:tcPr>
            <w:tcW w:type="dxa" w:w="198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Globex Manufacturing</w:t>
            </w:r>
          </w:p>
        </w:tc>
        <w:tc>
          <w:tcPr>
            <w:tcW w:type="dxa" w:w="3288"/>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Industrial manufacturer. Multi-cloud. Heavy mixed-workload (structured + unstructured) profile. 3-year contract closed September 2025.</w:t>
            </w:r>
          </w:p>
        </w:tc>
        <w:tc>
          <w:tcPr>
            <w:tcW w:type="dxa" w:w="3798"/>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Closest match on scale and migration complexity. Won against both Snowflake and Databricks on a 3-year TCO model at the customer's actual workload. Directly addresses Acme's 20% TCO weighting.</w:t>
            </w:r>
          </w:p>
        </w:tc>
      </w:tr>
      <w:tr>
        <w:tc>
          <w:tcPr>
            <w:tcW w:type="dxa" w:w="198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Stark Industries</w:t>
            </w:r>
          </w:p>
        </w:tc>
        <w:tc>
          <w:tcPr>
            <w:tcW w:type="dxa" w:w="3288"/>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Defence / aerospace. Sovereign deployment. 5-year contract closed February 2026.</w:t>
            </w:r>
          </w:p>
        </w:tc>
        <w:tc>
          <w:tcPr>
            <w:tcW w:type="dxa" w:w="3798"/>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Closest match on deal shape (5-year, multi-region, ~$1M+ ACV) and on contract structure — Stark accepted our license-back IP model, the same one we are proposing to Acme in §6. Also won in a 4-way competition that included all three of Acme's named vendor shortlist.</w:t>
            </w:r>
          </w:p>
        </w:tc>
      </w:tr>
    </w:tbl>
    <w:p>
      <w:pPr>
        <w:spacing w:before="0" w:after="120"/>
      </w:pPr>
      <w:r>
        <w:rPr>
          <w:b w:val="0"/>
          <w:i w:val="0"/>
          <w:sz w:val="21"/>
        </w:rPr>
      </w:r>
    </w:p>
    <w:p>
      <w:pPr>
        <w:keepNext/>
        <w:spacing w:before="280" w:after="80"/>
        <w:pBdr>
          <w:bottom w:val="single" w:sz="8" w:color="0E3A5F"/>
        </w:pBdr>
      </w:pPr>
      <w:r>
        <w:rPr>
          <w:b/>
          <w:color w:val="0E3A5F"/>
          <w:sz w:val="36"/>
        </w:rPr>
        <w:t>8. Risk Register — Top 3</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567"/>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w:t>
            </w:r>
          </w:p>
        </w:tc>
        <w:tc>
          <w:tcPr>
            <w:tcW w:type="dxa" w:w="2835"/>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Risk</w:t>
            </w:r>
          </w:p>
        </w:tc>
        <w:tc>
          <w:tcPr>
            <w:tcW w:type="dxa" w:w="1984"/>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Likelihood / Impact</w:t>
            </w:r>
          </w:p>
        </w:tc>
        <w:tc>
          <w:tcPr>
            <w:tcW w:type="dxa" w:w="3685"/>
            <w:shd w:val="clear" w:color="auto" w:fill="0E3A5F"/>
            <w:tcBorders>
              <w:top w:val="single" w:sz="4" w:color="0E3A5F"/>
              <w:left w:val="single" w:sz="4" w:color="0E3A5F"/>
              <w:bottom w:val="single" w:sz="4" w:color="0E3A5F"/>
              <w:right w:val="single" w:sz="4" w:color="0E3A5F"/>
            </w:tcBorders>
            <w:vAlign w:val="center"/>
          </w:tcPr>
          <w:p>
            <w:pPr>
              <w:spacing w:after="40" w:before="40"/>
            </w:pPr>
            <w:r/>
            <w:r>
              <w:rPr>
                <w:b/>
                <w:color w:val="FFFFFF"/>
                <w:sz w:val="20"/>
              </w:rPr>
              <w:t>Mitigation / Owner</w:t>
            </w:r>
          </w:p>
        </w:tc>
      </w:tr>
      <w:tr>
        <w:tc>
          <w:tcPr>
            <w:tcW w:type="dxa" w:w="56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R1</w:t>
            </w:r>
          </w:p>
        </w:tc>
        <w:tc>
          <w:tcPr>
            <w:tcW w:type="dxa" w:w="2835"/>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Streaming latency mismatch — Acme's predictive-maintenance alerting requires sub-100 ms platform-side query response that we cannot meet (we are 250 ms–1 s).</w:t>
            </w:r>
          </w:p>
        </w:tc>
        <w:tc>
          <w:tcPr>
            <w:tcW w:type="dxa" w:w="198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Likelihood: Medium. Impact: High — could disqualify on a specific use case.</w:t>
            </w:r>
          </w:p>
        </w:tc>
        <w:tc>
          <w:tcPr>
            <w:tcW w:type="dxa" w:w="3685"/>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Clarify in week 1 of discovery whether latency SLAs are on ingest acknowledgment (we are fine) or query response (gap). Where the latter, deploy Azure Stream Analytics as the edge processor in front of BTS-Synthetic. Owner: BTS-Synthetic Solutions Architect.</w:t>
            </w:r>
          </w:p>
        </w:tc>
      </w:tr>
      <w:tr>
        <w:tc>
          <w:tcPr>
            <w:tcW w:type="dxa" w:w="567"/>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R2</w:t>
            </w:r>
          </w:p>
        </w:tc>
        <w:tc>
          <w:tcPr>
            <w:tcW w:type="dxa" w:w="2835"/>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Contractual non-resolution — Acme does not move on one or more of the five BLOCKER clauses in §6 (MFN, liability, SLA, IP, subprocessors).</w:t>
            </w:r>
          </w:p>
        </w:tc>
        <w:tc>
          <w:tcPr>
            <w:tcW w:type="dxa" w:w="1984"/>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Likelihood: Medium. Impact: Deal-stopping.</w:t>
            </w:r>
          </w:p>
        </w:tc>
        <w:tc>
          <w:tcPr>
            <w:tcW w:type="dxa" w:w="3685"/>
            <w:shd w:val="clear" w:color="auto" w:fill="F2F5F8"/>
            <w:tcBorders>
              <w:top w:val="single" w:sz="4" w:color="0E3A5F"/>
              <w:left w:val="single" w:sz="4" w:color="0E3A5F"/>
              <w:bottom w:val="single" w:sz="4" w:color="0E3A5F"/>
              <w:right w:val="single" w:sz="4" w:color="0E3A5F"/>
            </w:tcBorders>
            <w:vAlign w:val="center"/>
          </w:tcPr>
          <w:p>
            <w:pPr>
              <w:spacing w:after="40" w:before="40"/>
            </w:pPr>
            <w:r/>
            <w:r>
              <w:rPr>
                <w:sz w:val="19"/>
              </w:rPr>
              <w:t>Flagged in the Executive Summary and §6 of this response — not buried. Request written agreement in principle at the BAFO stage. Owner: BTS-Synthetic Deal Desk + Acme Procurement / Legal.</w:t>
            </w:r>
          </w:p>
        </w:tc>
      </w:tr>
      <w:tr>
        <w:tc>
          <w:tcPr>
            <w:tcW w:type="dxa" w:w="567"/>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b/>
                <w:color w:val="0E3A5F"/>
                <w:sz w:val="19"/>
              </w:rPr>
              <w:t>R3</w:t>
            </w:r>
          </w:p>
        </w:tc>
        <w:tc>
          <w:tcPr>
            <w:tcW w:type="dxa" w:w="2835"/>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Teradata migration complexity — 30+ sources and 280 TB of legacy SQL / stored procedures / proprietary formats produce data-quality and transformation issues that compress the schedule.</w:t>
            </w:r>
          </w:p>
        </w:tc>
        <w:tc>
          <w:tcPr>
            <w:tcW w:type="dxa" w:w="1984"/>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Likelihood: Medium-High. Impact: M4–M5 slippage; threatens Acme's 2027 hard deadline.</w:t>
            </w:r>
          </w:p>
        </w:tc>
        <w:tc>
          <w:tcPr>
            <w:tcW w:type="dxa" w:w="3685"/>
            <w:shd w:val="clear" w:color="auto" w:fill="FFFFFF"/>
            <w:tcBorders>
              <w:top w:val="single" w:sz="4" w:color="0E3A5F"/>
              <w:left w:val="single" w:sz="4" w:color="0E3A5F"/>
              <w:bottom w:val="single" w:sz="4" w:color="0E3A5F"/>
              <w:right w:val="single" w:sz="4" w:color="0E3A5F"/>
            </w:tcBorders>
            <w:vAlign w:val="center"/>
          </w:tcPr>
          <w:p>
            <w:pPr>
              <w:spacing w:after="40" w:before="40"/>
            </w:pPr>
            <w:r/>
            <w:r>
              <w:rPr>
                <w:sz w:val="19"/>
              </w:rPr>
              <w:t>4-week pre-contract discovery sprint (§4.1) produces an object inventory and complexity register before commitment. Parallel-run period of 2.5 months at M4–M5. M6 deliberately targets June 2027 — six months ahead of Acme's deadline, which is the structural buffer. Owner: Joint BTS-Synthetic + Acme migration lead.</w:t>
            </w:r>
          </w:p>
        </w:tc>
      </w:tr>
    </w:tbl>
    <w:p>
      <w:pPr>
        <w:spacing w:before="0" w:after="120"/>
      </w:pPr>
      <w:r>
        <w:rPr>
          <w:b w:val="0"/>
          <w:i w:val="0"/>
          <w:sz w:val="21"/>
        </w:rPr>
      </w:r>
    </w:p>
    <w:p>
      <w:pPr>
        <w:keepNext/>
        <w:spacing w:before="280" w:after="80"/>
        <w:pBdr>
          <w:bottom w:val="single" w:sz="8" w:color="0E3A5F"/>
        </w:pBdr>
      </w:pPr>
      <w:r>
        <w:rPr>
          <w:b/>
          <w:color w:val="0E3A5F"/>
          <w:sz w:val="36"/>
        </w:rPr>
        <w:t>9. Closing</w:t>
      </w:r>
    </w:p>
    <w:p>
      <w:pPr>
        <w:spacing w:before="0" w:after="120"/>
      </w:pPr>
      <w:r>
        <w:rPr>
          <w:b w:val="0"/>
          <w:i w:val="0"/>
          <w:sz w:val="21"/>
        </w:rPr>
        <w:t>Acme Corp is the right customer for BTS-Synthetic and BTS-Synthetic is the right platform for Acme. The functional fit is high, the TCO story is provably better than the alternatives at Acme's workload profile, and the 2027 deadline is achievable with margin. The contractual concessions we have asked for in §6 are the same ones every credible enterprise vendor will need and we have surfaced them now, in the response, rather than waiting for the markup phase. That is how we want to start this relationship.</w:t>
      </w:r>
    </w:p>
    <w:p>
      <w:pPr>
        <w:spacing w:before="0" w:after="120"/>
      </w:pPr>
      <w:r>
        <w:rPr>
          <w:b w:val="0"/>
          <w:i w:val="0"/>
          <w:sz w:val="21"/>
        </w:rPr>
        <w:t>We are available for technical deep-dives, reference calls, and contract working sessions from 2026-05-23 onward and will be on call through the 2026-05-26 deadline and the 2026-06-30 award date.</w:t>
      </w:r>
    </w:p>
    <w:p>
      <w:pPr>
        <w:spacing w:before="480"/>
      </w:pPr>
      <w:r>
        <w:rPr>
          <w:b/>
          <w:color w:val="0E3A5F"/>
          <w:sz w:val="22"/>
        </w:rPr>
        <w:t>BTS-Synthetic — Deal Desk</w:t>
      </w:r>
    </w:p>
    <w:p>
      <w:pPr>
        <w:spacing w:after="40"/>
      </w:pPr>
      <w:r>
        <w:rPr>
          <w:color w:val="555B66"/>
          <w:sz w:val="20"/>
        </w:rPr>
        <w:t>Senior Partner, Enterprise Accounts</w:t>
      </w:r>
    </w:p>
    <w:p>
      <w:r>
        <w:rPr>
          <w:i/>
          <w:color w:val="555B66"/>
          <w:sz w:val="20"/>
        </w:rPr>
        <w:t>dealdesk@bts-synthetic.example</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color w:val="555B66"/>
        <w:sz w:val="16"/>
      </w:rPr>
      <w:t>Confidential — BTS-Synthetic Response to Acme Corp RFP</w:t>
    </w:r>
    <w:r>
      <w:tab/>
      <w:tab/>
    </w:r>
    <w:r>
      <w:rPr>
        <w:color w:val="555B66"/>
        <w:sz w:val="16"/>
      </w:rPr>
      <w:t xml:space="preserve">Page </w:t>
    </w:r>
    <w:fldSimple w:instr="PAGE">
      <w:r>
        <w:rPr>
          <w:sz w:val="16"/>
          <w:color w:val="555B6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0E3A5F"/>
        <w:sz w:val="22"/>
      </w:rPr>
      <w:t>BTS·SYNTHETIC</w:t>
    </w:r>
    <w:r>
      <w:rPr>
        <w:b w:val="0"/>
        <w:color w:val="555B66"/>
        <w:sz w:val="18"/>
      </w:rPr>
      <w:t xml:space="preserve">   |   ENTERPRISE DATA PLATFORM</w:t>
    </w:r>
    <w:r>
      <w:tab/>
      <w:tab/>
    </w:r>
    <w:r>
      <w:rPr>
        <w:i/>
        <w:color w:val="555B66"/>
        <w:sz w:val="18"/>
      </w:rPr>
      <w:t>Proposal: Acme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