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2018-05-02</w:t>
      </w:r>
    </w:p>
    <w:p>
      <w:pPr>
        <w:pStyle w:val="Heading2"/>
      </w:pPr>
      <w:bookmarkStart w:id="21" w:name="instructions-for-individual-readiness-assessment-test-irat"/>
      <w:bookmarkEnd w:id="21"/>
      <w:r>
        <w:t xml:space="preserve">Instructions for individual readiness assessment test (iRAT)</w:t>
      </w:r>
    </w:p>
    <w:p>
      <w:pPr>
        <w:numPr>
          <w:numId w:val="1001"/>
          <w:ilvl w:val="0"/>
        </w:numPr>
      </w:pPr>
      <w:r>
        <w:t xml:space="preserve">Put your name, the module (demo) and today’s date (05/02/2018)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2" w:name="instructions-for-the-team-readiness-assessment-test-trat"/>
      <w:bookmarkEnd w:id="22"/>
      <w:r>
        <w:t xml:space="preserve">Instructions for the team readiness assessment test (tRAT)</w:t>
      </w:r>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3" w:name="questions"/>
      <w:bookmarkEnd w:id="23"/>
      <w:r>
        <w:t xml:space="preserve">Questions</w:t>
      </w:r>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4" w:name="irat-1-trat-13-which-of-the-following-is-the-activity-sequence-typical-of-a-tbl-module"/>
      <w:bookmarkEnd w:id="24"/>
      <w:r>
        <w:t xml:space="preserve">iRAT 1 / tRAT 13: Which of the following is the</w:t>
      </w:r>
      <w:r>
        <w:t xml:space="preserve"> </w:t>
      </w:r>
      <w:r>
        <w:rPr>
          <w:b/>
        </w:rPr>
        <w:t xml:space="preserve">activity sequence</w:t>
      </w:r>
      <w:r>
        <w:t xml:space="preserve"> </w:t>
      </w:r>
      <w:r>
        <w:t xml:space="preserve">typical of a TBL module?</w:t>
      </w:r>
    </w:p>
    <w:p>
      <w:pPr>
        <w:pStyle w:val="Compact"/>
        <w:numPr>
          <w:numId w:val="1003"/>
          <w:ilvl w:val="0"/>
        </w:numPr>
      </w:pPr>
      <w:r>
        <w:t xml:space="preserve">A: Individual Study, Individual Test, Team Test, Instructors’ presentation, Appeals, Applications</w:t>
      </w:r>
    </w:p>
    <w:p>
      <w:pPr>
        <w:pStyle w:val="Compact"/>
        <w:numPr>
          <w:numId w:val="1003"/>
          <w:ilvl w:val="0"/>
        </w:numPr>
      </w:pPr>
      <w:r>
        <w:t xml:space="preserve">B: Individual Study, Instructor’s presentation, Individual Test, Team Test,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Individual Study, Individual Test, Appeals, Team Test, Instructor’s presentation, Applications</w:t>
      </w:r>
    </w:p>
    <w:p>
      <w:pPr>
        <w:pStyle w:val="Compact"/>
        <w:numPr>
          <w:numId w:val="1003"/>
          <w:ilvl w:val="0"/>
        </w:numPr>
      </w:pPr>
      <w:r>
        <w:t xml:space="preserve">E: Instructor’s presentation, Individual Study, Individual Test, Appeals, Team Test, Applications</w:t>
      </w:r>
    </w:p>
    <w:p>
      <w:pPr>
        <w:pStyle w:val="Heading3"/>
      </w:pPr>
      <w:bookmarkStart w:id="25" w:name="irat-5-trat-14-what-is-the-solution-to-x2-3cdot-x-10"/>
      <w:bookmarkEnd w:id="25"/>
      <w:r>
        <w:t xml:space="preserve">iRAT 5 / tRAT 14: What is the solution to</w:t>
      </w:r>
      <w:r>
        <w:t xml:space="preserve"> </w:t>
      </w:r>
      <m:oMath>
        <m:sSup>
          <m:e>
            <m:r>
              <m:t>x</m:t>
            </m:r>
          </m:e>
          <m:sup>
            <m:r>
              <m:t>2</m:t>
            </m:r>
          </m:sup>
        </m:sSup>
        <m:r>
          <m:t>+</m:t>
        </m:r>
        <m:r>
          <m:t>3</m:t>
        </m:r>
        <m:r>
          <m:t>⋅</m:t>
        </m:r>
        <m:r>
          <m:t>x</m:t>
        </m:r>
        <m:r>
          <m:t>=</m:t>
        </m:r>
        <m:r>
          <m:t>10</m:t>
        </m:r>
      </m:oMath>
    </w:p>
    <w:p>
      <w:pPr>
        <w:pStyle w:val="FirstParagraph"/>
      </w:pPr>
      <w:r>
        <w:t xml:space="preserve">A:</w:t>
      </w:r>
      <w:r>
        <w:t xml:space="preserve"> </w:t>
      </w:r>
      <m:oMath>
        <m:r>
          <m:t>x</m:t>
        </m:r>
        <m:r>
          <m:t>=</m:t>
        </m:r>
        <m:r>
          <m:t>−</m:t>
        </m:r>
        <m:r>
          <m:t>2</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0</m:t>
        </m:r>
      </m:oMath>
    </w:p>
    <w:p>
      <w:pPr>
        <w:pStyle w:val="Heading3"/>
      </w:pPr>
      <w:bookmarkStart w:id="26" w:name="irat-9-trat-15-the-purpose-of-the-peer-evaluation-process-in-a-tbl-course-is-to"/>
      <w:bookmarkEnd w:id="26"/>
      <w:r>
        <w:t xml:space="preserve">iRAT 9 / tRAT 15: The purpose of the peer evaluation process in a TBL course is to</w:t>
      </w:r>
    </w:p>
    <w:p>
      <w:pPr>
        <w:pStyle w:val="Compact"/>
        <w:numPr>
          <w:numId w:val="1004"/>
          <w:ilvl w:val="0"/>
        </w:numPr>
      </w:pPr>
      <w:r>
        <w:t xml:space="preserve">A: Hold students accountable to their instructor for their individual preparation</w:t>
      </w:r>
    </w:p>
    <w:p>
      <w:pPr>
        <w:pStyle w:val="Compact"/>
        <w:numPr>
          <w:numId w:val="1004"/>
          <w:ilvl w:val="0"/>
        </w:numPr>
      </w:pPr>
      <w:r>
        <w:t xml:space="preserve">B: Help the instructor find under-performing students and have a talk with them</w:t>
      </w:r>
    </w:p>
    <w:p>
      <w:pPr>
        <w:pStyle w:val="Compact"/>
        <w:numPr>
          <w:numId w:val="1004"/>
          <w:ilvl w:val="0"/>
        </w:numPr>
      </w:pPr>
      <w:r>
        <w:t xml:space="preserve">C: Make sure students are fairly rewarded for their contributions to the team</w:t>
      </w:r>
    </w:p>
    <w:p>
      <w:pPr>
        <w:pStyle w:val="Compact"/>
        <w:numPr>
          <w:numId w:val="1004"/>
          <w:ilvl w:val="0"/>
        </w:numPr>
      </w:pPr>
      <w:r>
        <w:t xml:space="preserve">D: Hold students accountable to their teammates for their individual preparation</w:t>
      </w:r>
    </w:p>
    <w:p>
      <w:pPr>
        <w:pStyle w:val="Compact"/>
        <w:numPr>
          <w:numId w:val="1004"/>
          <w:ilvl w:val="0"/>
        </w:numPr>
      </w:pPr>
      <w:r>
        <w:t xml:space="preserve">E: Create conditions that can enable students to learn a great deal about the way they interact with others</w:t>
      </w:r>
    </w:p>
    <w:p>
      <w:pPr>
        <w:pStyle w:val="Heading3"/>
      </w:pPr>
      <w:bookmarkStart w:id="27" w:name="irat-13-trat-16-which-of-the-following-is-one-of-the-core-concepts-of-tbl"/>
      <w:bookmarkEnd w:id="27"/>
      <w:r>
        <w:t xml:space="preserve">iRAT 13 / tRAT 16: Which of the following is one of the core concepts of TBL?</w:t>
      </w:r>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8" w:name="what-is-the-primary-purpose-of-the-application-activities"/>
      <w:bookmarkEnd w:id="28"/>
      <w:r>
        <w:t xml:space="preserve">17: What is the primary purpose of the Application Activities?</w:t>
      </w:r>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9" w:name="irat-21-trat-18-in-class-activities-are-designed-to-include-the-4-ss-including-all-except-which-s"/>
      <w:bookmarkEnd w:id="29"/>
      <w:r>
        <w:t xml:space="preserve">iRAT 21 / tRAT 18: In-class activities are designed to include the 4 S’s, including all except which</w:t>
      </w:r>
      <w:r>
        <w:t xml:space="preserve"> </w:t>
      </w:r>
      <w:r>
        <w:t xml:space="preserve">“</w:t>
      </w:r>
      <w:r>
        <w:t xml:space="preserve">S</w:t>
      </w:r>
      <w:r>
        <w:t xml:space="preserve">”</w:t>
      </w:r>
      <w:r>
        <w:t xml:space="preserve">?</w:t>
      </w:r>
    </w:p>
    <w:p>
      <w:pPr>
        <w:pStyle w:val="FirstParagraph"/>
      </w:pPr>
      <w:r>
        <w:t xml:space="preserve">A: Specific choice, B: Significant problem, C: Selective options, D: Simultaneous reporting, E: Same problem</w:t>
      </w:r>
    </w:p>
    <w:p>
      <w:pPr>
        <w:pStyle w:val="Heading3"/>
      </w:pPr>
      <w:bookmarkStart w:id="30" w:name="irat-25-trat-19-before-each-readiness-assurance-test-students-are-expected-to-do-what"/>
      <w:bookmarkEnd w:id="30"/>
      <w:r>
        <w:t xml:space="preserve">iRAT 25 / tRAT 19: Before each Readiness Assurance Test students are expected to do what?</w:t>
      </w:r>
    </w:p>
    <w:p>
      <w:pPr>
        <w:pStyle w:val="Compact"/>
        <w:numPr>
          <w:numId w:val="1007"/>
          <w:ilvl w:val="0"/>
        </w:numPr>
      </w:pPr>
      <w:r>
        <w:t xml:space="preserve">A: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7"/>
          <w:ilvl w:val="0"/>
        </w:numPr>
      </w:pPr>
      <w:r>
        <w:t xml:space="preserve">B: Complete a homework assignment</w:t>
      </w:r>
    </w:p>
    <w:p>
      <w:pPr>
        <w:pStyle w:val="Compact"/>
        <w:numPr>
          <w:numId w:val="1007"/>
          <w:ilvl w:val="0"/>
        </w:numPr>
      </w:pPr>
      <w:r>
        <w:t xml:space="preserve">C: None of the other options</w:t>
      </w:r>
    </w:p>
    <w:p>
      <w:pPr>
        <w:pStyle w:val="Compact"/>
        <w:numPr>
          <w:numId w:val="1007"/>
          <w:ilvl w:val="0"/>
        </w:numPr>
      </w:pPr>
      <w:r>
        <w:t xml:space="preserve">D: Complete preparatory materials</w:t>
      </w:r>
    </w:p>
    <w:p>
      <w:pPr>
        <w:pStyle w:val="Compact"/>
        <w:numPr>
          <w:numId w:val="1007"/>
          <w:ilvl w:val="0"/>
        </w:numPr>
      </w:pPr>
      <w:r>
        <w:t xml:space="preserve">E: Attend a series of introductory lectures</w:t>
      </w:r>
    </w:p>
    <w:p>
      <w:pPr>
        <w:pStyle w:val="Heading3"/>
      </w:pPr>
      <w:bookmarkStart w:id="31" w:name="irat-29-trat-20-which-of-the-following-is-not-a-main-component-of-helpful-feedback"/>
      <w:bookmarkEnd w:id="31"/>
      <w:r>
        <w:t xml:space="preserve">iRAT 29 / tRAT 20: Which of the following is NOT a main component of helpful feedback</w:t>
      </w:r>
    </w:p>
    <w:p>
      <w:pPr>
        <w:pStyle w:val="Compact"/>
        <w:numPr>
          <w:numId w:val="1008"/>
          <w:ilvl w:val="0"/>
        </w:numPr>
      </w:pPr>
      <w:r>
        <w:t xml:space="preserve">A: Helpful feedback describes the impact of the behaviors of the person receiving feedback.</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is honest and sincere.</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2" w:name="irat-33-trat-21-the-benefits-of-tbl-include-all-of-the-following-except"/>
      <w:bookmarkEnd w:id="32"/>
      <w:r>
        <w:t xml:space="preserve">iRAT 33 / tRAT 21: The benefits of TBL include all of the following EXCEPT</w:t>
      </w:r>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advance beyond gaining knowledge to applying it to solve problems.</w:t>
      </w:r>
    </w:p>
    <w:p>
      <w:pPr>
        <w:pStyle w:val="Compact"/>
        <w:numPr>
          <w:numId w:val="1009"/>
          <w:ilvl w:val="0"/>
        </w:numPr>
      </w:pPr>
      <w:r>
        <w:t xml:space="preserve">D: If a student is struggling, teammates can help the student stay on track.</w:t>
      </w:r>
    </w:p>
    <w:p>
      <w:pPr>
        <w:pStyle w:val="Compact"/>
        <w:numPr>
          <w:numId w:val="1009"/>
          <w:ilvl w:val="0"/>
        </w:numPr>
      </w:pPr>
      <w:r>
        <w:t xml:space="preserve">E: Students learn how to effectively solve problems as a team.</w:t>
      </w:r>
    </w:p>
    <w:p>
      <w:pPr>
        <w:pStyle w:val="Heading3"/>
      </w:pPr>
      <w:bookmarkStart w:id="33" w:name="irat-37-trat-22-the-individual-performance-component-contributes-the-least-to-your-final-grade"/>
      <w:bookmarkEnd w:id="33"/>
      <w:r>
        <w:t xml:space="preserve">iRAT 37 / tRAT 22: The individual performance component contributes the least to your final grade</w:t>
      </w:r>
    </w:p>
    <w:p>
      <w:pPr>
        <w:pStyle w:val="FirstParagraph"/>
      </w:pPr>
      <w:r>
        <w:t xml:space="preserve">A: True, B: False</w:t>
      </w:r>
    </w:p>
    <w:p>
      <w:pPr>
        <w:pStyle w:val="Heading3"/>
      </w:pPr>
      <w:bookmarkStart w:id="34" w:name="irat-41-trat-23-which-of-the-four-trees-below-depicts-a-different-pattern-of-relationships-than-the-others"/>
      <w:bookmarkEnd w:id="34"/>
      <w:r>
        <w:t xml:space="preserve">iRAT 41 / tRAT 23: Which of the four trees below depicts a different pattern of relationships than the others?</w:t>
      </w:r>
    </w:p>
    <w:p>
      <w:pPr>
        <w:pStyle w:val="FirstParagraph"/>
      </w:pPr>
      <w:r>
        <w:t xml:space="preserve">A:</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5"/>
                    <a:stretch>
                      <a:fillRect/>
                    </a:stretch>
                  </pic:blipFill>
                  <pic:spPr bwMode="auto">
                    <a:xfrm>
                      <a:off x="0" y="0"/>
                      <a:ext cx="1428750" cy="1135093"/>
                    </a:xfrm>
                    <a:prstGeom prst="rect">
                      <a:avLst/>
                    </a:prstGeom>
                    <a:noFill/>
                    <a:ln w="9525">
                      <a:noFill/>
                      <a:headEnd/>
                      <a:tailEnd/>
                    </a:ln>
                  </pic:spPr>
                </pic:pic>
              </a:graphicData>
            </a:graphic>
          </wp:inline>
        </w:drawing>
      </w:r>
      <w:r>
        <w:t xml:space="preserve">, B: they are all the same,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6"/>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r>
        <w:t xml:space="preserve">, E:</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8"/>
                    <a:stretch>
                      <a:fillRect/>
                    </a:stretch>
                  </pic:blipFill>
                  <pic:spPr bwMode="auto">
                    <a:xfrm>
                      <a:off x="0" y="0"/>
                      <a:ext cx="1428750" cy="1094827"/>
                    </a:xfrm>
                    <a:prstGeom prst="rect">
                      <a:avLst/>
                    </a:prstGeom>
                    <a:noFill/>
                    <a:ln w="9525">
                      <a:noFill/>
                      <a:headEnd/>
                      <a:tailEnd/>
                    </a:ln>
                  </pic:spPr>
                </pic:pic>
              </a:graphicData>
            </a:graphic>
          </wp:inline>
        </w:drawing>
      </w:r>
    </w:p>
    <w:p>
      <w:pPr>
        <w:pStyle w:val="Heading3"/>
      </w:pPr>
      <w:bookmarkStart w:id="39" w:name="irat-45-trat-24-the-overall-goals-for-this-course-include-all-of-the-following-except"/>
      <w:bookmarkEnd w:id="39"/>
      <w:r>
        <w:t xml:space="preserve">iRAT 45 / tRAT 24: The overall goals for this course include all of the following EXCEPT</w:t>
      </w:r>
    </w:p>
    <w:p>
      <w:pPr>
        <w:pStyle w:val="Compact"/>
        <w:numPr>
          <w:numId w:val="1010"/>
          <w:ilvl w:val="0"/>
        </w:numPr>
      </w:pPr>
      <w:r>
        <w:t xml:space="preserve">A: Honing your critical thinking and problem solving skills</w:t>
      </w:r>
    </w:p>
    <w:p>
      <w:pPr>
        <w:pStyle w:val="Compact"/>
        <w:numPr>
          <w:numId w:val="1010"/>
          <w:ilvl w:val="0"/>
        </w:numPr>
      </w:pPr>
      <w:r>
        <w:t xml:space="preserve">B: Improving your ability to read, synthesize, and critically evaluate geomicrobiology literature</w:t>
      </w:r>
    </w:p>
    <w:p>
      <w:pPr>
        <w:pStyle w:val="Compact"/>
        <w:numPr>
          <w:numId w:val="1010"/>
          <w:ilvl w:val="0"/>
        </w:numPr>
      </w:pPr>
      <w:r>
        <w:t xml:space="preserve">C: Collaborating effectively with the members of your team</w:t>
      </w:r>
    </w:p>
    <w:p>
      <w:pPr>
        <w:pStyle w:val="Compact"/>
        <w:numPr>
          <w:numId w:val="1010"/>
          <w:ilvl w:val="0"/>
        </w:numPr>
      </w:pPr>
      <w:r>
        <w:t xml:space="preserve">D: Learning to become more extroverted and social</w:t>
      </w:r>
    </w:p>
    <w:p>
      <w:pPr>
        <w:pStyle w:val="Compact"/>
        <w:numPr>
          <w:numId w:val="1010"/>
          <w:ilvl w:val="0"/>
        </w:numPr>
      </w:pPr>
      <w:r>
        <w:t xml:space="preserve">E: Gaining a broad understanding of the role of microbes on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1f6e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dd4e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3814c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dcterms:created xsi:type="dcterms:W3CDTF">2018-05-02T19:02:23Z</dcterms:created>
  <dcterms:modified xsi:type="dcterms:W3CDTF">2018-05-02T19:02:23Z</dcterms:modified>
</cp:coreProperties>
</file>