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7.png" ContentType="image/png"/>
  <Override PartName="/word/media/rId36.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Readiness</w:t>
      </w:r>
      <w:r>
        <w:t xml:space="preserve"> </w:t>
      </w:r>
      <w:r>
        <w:t xml:space="preserve">Assessment</w:t>
      </w:r>
      <w:r>
        <w:t xml:space="preserve"> </w:t>
      </w:r>
      <w:r>
        <w:t xml:space="preserve">Test</w:t>
      </w:r>
      <w:r>
        <w:t xml:space="preserve"> </w:t>
      </w:r>
      <w:r>
        <w:t xml:space="preserve">(RAT)</w:t>
      </w:r>
    </w:p>
    <w:p>
      <w:pPr>
        <w:pStyle w:val="Subtitle"/>
      </w:pPr>
      <w:r>
        <w:t xml:space="preserve">Module:</w:t>
      </w:r>
      <w:r>
        <w:t xml:space="preserve"> </w:t>
      </w:r>
      <w:r>
        <w:t xml:space="preserve">demo</w:t>
      </w:r>
    </w:p>
    <w:p>
      <w:pPr>
        <w:pStyle w:val="Date"/>
      </w:pPr>
      <w:r>
        <w:t xml:space="preserve">Date:</w:t>
      </w:r>
      <w:r>
        <w:t xml:space="preserve"> </w:t>
      </w:r>
      <w:r>
        <w:t xml:space="preserve">2019-09-02</w:t>
      </w:r>
    </w:p>
    <w:p>
      <w:pPr>
        <w:pStyle w:val="Heading2"/>
      </w:pPr>
      <w:bookmarkStart w:id="20" w:name="instructions-for-individual-readiness-assessment-test-irat"/>
      <w:r>
        <w:t xml:space="preserve">Instructions for individual readiness assessment test (iRAT)</w:t>
      </w:r>
      <w:bookmarkEnd w:id="20"/>
    </w:p>
    <w:p>
      <w:pPr>
        <w:numPr>
          <w:numId w:val="1001"/>
          <w:ilvl w:val="0"/>
        </w:numPr>
      </w:pPr>
      <w:r>
        <w:t xml:space="preserve">Put your name, the module (demo) and today’s date (09/02/2019) on the test.</w:t>
      </w:r>
    </w:p>
    <w:p>
      <w:pPr>
        <w:numPr>
          <w:numId w:val="1001"/>
          <w:ilvl w:val="0"/>
        </w:numPr>
      </w:pPr>
      <w:r>
        <w:t xml:space="preserve">Answer each question</w:t>
      </w:r>
      <w:r>
        <w:t xml:space="preserve"> </w:t>
      </w:r>
      <w:r>
        <w:rPr>
          <w:b/>
        </w:rPr>
        <w:t xml:space="preserve">four times</w:t>
      </w:r>
      <w:r>
        <w:t xml:space="preserve"> </w:t>
      </w:r>
      <w:r>
        <w:t xml:space="preserve">(i.e., as though there were four separate questions). Each question is worth a maximum of four points and you will receive one point for each correct answer. For example, if you are confident with your answer for a question, you should answer the same letter for each of the four numbers. If you are correct, you will receive the maximum of four points. If you are debating between two answers and cannot decide which is correct, you can answer twice one of the letters and twice the other or any combination of answers in the four numbers assigned to the question. Each question states which four answers belong to it (e.g.</w:t>
      </w:r>
      <w:r>
        <w:t xml:space="preserve"> </w:t>
      </w:r>
      <w:r>
        <w:rPr>
          <w:rStyle w:val="VerbatimChar"/>
        </w:rPr>
        <w:t xml:space="preserve">iRAT 9-12</w:t>
      </w:r>
      <w:r>
        <w:t xml:space="preserve">).</w:t>
      </w:r>
    </w:p>
    <w:p>
      <w:pPr>
        <w:numPr>
          <w:numId w:val="1001"/>
          <w:ilvl w:val="0"/>
        </w:numPr>
      </w:pPr>
      <w:r>
        <w:t xml:space="preserve">When you are finished (or the time is up), return the test.</w:t>
      </w:r>
    </w:p>
    <w:p>
      <w:pPr>
        <w:pStyle w:val="Heading2"/>
      </w:pPr>
      <w:bookmarkStart w:id="21" w:name="instructions-for-the-team-readiness-assessment-test-trat"/>
      <w:r>
        <w:t xml:space="preserve">Instructions for the team readiness assessment test (tRAT)</w:t>
      </w:r>
      <w:bookmarkEnd w:id="21"/>
    </w:p>
    <w:p>
      <w:pPr>
        <w:numPr>
          <w:numId w:val="1002"/>
          <w:ilvl w:val="0"/>
        </w:numPr>
      </w:pPr>
      <w:r>
        <w:t xml:space="preserve">When the time is up, have one member of your team turn in the envelopes to the instructor and collect the IF-AT sheet for your team.</w:t>
      </w:r>
    </w:p>
    <w:p>
      <w:pPr>
        <w:numPr>
          <w:numId w:val="1002"/>
          <w:ilvl w:val="0"/>
        </w:numPr>
      </w:pPr>
      <w:r>
        <w:t xml:space="preserve">Complete the test with your team using the IF-AT sheet.</w:t>
      </w:r>
    </w:p>
    <w:p>
      <w:pPr>
        <w:numPr>
          <w:numId w:val="1002"/>
          <w:ilvl w:val="0"/>
        </w:numPr>
      </w:pPr>
      <w:r>
        <w:t xml:space="preserve">Tally your team’s tRAT with the following scoring guide: 4 points for one scratch, 2 points for 2 scratches, 1 point for 3 scratches and zero if you have to scratch four or more to reveal the correct answer.</w:t>
      </w:r>
    </w:p>
    <w:p>
      <w:pPr>
        <w:numPr>
          <w:numId w:val="1002"/>
          <w:ilvl w:val="0"/>
        </w:numPr>
      </w:pPr>
      <w:r>
        <w:t xml:space="preserve">Review appeals form and complete if appropriate. Return the IF-AT when the time is up.</w:t>
      </w:r>
    </w:p>
    <w:p>
      <w:pPr>
        <w:pStyle w:val="Heading2"/>
      </w:pPr>
      <w:bookmarkStart w:id="22" w:name="questions"/>
      <w:r>
        <w:t xml:space="preserve">Questions</w:t>
      </w:r>
      <w:bookmarkEnd w:id="22"/>
    </w:p>
    <w:p>
      <w:pPr>
        <w:pStyle w:val="FirstParagraph"/>
      </w:pPr>
      <w:r>
        <w:t xml:space="preserve">Choose the</w:t>
      </w:r>
      <w:r>
        <w:t xml:space="preserve"> </w:t>
      </w:r>
      <w:r>
        <w:rPr>
          <w:b/>
        </w:rPr>
        <w:t xml:space="preserve">best</w:t>
      </w:r>
      <w:r>
        <w:t xml:space="preserve"> </w:t>
      </w:r>
      <w:r>
        <w:t xml:space="preserve">answer among the alternatives. Remember that RATs are</w:t>
      </w:r>
      <w:r>
        <w:t xml:space="preserve"> </w:t>
      </w:r>
      <w:r>
        <w:rPr>
          <w:b/>
        </w:rPr>
        <w:t xml:space="preserve">closed book</w:t>
      </w:r>
      <w:r>
        <w:t xml:space="preserve">.</w:t>
      </w:r>
    </w:p>
    <w:p>
      <w:pPr>
        <w:pStyle w:val="Heading3"/>
      </w:pPr>
      <w:bookmarkStart w:id="23" w:name="irat-1-4-trat-13-which-of-the-following-is-the-activity-sequence-typical-of-a-tbl-module"/>
      <w:r>
        <w:t xml:space="preserve">iRAT 1-4 / tRAT 13: Which of the following is the</w:t>
      </w:r>
      <w:r>
        <w:t xml:space="preserve"> </w:t>
      </w:r>
      <w:r>
        <w:rPr>
          <w:b/>
        </w:rPr>
        <w:t xml:space="preserve">activity sequence</w:t>
      </w:r>
      <w:r>
        <w:t xml:space="preserve"> </w:t>
      </w:r>
      <w:r>
        <w:t xml:space="preserve">typical of a TBL module?</w:t>
      </w:r>
      <w:bookmarkEnd w:id="23"/>
    </w:p>
    <w:p>
      <w:pPr>
        <w:pStyle w:val="Compact"/>
        <w:numPr>
          <w:numId w:val="1003"/>
          <w:ilvl w:val="0"/>
        </w:numPr>
      </w:pPr>
      <w:r>
        <w:t xml:space="preserve">A: Individual Study, Individual Test, Appeals, Team Test, Instructor’s presentation, Applications</w:t>
      </w:r>
    </w:p>
    <w:p>
      <w:pPr>
        <w:pStyle w:val="Compact"/>
        <w:numPr>
          <w:numId w:val="1003"/>
          <w:ilvl w:val="0"/>
        </w:numPr>
      </w:pPr>
      <w:r>
        <w:t xml:space="preserve">B: Individual Study, Individual Test, Team Test, Instructors’ presentation, Appeals, Applications</w:t>
      </w:r>
    </w:p>
    <w:p>
      <w:pPr>
        <w:pStyle w:val="Compact"/>
        <w:numPr>
          <w:numId w:val="1003"/>
          <w:ilvl w:val="0"/>
        </w:numPr>
      </w:pPr>
      <w:r>
        <w:t xml:space="preserve">C: Individual Study, Individual Test, Team Test, Appeals, Instructor’s presentation, Applications</w:t>
      </w:r>
    </w:p>
    <w:p>
      <w:pPr>
        <w:pStyle w:val="Compact"/>
        <w:numPr>
          <w:numId w:val="1003"/>
          <w:ilvl w:val="0"/>
        </w:numPr>
      </w:pPr>
      <w:r>
        <w:t xml:space="preserve">D: Instructor’s presentation, Individual Study, Individual Test, Appeals, Team Test, Applications</w:t>
      </w:r>
    </w:p>
    <w:p>
      <w:pPr>
        <w:pStyle w:val="Compact"/>
        <w:numPr>
          <w:numId w:val="1003"/>
          <w:ilvl w:val="0"/>
        </w:numPr>
      </w:pPr>
      <w:r>
        <w:t xml:space="preserve">E: Individual Study, Instructor’s presentation, Individual Test, Team Test, Appeals, Applications</w:t>
      </w:r>
    </w:p>
    <w:p>
      <w:pPr>
        <w:pStyle w:val="Heading3"/>
      </w:pPr>
      <w:bookmarkStart w:id="24" w:name="irat-5-8-trat-14-what-is-the-solution-to-x2-3cdot-x-10"/>
      <w:r>
        <w:t xml:space="preserve">iRAT 5-8 / tRAT 14: What is the solution to</w:t>
      </w:r>
      <w:r>
        <w:t xml:space="preserve"> </w:t>
      </w:r>
      <m:oMath>
        <m:sSup>
          <m:e>
            <m:r>
              <m:t>x</m:t>
            </m:r>
          </m:e>
          <m:sup>
            <m:r>
              <m:t>2</m:t>
            </m:r>
          </m:sup>
        </m:sSup>
        <m:r>
          <m:t>+</m:t>
        </m:r>
        <m:r>
          <m:t>3</m:t>
        </m:r>
        <m:r>
          <m:t>⋅</m:t>
        </m:r>
        <m:r>
          <m:t>x</m:t>
        </m:r>
        <m:r>
          <m:t>=</m:t>
        </m:r>
        <m:r>
          <m:t>10</m:t>
        </m:r>
      </m:oMath>
      <w:bookmarkEnd w:id="24"/>
    </w:p>
    <w:p>
      <w:pPr>
        <w:pStyle w:val="FirstParagraph"/>
      </w:pPr>
      <w:r>
        <w:t xml:space="preserve">A:</w:t>
      </w:r>
      <w:r>
        <w:t xml:space="preserve"> </w:t>
      </w:r>
      <m:oMath>
        <m:r>
          <m:t>x</m:t>
        </m:r>
        <m:r>
          <m:t>=</m:t>
        </m:r>
        <m:r>
          <m:t>0</m:t>
        </m:r>
      </m:oMath>
      <w:r>
        <w:t xml:space="preserve">, B:</w:t>
      </w:r>
      <w:r>
        <w:t xml:space="preserve"> </w:t>
      </w:r>
      <m:oMath>
        <m:r>
          <m:t>x</m:t>
        </m:r>
        <m:r>
          <m:t>=</m:t>
        </m:r>
        <m:r>
          <m:t>α</m:t>
        </m:r>
      </m:oMath>
      <w:r>
        <w:t xml:space="preserve">, C:</w:t>
      </w:r>
      <w:r>
        <w:t xml:space="preserve"> </w:t>
      </w:r>
      <m:oMath>
        <m:r>
          <m:t>x</m:t>
        </m:r>
        <m:r>
          <m:t>=</m:t>
        </m:r>
        <m:f>
          <m:fPr>
            <m:type m:val="bar"/>
          </m:fPr>
          <m:num>
            <m:r>
              <m:t>5</m:t>
            </m:r>
          </m:num>
          <m:den>
            <m:r>
              <m:t>2</m:t>
            </m:r>
          </m:den>
        </m:f>
      </m:oMath>
      <w:r>
        <w:t xml:space="preserve">, D:</w:t>
      </w:r>
      <w:r>
        <w:t xml:space="preserve"> </w:t>
      </w:r>
      <m:oMath>
        <m:r>
          <m:t>x</m:t>
        </m:r>
        <m:r>
          <m:t>=</m:t>
        </m:r>
        <m:r>
          <m:t>2</m:t>
        </m:r>
      </m:oMath>
      <w:r>
        <w:t xml:space="preserve">, E:</w:t>
      </w:r>
      <w:r>
        <w:t xml:space="preserve"> </w:t>
      </w:r>
      <m:oMath>
        <m:r>
          <m:t>x</m:t>
        </m:r>
        <m:r>
          <m:t>=</m:t>
        </m:r>
        <m:r>
          <m:t>−</m:t>
        </m:r>
        <m:r>
          <m:t>2</m:t>
        </m:r>
      </m:oMath>
    </w:p>
    <w:p>
      <w:pPr>
        <w:pStyle w:val="Heading3"/>
      </w:pPr>
      <w:bookmarkStart w:id="25" w:name="irat-9-12-trat-15-before-each-readiness-assurance-test-students-are-expected-to-do-what"/>
      <w:r>
        <w:t xml:space="preserve">iRAT 9-12 / tRAT 15: Before each Readiness Assurance Test students are expected to do what?</w:t>
      </w:r>
      <w:bookmarkEnd w:id="25"/>
    </w:p>
    <w:p>
      <w:pPr>
        <w:pStyle w:val="Compact"/>
        <w:numPr>
          <w:numId w:val="1004"/>
          <w:ilvl w:val="0"/>
        </w:numPr>
      </w:pPr>
      <w:r>
        <w:t xml:space="preserve">A: Attend a series of introductory lectures</w:t>
      </w:r>
    </w:p>
    <w:p>
      <w:pPr>
        <w:pStyle w:val="Compact"/>
        <w:numPr>
          <w:numId w:val="1004"/>
          <w:ilvl w:val="0"/>
        </w:numPr>
      </w:pPr>
      <w:r>
        <w:t xml:space="preserve">B: None of the other options</w:t>
      </w:r>
    </w:p>
    <w:p>
      <w:pPr>
        <w:pStyle w:val="Compact"/>
        <w:numPr>
          <w:numId w:val="1004"/>
          <w:ilvl w:val="0"/>
        </w:numPr>
      </w:pPr>
      <w:r>
        <w:t xml:space="preserve">C: Complete a homework assignment</w:t>
      </w:r>
    </w:p>
    <w:p>
      <w:pPr>
        <w:pStyle w:val="Compact"/>
        <w:numPr>
          <w:numId w:val="1004"/>
          <w:ilvl w:val="0"/>
        </w:numPr>
      </w:pPr>
      <w:r>
        <w:t xml:space="preserve">D: Solve some</w:t>
      </w:r>
      <w:r>
        <w:t xml:space="preserve"> </w:t>
      </w:r>
      <w:r>
        <w:t xml:space="preserve">“</w:t>
      </w:r>
      <w:r>
        <w:t xml:space="preserve">easy</w:t>
      </w:r>
      <w:r>
        <w:t xml:space="preserve">”</w:t>
      </w:r>
      <w:r>
        <w:t xml:space="preserve"> </w:t>
      </w:r>
      <w:r>
        <w:t xml:space="preserve">problem with their teammates before coming to class</w:t>
      </w:r>
    </w:p>
    <w:p>
      <w:pPr>
        <w:pStyle w:val="Compact"/>
        <w:numPr>
          <w:numId w:val="1004"/>
          <w:ilvl w:val="0"/>
        </w:numPr>
      </w:pPr>
      <w:r>
        <w:t xml:space="preserve">E: Complete preparatory materials</w:t>
      </w:r>
    </w:p>
    <w:p>
      <w:pPr>
        <w:pStyle w:val="Heading3"/>
      </w:pPr>
      <w:bookmarkStart w:id="26" w:name="irat-13-16-trat-16-which-of-the-following-is-one-of-the-core-concepts-of-tbl"/>
      <w:r>
        <w:t xml:space="preserve">iRAT 13-16 / tRAT 16: Which of the following is one of the core concepts of TBL?</w:t>
      </w:r>
      <w:bookmarkEnd w:id="26"/>
    </w:p>
    <w:p>
      <w:pPr>
        <w:pStyle w:val="Compact"/>
        <w:numPr>
          <w:numId w:val="1005"/>
          <w:ilvl w:val="0"/>
        </w:numPr>
      </w:pPr>
      <w:r>
        <w:t xml:space="preserve">A: Course focus shifts from knowing course material to applying it.</w:t>
      </w:r>
    </w:p>
    <w:p>
      <w:pPr>
        <w:pStyle w:val="Compact"/>
        <w:numPr>
          <w:numId w:val="1005"/>
          <w:ilvl w:val="0"/>
        </w:numPr>
      </w:pPr>
      <w:r>
        <w:t xml:space="preserve">B: Learning is mostly the responsibility of the professor teaching the course.</w:t>
      </w:r>
    </w:p>
    <w:p>
      <w:pPr>
        <w:pStyle w:val="Compact"/>
        <w:numPr>
          <w:numId w:val="1005"/>
          <w:ilvl w:val="0"/>
        </w:numPr>
      </w:pPr>
      <w:r>
        <w:t xml:space="preserve">C: Class periods are efficient because more time is spent in class on gaining knowledge of course material.</w:t>
      </w:r>
    </w:p>
    <w:p>
      <w:pPr>
        <w:pStyle w:val="Compact"/>
        <w:numPr>
          <w:numId w:val="1005"/>
          <w:ilvl w:val="0"/>
        </w:numPr>
      </w:pPr>
      <w:r>
        <w:t xml:space="preserve">D: Less prepared students can still do well in the course if they are on a strong team.</w:t>
      </w:r>
    </w:p>
    <w:p>
      <w:pPr>
        <w:pStyle w:val="Compact"/>
        <w:numPr>
          <w:numId w:val="1005"/>
          <w:ilvl w:val="0"/>
        </w:numPr>
      </w:pPr>
      <w:r>
        <w:t xml:space="preserve">E: The loudest students in the class perform best because they are most able to convince their teammates of the right answers.</w:t>
      </w:r>
    </w:p>
    <w:p>
      <w:pPr>
        <w:pStyle w:val="Heading3"/>
      </w:pPr>
      <w:bookmarkStart w:id="27" w:name="irat-17-20-trat-17-what-is-the-primary-purpose-of-the-application-activities"/>
      <w:r>
        <w:t xml:space="preserve">iRAT 17-20 / tRAT 17: What is the primary purpose of the Application Activities?</w:t>
      </w:r>
      <w:bookmarkEnd w:id="27"/>
    </w:p>
    <w:p>
      <w:pPr>
        <w:pStyle w:val="Compact"/>
        <w:numPr>
          <w:numId w:val="1006"/>
          <w:ilvl w:val="0"/>
        </w:numPr>
      </w:pPr>
      <w:r>
        <w:t xml:space="preserve">A: They enable unprepared teams to kick back and wait for the other teams to provide the answer</w:t>
      </w:r>
    </w:p>
    <w:p>
      <w:pPr>
        <w:pStyle w:val="Compact"/>
        <w:numPr>
          <w:numId w:val="1006"/>
          <w:ilvl w:val="0"/>
        </w:numPr>
      </w:pPr>
      <w:r>
        <w:t xml:space="preserve">B: To enable the teams to report decisions publicly and defend their own decisions, and examine and critique other teams decisions</w:t>
      </w:r>
    </w:p>
    <w:p>
      <w:pPr>
        <w:pStyle w:val="Compact"/>
        <w:numPr>
          <w:numId w:val="1006"/>
          <w:ilvl w:val="0"/>
        </w:numPr>
      </w:pPr>
      <w:r>
        <w:t xml:space="preserve">C: To give the teams sufficient time to generate a lengthy written rationale for their decisions that can be easily graded by the instructor</w:t>
      </w:r>
    </w:p>
    <w:p>
      <w:pPr>
        <w:pStyle w:val="Compact"/>
        <w:numPr>
          <w:numId w:val="1006"/>
          <w:ilvl w:val="0"/>
        </w:numPr>
      </w:pPr>
      <w:r>
        <w:t xml:space="preserve">D: They enable the instructor to get a quick read on individual students preparation, to help identify students at risk</w:t>
      </w:r>
    </w:p>
    <w:p>
      <w:pPr>
        <w:pStyle w:val="Compact"/>
        <w:numPr>
          <w:numId w:val="1006"/>
          <w:ilvl w:val="0"/>
        </w:numPr>
      </w:pPr>
      <w:r>
        <w:t xml:space="preserve">E: They enable the instructor to get an idea of which teams are struggling with learning the course material</w:t>
      </w:r>
    </w:p>
    <w:p>
      <w:pPr>
        <w:pStyle w:val="Heading3"/>
      </w:pPr>
      <w:bookmarkStart w:id="28" w:name="irat-21-24-trat-18-the-purpose-of-the-peer-evaluation-process-in-a-tbl-course-is-to"/>
      <w:r>
        <w:t xml:space="preserve">iRAT 21-24 / tRAT 18: The purpose of the peer evaluation process in a TBL course is to</w:t>
      </w:r>
      <w:bookmarkEnd w:id="28"/>
    </w:p>
    <w:p>
      <w:pPr>
        <w:pStyle w:val="Compact"/>
        <w:numPr>
          <w:numId w:val="1007"/>
          <w:ilvl w:val="0"/>
        </w:numPr>
      </w:pPr>
      <w:r>
        <w:t xml:space="preserve">A: Hold students accountable to their instructor for their individual preparation</w:t>
      </w:r>
    </w:p>
    <w:p>
      <w:pPr>
        <w:pStyle w:val="Compact"/>
        <w:numPr>
          <w:numId w:val="1007"/>
          <w:ilvl w:val="0"/>
        </w:numPr>
      </w:pPr>
      <w:r>
        <w:t xml:space="preserve">B: Hold students accountable to their teammates for their individual preparation</w:t>
      </w:r>
    </w:p>
    <w:p>
      <w:pPr>
        <w:pStyle w:val="Compact"/>
        <w:numPr>
          <w:numId w:val="1007"/>
          <w:ilvl w:val="0"/>
        </w:numPr>
      </w:pPr>
      <w:r>
        <w:t xml:space="preserve">C: Create conditions that can enable students to learn a great deal about the way they interact with others</w:t>
      </w:r>
    </w:p>
    <w:p>
      <w:pPr>
        <w:pStyle w:val="Compact"/>
        <w:numPr>
          <w:numId w:val="1007"/>
          <w:ilvl w:val="0"/>
        </w:numPr>
      </w:pPr>
      <w:r>
        <w:t xml:space="preserve">D: Help the instructor find under-performing students and have a talk with them</w:t>
      </w:r>
    </w:p>
    <w:p>
      <w:pPr>
        <w:pStyle w:val="Compact"/>
        <w:numPr>
          <w:numId w:val="1007"/>
          <w:ilvl w:val="0"/>
        </w:numPr>
      </w:pPr>
      <w:r>
        <w:t xml:space="preserve">E: Make sure students are fairly rewarded for their contributions to the team</w:t>
      </w:r>
    </w:p>
    <w:p>
      <w:pPr>
        <w:pStyle w:val="Heading3"/>
      </w:pPr>
      <w:bookmarkStart w:id="29" w:name="irat-25-28-trat-19-in-class-activities-are-designed-to-include-the-4-ss-including-all-except-which-s"/>
      <w:r>
        <w:t xml:space="preserve">iRAT 25-28 / tRAT 19: In-class activities are designed to include the 4 S’s, including all except which</w:t>
      </w:r>
      <w:r>
        <w:t xml:space="preserve"> </w:t>
      </w:r>
      <w:r>
        <w:t xml:space="preserve">“</w:t>
      </w:r>
      <w:r>
        <w:t xml:space="preserve">S</w:t>
      </w:r>
      <w:r>
        <w:t xml:space="preserve">”</w:t>
      </w:r>
      <w:r>
        <w:t xml:space="preserve">?</w:t>
      </w:r>
      <w:bookmarkEnd w:id="29"/>
    </w:p>
    <w:p>
      <w:pPr>
        <w:pStyle w:val="FirstParagraph"/>
      </w:pPr>
      <w:r>
        <w:t xml:space="preserve">A: Significant problem, B: Same problem, C: Simultaneous reporting, D: Selective options, E: Specific choice</w:t>
      </w:r>
    </w:p>
    <w:p>
      <w:pPr>
        <w:pStyle w:val="Heading3"/>
      </w:pPr>
      <w:bookmarkStart w:id="30" w:name="irat-29-32-trat-20-which-of-the-following-is-not-a-main-component-of-helpful-feedback"/>
      <w:r>
        <w:t xml:space="preserve">iRAT 29-32 / tRAT 20: Which of the following is NOT a main component of helpful feedback</w:t>
      </w:r>
      <w:bookmarkEnd w:id="30"/>
    </w:p>
    <w:p>
      <w:pPr>
        <w:pStyle w:val="Compact"/>
        <w:numPr>
          <w:numId w:val="1008"/>
          <w:ilvl w:val="0"/>
        </w:numPr>
      </w:pPr>
      <w:r>
        <w:t xml:space="preserve">A: Helpful feedback is honest and sincere.</w:t>
      </w:r>
    </w:p>
    <w:p>
      <w:pPr>
        <w:pStyle w:val="Compact"/>
        <w:numPr>
          <w:numId w:val="1008"/>
          <w:ilvl w:val="0"/>
        </w:numPr>
      </w:pPr>
      <w:r>
        <w:t xml:space="preserve">B: Helpful feedback uses behavioral language, which speaks about one’s observations rather than one’s judgments.</w:t>
      </w:r>
    </w:p>
    <w:p>
      <w:pPr>
        <w:pStyle w:val="Compact"/>
        <w:numPr>
          <w:numId w:val="1008"/>
          <w:ilvl w:val="0"/>
        </w:numPr>
      </w:pPr>
      <w:r>
        <w:t xml:space="preserve">C: Helpful feedback describes the impact of the behaviors of the person receiving feedback.</w:t>
      </w:r>
    </w:p>
    <w:p>
      <w:pPr>
        <w:pStyle w:val="Compact"/>
        <w:numPr>
          <w:numId w:val="1008"/>
          <w:ilvl w:val="0"/>
        </w:numPr>
      </w:pPr>
      <w:r>
        <w:t xml:space="preserve">D: Helpful feedback is specific. It points out something specific the person receiving feedback did.</w:t>
      </w:r>
    </w:p>
    <w:p>
      <w:pPr>
        <w:pStyle w:val="Compact"/>
        <w:numPr>
          <w:numId w:val="1008"/>
          <w:ilvl w:val="0"/>
        </w:numPr>
      </w:pPr>
      <w:r>
        <w:t xml:space="preserve">E: Helpful feedback uses words that evaluate the work of the person receiving feedback.</w:t>
      </w:r>
    </w:p>
    <w:p>
      <w:pPr>
        <w:pStyle w:val="Heading3"/>
      </w:pPr>
      <w:bookmarkStart w:id="31" w:name="irat-33-36-trat-21-the-benefits-of-tbl-include-all-of-the-following-except"/>
      <w:r>
        <w:t xml:space="preserve">iRAT 33-36 / tRAT 21: The benefits of TBL include all of the following EXCEPT</w:t>
      </w:r>
      <w:bookmarkEnd w:id="31"/>
    </w:p>
    <w:p>
      <w:pPr>
        <w:pStyle w:val="Compact"/>
        <w:numPr>
          <w:numId w:val="1009"/>
          <w:ilvl w:val="0"/>
        </w:numPr>
      </w:pPr>
      <w:r>
        <w:t xml:space="preserve">A: The professor lectures more than in typical classes, so the students get more exposure to the professor’s words, thoughts, and mannerisms.</w:t>
      </w:r>
    </w:p>
    <w:p>
      <w:pPr>
        <w:pStyle w:val="Compact"/>
        <w:numPr>
          <w:numId w:val="1009"/>
          <w:ilvl w:val="0"/>
        </w:numPr>
      </w:pPr>
      <w:r>
        <w:t xml:space="preserve">B: More students (one per team) can simultaneously discuss course material rather than one student at a time in an ordinary full-class discussion.</w:t>
      </w:r>
    </w:p>
    <w:p>
      <w:pPr>
        <w:pStyle w:val="Compact"/>
        <w:numPr>
          <w:numId w:val="1009"/>
          <w:ilvl w:val="0"/>
        </w:numPr>
      </w:pPr>
      <w:r>
        <w:t xml:space="preserve">C: Students learn how to effectively solve problems as a team.</w:t>
      </w:r>
    </w:p>
    <w:p>
      <w:pPr>
        <w:pStyle w:val="Compact"/>
        <w:numPr>
          <w:numId w:val="1009"/>
          <w:ilvl w:val="0"/>
        </w:numPr>
      </w:pPr>
      <w:r>
        <w:t xml:space="preserve">D: Students advance beyond gaining knowledge to applying it to solve problems.</w:t>
      </w:r>
    </w:p>
    <w:p>
      <w:pPr>
        <w:pStyle w:val="Compact"/>
        <w:numPr>
          <w:numId w:val="1009"/>
          <w:ilvl w:val="0"/>
        </w:numPr>
      </w:pPr>
      <w:r>
        <w:t xml:space="preserve">E: If a student is struggling, teammates can help the student stay on track.</w:t>
      </w:r>
    </w:p>
    <w:p>
      <w:pPr>
        <w:pStyle w:val="Heading3"/>
      </w:pPr>
      <w:bookmarkStart w:id="32" w:name="irat-37-40-trat-22-the-individual-performance-component-contributes-the-least-to-your-final-grade"/>
      <w:r>
        <w:t xml:space="preserve">iRAT 37-40 / tRAT 22: The individual performance component contributes the least to your final grade</w:t>
      </w:r>
      <w:bookmarkEnd w:id="32"/>
    </w:p>
    <w:p>
      <w:pPr>
        <w:pStyle w:val="FirstParagraph"/>
      </w:pPr>
      <w:r>
        <w:t xml:space="preserve">A: True, B: False</w:t>
      </w:r>
    </w:p>
    <w:p>
      <w:pPr>
        <w:pStyle w:val="Heading3"/>
      </w:pPr>
      <w:bookmarkStart w:id="33" w:name="irat-41-44-trat-23-which-of-the-four-trees-below-depicts-a-different-pattern-of-relationships-than-the-others"/>
      <w:r>
        <w:t xml:space="preserve">iRAT 41-44 / tRAT 23: Which of the four trees below depicts a different pattern of relationships than the others?</w:t>
      </w:r>
      <w:bookmarkEnd w:id="33"/>
    </w:p>
    <w:p>
      <w:pPr>
        <w:pStyle w:val="FirstParagraph"/>
      </w:pPr>
      <w:r>
        <w:t xml:space="preserve">A: they are all the same, B:</w:t>
      </w:r>
      <w:r>
        <w:t xml:space="preserve"> </w:t>
      </w:r>
      <w:r>
        <w:drawing>
          <wp:inline>
            <wp:extent cx="1428750" cy="1094827"/>
            <wp:effectExtent b="0" l="0" r="0" t="0"/>
            <wp:docPr descr="" title="" id="1" name="Picture"/>
            <a:graphic>
              <a:graphicData uri="http://schemas.openxmlformats.org/drawingml/2006/picture">
                <pic:pic>
                  <pic:nvPicPr>
                    <pic:cNvPr descr="tree4.png" id="0" name="Picture"/>
                    <pic:cNvPicPr>
                      <a:picLocks noChangeArrowheads="1" noChangeAspect="1"/>
                    </pic:cNvPicPr>
                  </pic:nvPicPr>
                  <pic:blipFill>
                    <a:blip r:embed="rId34"/>
                    <a:stretch>
                      <a:fillRect/>
                    </a:stretch>
                  </pic:blipFill>
                  <pic:spPr bwMode="auto">
                    <a:xfrm>
                      <a:off x="0" y="0"/>
                      <a:ext cx="1428750" cy="1094827"/>
                    </a:xfrm>
                    <a:prstGeom prst="rect">
                      <a:avLst/>
                    </a:prstGeom>
                    <a:noFill/>
                    <a:ln w="9525">
                      <a:noFill/>
                      <a:headEnd/>
                      <a:tailEnd/>
                    </a:ln>
                  </pic:spPr>
                </pic:pic>
              </a:graphicData>
            </a:graphic>
          </wp:inline>
        </w:drawing>
      </w:r>
      <w:r>
        <w:t xml:space="preserve">, C:</w:t>
      </w:r>
      <w:r>
        <w:t xml:space="preserve"> </w:t>
      </w:r>
      <w:r>
        <w:drawing>
          <wp:inline>
            <wp:extent cx="1428750" cy="1055259"/>
            <wp:effectExtent b="0" l="0" r="0" t="0"/>
            <wp:docPr descr="" title="" id="1" name="Picture"/>
            <a:graphic>
              <a:graphicData uri="http://schemas.openxmlformats.org/drawingml/2006/picture">
                <pic:pic>
                  <pic:nvPicPr>
                    <pic:cNvPr descr="tree1.png" id="0" name="Picture"/>
                    <pic:cNvPicPr>
                      <a:picLocks noChangeArrowheads="1" noChangeAspect="1"/>
                    </pic:cNvPicPr>
                  </pic:nvPicPr>
                  <pic:blipFill>
                    <a:blip r:embed="rId35"/>
                    <a:stretch>
                      <a:fillRect/>
                    </a:stretch>
                  </pic:blipFill>
                  <pic:spPr bwMode="auto">
                    <a:xfrm>
                      <a:off x="0" y="0"/>
                      <a:ext cx="1428750" cy="1055259"/>
                    </a:xfrm>
                    <a:prstGeom prst="rect">
                      <a:avLst/>
                    </a:prstGeom>
                    <a:noFill/>
                    <a:ln w="9525">
                      <a:noFill/>
                      <a:headEnd/>
                      <a:tailEnd/>
                    </a:ln>
                  </pic:spPr>
                </pic:pic>
              </a:graphicData>
            </a:graphic>
          </wp:inline>
        </w:drawing>
      </w:r>
      <w:r>
        <w:t xml:space="preserve">, D:</w:t>
      </w:r>
      <w:r>
        <w:t xml:space="preserve"> </w:t>
      </w:r>
      <w:r>
        <w:drawing>
          <wp:inline>
            <wp:extent cx="1428750" cy="1135093"/>
            <wp:effectExtent b="0" l="0" r="0" t="0"/>
            <wp:docPr descr="" title="" id="1" name="Picture"/>
            <a:graphic>
              <a:graphicData uri="http://schemas.openxmlformats.org/drawingml/2006/picture">
                <pic:pic>
                  <pic:nvPicPr>
                    <pic:cNvPr descr="tree3.png" id="0" name="Picture"/>
                    <pic:cNvPicPr>
                      <a:picLocks noChangeArrowheads="1" noChangeAspect="1"/>
                    </pic:cNvPicPr>
                  </pic:nvPicPr>
                  <pic:blipFill>
                    <a:blip r:embed="rId36"/>
                    <a:stretch>
                      <a:fillRect/>
                    </a:stretch>
                  </pic:blipFill>
                  <pic:spPr bwMode="auto">
                    <a:xfrm>
                      <a:off x="0" y="0"/>
                      <a:ext cx="1428750" cy="1135093"/>
                    </a:xfrm>
                    <a:prstGeom prst="rect">
                      <a:avLst/>
                    </a:prstGeom>
                    <a:noFill/>
                    <a:ln w="9525">
                      <a:noFill/>
                      <a:headEnd/>
                      <a:tailEnd/>
                    </a:ln>
                  </pic:spPr>
                </pic:pic>
              </a:graphicData>
            </a:graphic>
          </wp:inline>
        </w:drawing>
      </w:r>
      <w:r>
        <w:t xml:space="preserve">, E:</w:t>
      </w:r>
      <w:r>
        <w:t xml:space="preserve"> </w:t>
      </w:r>
      <w:r>
        <w:drawing>
          <wp:inline>
            <wp:extent cx="1428750" cy="1038569"/>
            <wp:effectExtent b="0" l="0" r="0" t="0"/>
            <wp:docPr descr="" title="" id="1" name="Picture"/>
            <a:graphic>
              <a:graphicData uri="http://schemas.openxmlformats.org/drawingml/2006/picture">
                <pic:pic>
                  <pic:nvPicPr>
                    <pic:cNvPr descr="tree2.png" id="0" name="Picture"/>
                    <pic:cNvPicPr>
                      <a:picLocks noChangeArrowheads="1" noChangeAspect="1"/>
                    </pic:cNvPicPr>
                  </pic:nvPicPr>
                  <pic:blipFill>
                    <a:blip r:embed="rId37"/>
                    <a:stretch>
                      <a:fillRect/>
                    </a:stretch>
                  </pic:blipFill>
                  <pic:spPr bwMode="auto">
                    <a:xfrm>
                      <a:off x="0" y="0"/>
                      <a:ext cx="1428750" cy="1038569"/>
                    </a:xfrm>
                    <a:prstGeom prst="rect">
                      <a:avLst/>
                    </a:prstGeom>
                    <a:noFill/>
                    <a:ln w="9525">
                      <a:noFill/>
                      <a:headEnd/>
                      <a:tailEnd/>
                    </a:ln>
                  </pic:spPr>
                </pic:pic>
              </a:graphicData>
            </a:graphic>
          </wp:inline>
        </w:drawing>
      </w:r>
    </w:p>
    <w:p>
      <w:pPr>
        <w:pStyle w:val="Heading3"/>
      </w:pPr>
      <w:bookmarkStart w:id="38" w:name="irat-45-48-trat-24-the-overall-goals-for-this-course-include-all-of-the-following-except"/>
      <w:r>
        <w:t xml:space="preserve">iRAT 45-48 / tRAT 24: The overall goals for this course include all of the following EXCEPT</w:t>
      </w:r>
      <w:bookmarkEnd w:id="38"/>
    </w:p>
    <w:p>
      <w:pPr>
        <w:pStyle w:val="Compact"/>
        <w:numPr>
          <w:numId w:val="1010"/>
          <w:ilvl w:val="0"/>
        </w:numPr>
      </w:pPr>
      <w:r>
        <w:t xml:space="preserve">A: Improving your ability to read, synthesize, and critically evaluate geomicrobiology literature</w:t>
      </w:r>
    </w:p>
    <w:p>
      <w:pPr>
        <w:pStyle w:val="Compact"/>
        <w:numPr>
          <w:numId w:val="1010"/>
          <w:ilvl w:val="0"/>
        </w:numPr>
      </w:pPr>
      <w:r>
        <w:t xml:space="preserve">B: Gaining a broad understanding of the role of microbes on our planet</w:t>
      </w:r>
    </w:p>
    <w:p>
      <w:pPr>
        <w:pStyle w:val="Compact"/>
        <w:numPr>
          <w:numId w:val="1010"/>
          <w:ilvl w:val="0"/>
        </w:numPr>
      </w:pPr>
      <w:r>
        <w:t xml:space="preserve">C: Honing your critical thinking and problem solving skills</w:t>
      </w:r>
    </w:p>
    <w:p>
      <w:pPr>
        <w:pStyle w:val="Compact"/>
        <w:numPr>
          <w:numId w:val="1010"/>
          <w:ilvl w:val="0"/>
        </w:numPr>
      </w:pPr>
      <w:r>
        <w:t xml:space="preserve">D: Learning to become more extroverted and social</w:t>
      </w:r>
    </w:p>
    <w:p>
      <w:pPr>
        <w:pStyle w:val="Compact"/>
        <w:numPr>
          <w:numId w:val="1010"/>
          <w:ilvl w:val="0"/>
        </w:numPr>
      </w:pPr>
      <w:r>
        <w:t xml:space="preserve">E: Collaborating effectively with the members of your team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6" Target="media/rId36.png"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Readiness Assessment Test (RAT)</dc:title>
  <dc:creator/>
  <cp:keywords/>
  <dcterms:created xsi:type="dcterms:W3CDTF">2019-09-02T17:14:45Z</dcterms:created>
  <dcterms:modified xsi:type="dcterms:W3CDTF">2019-09-02T17:14:45Z</dcterms:modified>
</cp:coreProperties>
</file>