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b/>
          <w:color w:val="0F172A"/>
          <w:sz w:val="28"/>
        </w:rPr>
        <w:t>KOPERASI KARYAWAN ADARO KARYA MANDIRI</w:t>
        <w:br/>
      </w:r>
      <w:r>
        <w:rPr>
          <w:b/>
          <w:color w:val="334155"/>
          <w:sz w:val="19"/>
        </w:rPr>
        <w:t>Badan Hukum Nomor : 2128/BH/IX Tanggal 31 Juli 1995</w:t>
        <w:br/>
      </w:r>
      <w:r>
        <w:rPr>
          <w:color w:val="64748B"/>
          <w:sz w:val="17"/>
        </w:rPr>
        <w:t>Office : Jl. Jend. A. Yani Komp. Swadharma Jalur II Blok Mawar RT IV</w:t>
        <w:br/>
        <w:t>Kel. Mabuun, Kec. Murung Pudak, Kab. Tabalong, Prov. Kalimantan Selatan – Kode Pos 71571</w:t>
        <w:br/>
        <w:t>Telp/Fax: 0526 – 2023593 | Email: kopkar.adaro@gmail.com | Hotline: 0821-5238-6718</w:t>
        <w:br/>
      </w:r>
    </w:p>
    <w:p>
      <w:pPr>
        <w:spacing w:after="280"/>
        <w:pBdr>
          <w:bottom w:val="double" w:sz="18" w:space="1" w:color="0F172A"/>
        </w:pBdr>
      </w:pPr>
    </w:p>
    <w:tbl>
      <w:tblPr>
        <w:tblW w:type="auto" w:w="0"/>
        <w:jc w:val="center"/>
        <w:tblLayout w:type="fixed"/>
        <w:tblLook w:firstColumn="1" w:firstRow="1" w:lastColumn="0" w:lastRow="0" w:noHBand="0" w:noVBand="1" w:val="04A0"/>
      </w:tblPr>
      <w:tblGrid>
        <w:gridCol w:w="6480"/>
        <w:gridCol w:w="2880"/>
      </w:tblGrid>
      <w:tr>
        <w:tc>
          <w:tcPr>
            <w:tcW w:type="dxa" w:w="4658"/>
          </w:tcPr>
          <w:p>
            <w:pPr>
              <w:spacing w:after="20" w:line="252" w:lineRule="auto"/>
            </w:pPr>
            <w:r>
              <w:rPr>
                <w:b/>
                <w:sz w:val="19"/>
              </w:rPr>
              <w:t xml:space="preserve">Nomor     </w:t>
            </w:r>
            <w:r>
              <w:rPr>
                <w:sz w:val="19"/>
              </w:rPr>
              <w:t xml:space="preserve"> : 088/LAP-RISK/KOPKAR-AKM/VIII/2026</w:t>
            </w:r>
          </w:p>
        </w:tc>
        <w:tc>
          <w:tcPr>
            <w:tcW w:type="dxa" w:w="4658"/>
          </w:tcPr>
          <w:p>
            <w:pPr>
              <w:jc w:val="right"/>
            </w:pPr>
            <w:r>
              <w:rPr>
                <w:b/>
                <w:sz w:val="19"/>
              </w:rPr>
              <w:t>Tanjung, 30 Agustus 2026</w:t>
            </w:r>
          </w:p>
        </w:tc>
      </w:tr>
      <w:tr>
        <w:tc>
          <w:tcPr>
            <w:tcW w:type="dxa" w:w="4658"/>
          </w:tcPr>
          <w:p>
            <w:pPr>
              <w:spacing w:after="20" w:line="252" w:lineRule="auto"/>
            </w:pPr>
            <w:r>
              <w:rPr>
                <w:b/>
                <w:sz w:val="19"/>
              </w:rPr>
              <w:t xml:space="preserve">Sifat     </w:t>
            </w:r>
            <w:r>
              <w:rPr>
                <w:sz w:val="19"/>
              </w:rPr>
              <w:t xml:space="preserve"> : Rahasia &amp; Penting (Strictly Confidential)</w:t>
            </w:r>
          </w:p>
        </w:tc>
        <w:tc>
          <w:tcPr>
            <w:tcW w:type="dxa" w:w="4658"/>
          </w:tcPr>
          <w:p/>
        </w:tc>
      </w:tr>
      <w:tr>
        <w:tc>
          <w:tcPr>
            <w:tcW w:type="dxa" w:w="4658"/>
          </w:tcPr>
          <w:p>
            <w:pPr>
              <w:spacing w:after="20" w:line="252" w:lineRule="auto"/>
            </w:pPr>
            <w:r>
              <w:rPr>
                <w:b/>
                <w:sz w:val="19"/>
              </w:rPr>
              <w:t xml:space="preserve">Lampiran  </w:t>
            </w:r>
            <w:r>
              <w:rPr>
                <w:sz w:val="19"/>
              </w:rPr>
              <w:t xml:space="preserve"> : 1 (Satu) Berkas Rekapitulasi Data SIPEKAT</w:t>
            </w:r>
          </w:p>
        </w:tc>
        <w:tc>
          <w:tcPr>
            <w:tcW w:type="dxa" w:w="4658"/>
          </w:tcPr>
          <w:p/>
        </w:tc>
      </w:tr>
      <w:tr>
        <w:tc>
          <w:tcPr>
            <w:tcW w:type="dxa" w:w="4658"/>
          </w:tcPr>
          <w:p>
            <w:pPr>
              <w:spacing w:after="20" w:line="252" w:lineRule="auto"/>
            </w:pPr>
            <w:r>
              <w:rPr>
                <w:b/>
                <w:sz w:val="19"/>
              </w:rPr>
              <w:t xml:space="preserve">Perihal   </w:t>
            </w:r>
            <w:r>
              <w:rPr>
                <w:b/>
                <w:sz w:val="19"/>
              </w:rPr>
              <w:t xml:space="preserve"> : Laporan Penanganan Debitur Bermasalah, Pemetaan Risiko Kredit, dan Penegakan Disiplin PKB PT Adaro Indonesia</w:t>
            </w:r>
          </w:p>
        </w:tc>
        <w:tc>
          <w:tcPr>
            <w:tcW w:type="dxa" w:w="4658"/>
          </w:tcPr>
          <w:p/>
        </w:tc>
      </w:tr>
    </w:tbl>
    <w:p>
      <w:pPr>
        <w:spacing w:after="80"/>
      </w:pPr>
    </w:p>
    <w:p>
      <w:pPr>
        <w:spacing w:after="200" w:line="276" w:lineRule="auto"/>
      </w:pPr>
      <w:r>
        <w:rPr>
          <w:b/>
          <w:sz w:val="20"/>
        </w:rPr>
        <w:t>Kepada Yth.</w:t>
        <w:br/>
      </w:r>
      <w:r>
        <w:rPr>
          <w:sz w:val="19"/>
        </w:rPr>
        <w:t>1. Dewan Pengawas Koperasi Karyawan Adaro Karya Mandiri</w:t>
        <w:br/>
        <w:t>2. Head of Human Resources Management (HRM) PT Adaro Indonesia &amp; Mitra Kerja Terkait</w:t>
        <w:br/>
        <w:t>3. Seluruh Project Manager / Pimpinan Site (Kelanis, KM 73, SIS, MSW, dsb.)</w:t>
        <w:br/>
        <w:t>Di Tempat</w:t>
        <w:br/>
      </w:r>
    </w:p>
    <w:p>
      <w:pPr>
        <w:keepNext/>
        <w:spacing w:before="200" w:after="80"/>
        <w:pBdr>
          <w:bottom w:val="single" w:sz="6" w:space="2" w:color="3B82F6"/>
        </w:pBdr>
      </w:pPr>
      <w:r>
        <w:rPr>
          <w:b/>
          <w:color w:val="0F172A"/>
          <w:sz w:val="22"/>
        </w:rPr>
        <w:t>I. PENDAHULUAN &amp; RINGKASAN EKSEKUTIF</w:t>
      </w:r>
    </w:p>
    <w:p>
      <w:pPr>
        <w:jc w:val="both"/>
      </w:pPr>
      <w:r>
        <w:t>Dengan hormat,</w:t>
        <w:br/>
        <w:t>Sehubungan dengan pelaksanaan tata kelola perkoperasian yang sehat, akuntabel, dan berkeadilan, Pengurus Koperasi Karyawan Adaro Karya Mandiri menyampaikan laporan berkala mengenai evaluasi pengawasan kredit dan penagihan kewajiban anggota yang terindikasi mengalami kendala bayar (debitur bermasalah) berdasarkan hasil analitik aplikasi Sistem Pengawasan Kredit Anggota Terpadu (SIPEKAT) periode berjalan tahun 2026.</w:t>
      </w:r>
    </w:p>
    <w:p>
      <w:pPr>
        <w:keepNext/>
        <w:spacing w:before="200" w:after="80"/>
        <w:pBdr>
          <w:bottom w:val="single" w:sz="6" w:space="2" w:color="3B82F6"/>
        </w:pBdr>
      </w:pPr>
      <w:r>
        <w:rPr>
          <w:b/>
          <w:color w:val="0F172A"/>
          <w:sz w:val="22"/>
        </w:rPr>
        <w:t>II. LANDASAN HUKUM, REGULASI PEMERINTAH &amp; KETENTUAN PKB PT ADARO INDONESIA</w:t>
      </w:r>
    </w:p>
    <w:p>
      <w:pPr>
        <w:jc w:val="both"/>
      </w:pPr>
      <w:r>
        <w:t>Seluruh tata kelola perkreditan, mitigasi risiko penagihan, serta tindakan penyelesaian debitur bermasalah yang dilaksanakan oleh Pengurus Koperasi memiliki landasan hukum yang sah dan mengikat berdasarkan perundang-undangan dan PKB Perusahaan sebagai berikut:</w:t>
      </w:r>
    </w:p>
    <w:p>
      <w:pPr>
        <w:keepNext/>
        <w:spacing w:before="80" w:after="40"/>
      </w:pPr>
      <w:r>
        <w:rPr>
          <w:b/>
          <w:color w:val="1E3A8A"/>
          <w:sz w:val="19"/>
        </w:rPr>
        <w:t>1. Perjanjian Kerja Bersama (PKB) PT Adaro Indonesia Periode 2026–2028 (Pasal 58 Ayat 20)</w:t>
      </w:r>
    </w:p>
    <w:p>
      <w:pPr>
        <w:spacing w:after="80"/>
        <w:ind w:left="288"/>
        <w:jc w:val="both"/>
      </w:pPr>
      <w:r>
        <w:rPr>
          <w:color w:val="334155"/>
          <w:sz w:val="18"/>
        </w:rPr>
        <w:t>• Ketentuan Pelanggaran Disiplin Kerja: Merupakan bentuk pelanggaran tata tertib dan disiplin kerja tingkat berat apabila:</w:t>
        <w:br/>
        <w:t xml:space="preserve">  "Pekerja tidak membayar tunggakan atas: (i) pinjaman dari bank, (ii) pinjaman online, (iii) kartu kredit, atau (iv) pinjaman dari pihak lainnya sehingga menyebabkan pihak pemberi pinjaman (termasuk debt collector) mendatangi perusahaan untuk melakukan penagihan kepada pekerja yang bersangkutan."</w:t>
        <w:br/>
        <w:t>• Koperasi Karyawan sebagai mitra resmi dan bagian integral dari kesejahteraan pekerja memiliki hak dan legitimasi penuh untuk melaporkan debitur bermasalah/mangkir kepada Manajemen HRD guna penindakan disiplin sesuai PKB.</w:t>
      </w:r>
    </w:p>
    <w:p>
      <w:pPr>
        <w:keepNext/>
        <w:spacing w:before="80" w:after="40"/>
      </w:pPr>
      <w:r>
        <w:rPr>
          <w:b/>
          <w:color w:val="1E3A8A"/>
          <w:sz w:val="19"/>
        </w:rPr>
        <w:t>2. Undang-Undang Republik Indonesia Nomor 25 Tahun 1992 tentang Perkoperasian</w:t>
      </w:r>
    </w:p>
    <w:p>
      <w:pPr>
        <w:spacing w:after="80"/>
        <w:ind w:left="288"/>
        <w:jc w:val="both"/>
      </w:pPr>
      <w:r>
        <w:rPr>
          <w:color w:val="334155"/>
          <w:sz w:val="18"/>
        </w:rPr>
        <w:t>• Pasal 19 Ayat (1) &amp; (2): Anggota koperasi berkewajiban mematuhi Anggaran Dasar (AD), Anggaran Rumah Tangga (ART), serta keputusan yang disepakati dalam Rapat Anggota, termasuk melunasi seluruh kewajiban pinjaman.</w:t>
        <w:br/>
        <w:t>• Pasal 30 Ayat (1) Huruf b: Pengurus berwenang dan berkewajiban mengelola koperasi dan usahanya secara profesional serta mengamankan seluruh aset dan kekayaan koperasi dari potensi kerugian gagal bayar.</w:t>
        <w:br/>
        <w:t>• Pasal 44 Ayat (1): Koperasi menyalurkan pinjaman dari dan untuk anggota dengan prinsip kehati-hatian (prudential principle).</w:t>
      </w:r>
    </w:p>
    <w:p>
      <w:pPr>
        <w:keepNext/>
        <w:spacing w:before="80" w:after="40"/>
      </w:pPr>
      <w:r>
        <w:rPr>
          <w:b/>
          <w:color w:val="1E3A8A"/>
          <w:sz w:val="19"/>
        </w:rPr>
        <w:t>3. Peraturan Menteri Koperasi dan UKM RI Nomor 8 Tahun 2023 tentang Tata Kelola Usaha Simpan Pinjam</w:t>
      </w:r>
    </w:p>
    <w:p>
      <w:pPr>
        <w:spacing w:after="80"/>
        <w:ind w:left="288"/>
        <w:jc w:val="both"/>
      </w:pPr>
      <w:r>
        <w:rPr>
          <w:color w:val="334155"/>
          <w:sz w:val="18"/>
        </w:rPr>
        <w:t>• Pasal 15 s.d. Pasal 22: Mewajibkan Koperasi memiliki SOP Manajemen Risiko Kredit dan mengklasifikasikan pinjaman berdasarkan Kualitas Aktiva Produktif (KAP).</w:t>
        <w:br/>
        <w:t>• Standar Kolektibilitas: Lancar (Kol-1), Dalam Perhatian Khusus/Warning (Kol-2: 1-30 hari), Kurang Lancar/Bermasalah (Kol-3: 31-90 hari), Diragukan/Macet Total (Kol-4 &amp; 5: &gt;90 hari / ≥3 bulan).</w:t>
        <w:br/>
        <w:t>• Kewajiban Pembentukan Penyisihan Penghapusan Pinjaman (PPAP) untuk memitigasi risiko kredit macet.</w:t>
      </w:r>
    </w:p>
    <w:p>
      <w:pPr>
        <w:keepNext/>
        <w:spacing w:before="80" w:after="40"/>
      </w:pPr>
      <w:r>
        <w:rPr>
          <w:b/>
          <w:color w:val="1E3A8A"/>
          <w:sz w:val="19"/>
        </w:rPr>
        <w:t>4. Peraturan Pemerintah (PP) No. 36 Tahun 2021 tentang Pengupahan (Turunan UU Ketenagakerjaan)</w:t>
      </w:r>
    </w:p>
    <w:p>
      <w:pPr>
        <w:spacing w:after="80"/>
        <w:ind w:left="288"/>
        <w:jc w:val="both"/>
      </w:pPr>
      <w:r>
        <w:rPr>
          <w:color w:val="334155"/>
          <w:sz w:val="18"/>
        </w:rPr>
        <w:t>• Pasal 63 &amp; Pasal 64: Pemotongan upah pekerja untuk koperasi sah dengan Surat Kuasa Potong Gaji tertulis.</w:t>
        <w:br/>
        <w:t>• Pasal 65: Batas maksimal pemotongan upah adalah 50% dari upah yang diterima pekerja. Gagal autodebet karena batas upah tidak menghapus kewajiban perdata pekerja melunasi hutangnya.</w:t>
      </w:r>
    </w:p>
    <w:p>
      <w:pPr>
        <w:keepNext/>
        <w:spacing w:before="80" w:after="40"/>
      </w:pPr>
      <w:r>
        <w:rPr>
          <w:b/>
          <w:color w:val="1E3A8A"/>
          <w:sz w:val="19"/>
        </w:rPr>
        <w:t>5. Kitab Undang-Undang Hukum Perdata (KUHPerdata)</w:t>
      </w:r>
    </w:p>
    <w:p>
      <w:pPr>
        <w:spacing w:after="80"/>
        <w:ind w:left="288"/>
        <w:jc w:val="both"/>
      </w:pPr>
      <w:r>
        <w:rPr>
          <w:color w:val="334155"/>
          <w:sz w:val="18"/>
        </w:rPr>
        <w:t>• Pasal 1131 &amp; 1132 KUHPerdata: Segala kebendaan debitur menjadi tanggungan bersama untuk segala perikatan perdata hutang piutang.</w:t>
        <w:br/>
        <w:t>• Pasal 1425 s.d. 1435 KUHPerdata (Kompensasi / Perjumpaan Hutang): Koperasi berhak secara hukum melakukan perjumpaan hutang (offsetting) secara otomatis antara saldo Simpanan Sukarela debitur dengan pokok pinjaman yang tertunggak.</w:t>
      </w:r>
    </w:p>
    <w:p>
      <w:pPr>
        <w:keepNext/>
        <w:spacing w:before="200" w:after="80"/>
        <w:pBdr>
          <w:bottom w:val="single" w:sz="6" w:space="2" w:color="3B82F6"/>
        </w:pBdr>
      </w:pPr>
      <w:r>
        <w:rPr>
          <w:b/>
          <w:color w:val="0F172A"/>
          <w:sz w:val="22"/>
        </w:rPr>
        <w:t>III. PEMETAAN DATA KUADRAN SEBARAN RISIKO KREDIT (SIPEKAT)</w:t>
      </w:r>
    </w:p>
    <w:p>
      <w:pPr>
        <w:jc w:val="both"/>
      </w:pPr>
      <w:r>
        <w:t>Hasil pemetaan data analitik SIPEKAT per periode berjalan membagi debitur ke dalam Matriks 2 Dimensi (Lama Tunggakan × Tier Nilai Tagihan):</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553"/>
        <w:gridCol w:w="1553"/>
        <w:gridCol w:w="1553"/>
        <w:gridCol w:w="1553"/>
        <w:gridCol w:w="1553"/>
        <w:gridCol w:w="1553"/>
      </w:tblGrid>
      <w:tr>
        <w:tc>
          <w:tcPr>
            <w:tcW w:type="dxa" w:w="1553"/>
            <w:shd w:fill="1E293B"/>
            <w:tcMar>
              <w:top w:w="120" w:type="dxa"/>
              <w:bottom w:w="120" w:type="dxa"/>
              <w:left w:w="100" w:type="dxa"/>
              <w:right w:w="100" w:type="dxa"/>
            </w:tcMar>
          </w:tcPr>
          <w:p>
            <w:pPr>
              <w:jc w:val="center"/>
            </w:pPr>
            <w:r>
              <w:rPr>
                <w:b/>
                <w:color w:val="FFFFFF"/>
                <w:sz w:val="17"/>
              </w:rPr>
              <w:t>Lama Tunggakan</w:t>
            </w:r>
          </w:p>
        </w:tc>
        <w:tc>
          <w:tcPr>
            <w:tcW w:type="dxa" w:w="1553"/>
            <w:shd w:fill="1E293B"/>
            <w:tcMar>
              <w:top w:w="120" w:type="dxa"/>
              <w:bottom w:w="120" w:type="dxa"/>
              <w:left w:w="100" w:type="dxa"/>
              <w:right w:w="100" w:type="dxa"/>
            </w:tcMar>
          </w:tcPr>
          <w:p>
            <w:pPr>
              <w:jc w:val="center"/>
            </w:pPr>
            <w:r>
              <w:rPr>
                <w:b/>
                <w:color w:val="FFFFFF"/>
                <w:sz w:val="17"/>
              </w:rPr>
              <w:t>Tier 1: Mikro</w:t>
              <w:br/>
              <w:t>(&lt; 2 Jt)</w:t>
            </w:r>
          </w:p>
        </w:tc>
        <w:tc>
          <w:tcPr>
            <w:tcW w:type="dxa" w:w="1553"/>
            <w:shd w:fill="1E293B"/>
            <w:tcMar>
              <w:top w:w="120" w:type="dxa"/>
              <w:bottom w:w="120" w:type="dxa"/>
              <w:left w:w="100" w:type="dxa"/>
              <w:right w:w="100" w:type="dxa"/>
            </w:tcMar>
          </w:tcPr>
          <w:p>
            <w:pPr>
              <w:jc w:val="center"/>
            </w:pPr>
            <w:r>
              <w:rPr>
                <w:b/>
                <w:color w:val="FFFFFF"/>
                <w:sz w:val="17"/>
              </w:rPr>
              <w:t>Tier 2: Sedang</w:t>
              <w:br/>
              <w:t>(2 - 10 Jt)</w:t>
            </w:r>
          </w:p>
        </w:tc>
        <w:tc>
          <w:tcPr>
            <w:tcW w:type="dxa" w:w="1553"/>
            <w:shd w:fill="1E293B"/>
            <w:tcMar>
              <w:top w:w="120" w:type="dxa"/>
              <w:bottom w:w="120" w:type="dxa"/>
              <w:left w:w="100" w:type="dxa"/>
              <w:right w:w="100" w:type="dxa"/>
            </w:tcMar>
          </w:tcPr>
          <w:p>
            <w:pPr>
              <w:jc w:val="center"/>
            </w:pPr>
            <w:r>
              <w:rPr>
                <w:b/>
                <w:color w:val="FFFFFF"/>
                <w:sz w:val="17"/>
              </w:rPr>
              <w:t>Tier 3: Tinggi</w:t>
              <w:br/>
              <w:t>(10 - 25 Jt)</w:t>
            </w:r>
          </w:p>
        </w:tc>
        <w:tc>
          <w:tcPr>
            <w:tcW w:type="dxa" w:w="1553"/>
            <w:shd w:fill="1E293B"/>
            <w:tcMar>
              <w:top w:w="120" w:type="dxa"/>
              <w:bottom w:w="120" w:type="dxa"/>
              <w:left w:w="100" w:type="dxa"/>
              <w:right w:w="100" w:type="dxa"/>
            </w:tcMar>
          </w:tcPr>
          <w:p>
            <w:pPr>
              <w:jc w:val="center"/>
            </w:pPr>
            <w:r>
              <w:rPr>
                <w:b/>
                <w:color w:val="FFFFFF"/>
                <w:sz w:val="17"/>
              </w:rPr>
              <w:t>Tier 4: Kritis</w:t>
              <w:br/>
              <w:t>(&gt; 25 Jt)</w:t>
            </w:r>
          </w:p>
        </w:tc>
        <w:tc>
          <w:tcPr>
            <w:tcW w:type="dxa" w:w="1553"/>
            <w:shd w:fill="1E293B"/>
            <w:tcMar>
              <w:top w:w="120" w:type="dxa"/>
              <w:bottom w:w="120" w:type="dxa"/>
              <w:left w:w="100" w:type="dxa"/>
              <w:right w:w="100" w:type="dxa"/>
            </w:tcMar>
          </w:tcPr>
          <w:p>
            <w:pPr>
              <w:jc w:val="center"/>
            </w:pPr>
            <w:r>
              <w:rPr>
                <w:b/>
                <w:color w:val="FFFFFF"/>
                <w:sz w:val="17"/>
              </w:rPr>
              <w:t>Total Debitur</w:t>
            </w:r>
          </w:p>
        </w:tc>
      </w:tr>
      <w:tr>
        <w:tc>
          <w:tcPr>
            <w:tcW w:type="dxa" w:w="1553"/>
            <w:shd w:fill="FEF2F2"/>
            <w:tcMar>
              <w:top w:w="100" w:type="dxa"/>
              <w:bottom w:w="100" w:type="dxa"/>
              <w:left w:w="100" w:type="dxa"/>
              <w:right w:w="100" w:type="dxa"/>
            </w:tcMar>
          </w:tcPr>
          <w:p>
            <w:pPr>
              <w:jc w:val="left"/>
            </w:pPr>
            <w:r>
              <w:rPr>
                <w:b/>
                <w:color w:val="991B1B"/>
                <w:sz w:val="17"/>
              </w:rPr>
              <w:t>≥ 3 Bulan (Kronis / Macet)</w:t>
            </w:r>
          </w:p>
        </w:tc>
        <w:tc>
          <w:tcPr>
            <w:tcW w:type="dxa" w:w="1553"/>
            <w:shd w:fill="FEF2F2"/>
            <w:tcMar>
              <w:top w:w="100" w:type="dxa"/>
              <w:bottom w:w="100" w:type="dxa"/>
              <w:left w:w="100" w:type="dxa"/>
              <w:right w:w="100" w:type="dxa"/>
            </w:tcMar>
          </w:tcPr>
          <w:p>
            <w:pPr>
              <w:jc w:val="center"/>
            </w:pPr>
            <w:r>
              <w:rPr>
                <w:sz w:val="17"/>
              </w:rPr>
              <w:t>5 Org (P3)</w:t>
            </w:r>
          </w:p>
        </w:tc>
        <w:tc>
          <w:tcPr>
            <w:tcW w:type="dxa" w:w="1553"/>
            <w:shd w:fill="FEF2F2"/>
            <w:tcMar>
              <w:top w:w="100" w:type="dxa"/>
              <w:bottom w:w="100" w:type="dxa"/>
              <w:left w:w="100" w:type="dxa"/>
              <w:right w:w="100" w:type="dxa"/>
            </w:tcMar>
          </w:tcPr>
          <w:p>
            <w:pPr>
              <w:jc w:val="center"/>
            </w:pPr>
            <w:r>
              <w:rPr>
                <w:sz w:val="17"/>
              </w:rPr>
              <w:t>24 Org (P2)</w:t>
            </w:r>
          </w:p>
        </w:tc>
        <w:tc>
          <w:tcPr>
            <w:tcW w:type="dxa" w:w="1553"/>
            <w:shd w:fill="FEF2F2"/>
            <w:tcMar>
              <w:top w:w="100" w:type="dxa"/>
              <w:bottom w:w="100" w:type="dxa"/>
              <w:left w:w="100" w:type="dxa"/>
              <w:right w:w="100" w:type="dxa"/>
            </w:tcMar>
          </w:tcPr>
          <w:p>
            <w:pPr>
              <w:jc w:val="center"/>
            </w:pPr>
            <w:r>
              <w:rPr>
                <w:b/>
                <w:color w:val="991B1B"/>
                <w:sz w:val="17"/>
              </w:rPr>
              <w:t>27 Org (🚨 P1)</w:t>
            </w:r>
          </w:p>
        </w:tc>
        <w:tc>
          <w:tcPr>
            <w:tcW w:type="dxa" w:w="1553"/>
            <w:shd w:fill="FEF2F2"/>
            <w:tcMar>
              <w:top w:w="100" w:type="dxa"/>
              <w:bottom w:w="100" w:type="dxa"/>
              <w:left w:w="100" w:type="dxa"/>
              <w:right w:w="100" w:type="dxa"/>
            </w:tcMar>
          </w:tcPr>
          <w:p>
            <w:pPr>
              <w:jc w:val="center"/>
            </w:pPr>
            <w:r>
              <w:rPr>
                <w:b/>
                <w:color w:val="991B1B"/>
                <w:sz w:val="17"/>
              </w:rPr>
              <w:t>17 Org (🚨 P1)</w:t>
            </w:r>
          </w:p>
        </w:tc>
        <w:tc>
          <w:tcPr>
            <w:tcW w:type="dxa" w:w="1553"/>
            <w:shd w:fill="FEF2F2"/>
            <w:tcMar>
              <w:top w:w="100" w:type="dxa"/>
              <w:bottom w:w="100" w:type="dxa"/>
              <w:left w:w="100" w:type="dxa"/>
              <w:right w:w="100" w:type="dxa"/>
            </w:tcMar>
          </w:tcPr>
          <w:p>
            <w:pPr>
              <w:jc w:val="center"/>
            </w:pPr>
            <w:r>
              <w:rPr>
                <w:b/>
                <w:sz w:val="17"/>
              </w:rPr>
              <w:t>73 Orang</w:t>
            </w:r>
          </w:p>
        </w:tc>
      </w:tr>
      <w:tr>
        <w:tc>
          <w:tcPr>
            <w:tcW w:type="dxa" w:w="1553"/>
            <w:shd w:fill="FFFFFF"/>
            <w:tcMar>
              <w:top w:w="100" w:type="dxa"/>
              <w:bottom w:w="100" w:type="dxa"/>
              <w:left w:w="100" w:type="dxa"/>
              <w:right w:w="100" w:type="dxa"/>
            </w:tcMar>
          </w:tcPr>
          <w:p>
            <w:pPr>
              <w:jc w:val="left"/>
            </w:pPr>
            <w:r>
              <w:rPr>
                <w:sz w:val="17"/>
              </w:rPr>
              <w:t>2 Bulan (Bermasalah)</w:t>
            </w:r>
          </w:p>
        </w:tc>
        <w:tc>
          <w:tcPr>
            <w:tcW w:type="dxa" w:w="1553"/>
            <w:shd w:fill="FFFFFF"/>
            <w:tcMar>
              <w:top w:w="100" w:type="dxa"/>
              <w:bottom w:w="100" w:type="dxa"/>
              <w:left w:w="100" w:type="dxa"/>
              <w:right w:w="100" w:type="dxa"/>
            </w:tcMar>
          </w:tcPr>
          <w:p>
            <w:pPr>
              <w:jc w:val="center"/>
            </w:pPr>
            <w:r>
              <w:rPr>
                <w:sz w:val="17"/>
              </w:rPr>
              <w:t>5 Org (P4)</w:t>
            </w:r>
          </w:p>
        </w:tc>
        <w:tc>
          <w:tcPr>
            <w:tcW w:type="dxa" w:w="1553"/>
            <w:shd w:fill="FFFFFF"/>
            <w:tcMar>
              <w:top w:w="100" w:type="dxa"/>
              <w:bottom w:w="100" w:type="dxa"/>
              <w:left w:w="100" w:type="dxa"/>
              <w:right w:w="100" w:type="dxa"/>
            </w:tcMar>
          </w:tcPr>
          <w:p>
            <w:pPr>
              <w:jc w:val="center"/>
            </w:pPr>
            <w:r>
              <w:rPr>
                <w:sz w:val="17"/>
              </w:rPr>
              <w:t>7 Org (P3)</w:t>
            </w:r>
          </w:p>
        </w:tc>
        <w:tc>
          <w:tcPr>
            <w:tcW w:type="dxa" w:w="1553"/>
            <w:shd w:fill="FFFFFF"/>
            <w:tcMar>
              <w:top w:w="100" w:type="dxa"/>
              <w:bottom w:w="100" w:type="dxa"/>
              <w:left w:w="100" w:type="dxa"/>
              <w:right w:w="100" w:type="dxa"/>
            </w:tcMar>
          </w:tcPr>
          <w:p>
            <w:pPr>
              <w:jc w:val="center"/>
            </w:pPr>
            <w:r>
              <w:rPr>
                <w:sz w:val="17"/>
              </w:rPr>
              <w:t>0 Org (P2)</w:t>
            </w:r>
          </w:p>
        </w:tc>
        <w:tc>
          <w:tcPr>
            <w:tcW w:type="dxa" w:w="1553"/>
            <w:shd w:fill="FFFFFF"/>
            <w:tcMar>
              <w:top w:w="100" w:type="dxa"/>
              <w:bottom w:w="100" w:type="dxa"/>
              <w:left w:w="100" w:type="dxa"/>
              <w:right w:w="100" w:type="dxa"/>
            </w:tcMar>
          </w:tcPr>
          <w:p>
            <w:pPr>
              <w:jc w:val="center"/>
            </w:pPr>
            <w:r>
              <w:rPr>
                <w:b/>
                <w:color w:val="991B1B"/>
                <w:sz w:val="17"/>
              </w:rPr>
              <w:t>1 Org (🚨 P1)</w:t>
            </w:r>
          </w:p>
        </w:tc>
        <w:tc>
          <w:tcPr>
            <w:tcW w:type="dxa" w:w="1553"/>
            <w:shd w:fill="FFFFFF"/>
            <w:tcMar>
              <w:top w:w="100" w:type="dxa"/>
              <w:bottom w:w="100" w:type="dxa"/>
              <w:left w:w="100" w:type="dxa"/>
              <w:right w:w="100" w:type="dxa"/>
            </w:tcMar>
          </w:tcPr>
          <w:p>
            <w:pPr>
              <w:jc w:val="center"/>
            </w:pPr>
            <w:r>
              <w:rPr>
                <w:b/>
                <w:sz w:val="17"/>
              </w:rPr>
              <w:t>13 Orang</w:t>
            </w:r>
          </w:p>
        </w:tc>
      </w:tr>
      <w:tr>
        <w:tc>
          <w:tcPr>
            <w:tcW w:type="dxa" w:w="1553"/>
            <w:shd w:fill="F8FAFC"/>
            <w:tcMar>
              <w:top w:w="100" w:type="dxa"/>
              <w:bottom w:w="100" w:type="dxa"/>
              <w:left w:w="100" w:type="dxa"/>
              <w:right w:w="100" w:type="dxa"/>
            </w:tcMar>
          </w:tcPr>
          <w:p>
            <w:pPr>
              <w:jc w:val="left"/>
            </w:pPr>
            <w:r>
              <w:rPr>
                <w:sz w:val="17"/>
              </w:rPr>
              <w:t>1 Bulan (Warning Berjalan)</w:t>
            </w:r>
          </w:p>
        </w:tc>
        <w:tc>
          <w:tcPr>
            <w:tcW w:type="dxa" w:w="1553"/>
            <w:shd w:fill="F8FAFC"/>
            <w:tcMar>
              <w:top w:w="100" w:type="dxa"/>
              <w:bottom w:w="100" w:type="dxa"/>
              <w:left w:w="100" w:type="dxa"/>
              <w:right w:w="100" w:type="dxa"/>
            </w:tcMar>
          </w:tcPr>
          <w:p>
            <w:pPr>
              <w:jc w:val="center"/>
            </w:pPr>
            <w:r>
              <w:rPr>
                <w:sz w:val="17"/>
              </w:rPr>
              <w:t>12 Org (P4)</w:t>
            </w:r>
          </w:p>
        </w:tc>
        <w:tc>
          <w:tcPr>
            <w:tcW w:type="dxa" w:w="1553"/>
            <w:shd w:fill="F8FAFC"/>
            <w:tcMar>
              <w:top w:w="100" w:type="dxa"/>
              <w:bottom w:w="100" w:type="dxa"/>
              <w:left w:w="100" w:type="dxa"/>
              <w:right w:w="100" w:type="dxa"/>
            </w:tcMar>
          </w:tcPr>
          <w:p>
            <w:pPr>
              <w:jc w:val="center"/>
            </w:pPr>
            <w:r>
              <w:rPr>
                <w:sz w:val="17"/>
              </w:rPr>
              <w:t>8 Org (P4)</w:t>
            </w:r>
          </w:p>
        </w:tc>
        <w:tc>
          <w:tcPr>
            <w:tcW w:type="dxa" w:w="1553"/>
            <w:shd w:fill="F8FAFC"/>
            <w:tcMar>
              <w:top w:w="100" w:type="dxa"/>
              <w:bottom w:w="100" w:type="dxa"/>
              <w:left w:w="100" w:type="dxa"/>
              <w:right w:w="100" w:type="dxa"/>
            </w:tcMar>
          </w:tcPr>
          <w:p>
            <w:pPr>
              <w:jc w:val="center"/>
            </w:pPr>
            <w:r>
              <w:rPr>
                <w:sz w:val="17"/>
              </w:rPr>
              <w:t>0 Org (P3)</w:t>
            </w:r>
          </w:p>
        </w:tc>
        <w:tc>
          <w:tcPr>
            <w:tcW w:type="dxa" w:w="1553"/>
            <w:shd w:fill="F8FAFC"/>
            <w:tcMar>
              <w:top w:w="100" w:type="dxa"/>
              <w:bottom w:w="100" w:type="dxa"/>
              <w:left w:w="100" w:type="dxa"/>
              <w:right w:w="100" w:type="dxa"/>
            </w:tcMar>
          </w:tcPr>
          <w:p>
            <w:pPr>
              <w:jc w:val="center"/>
            </w:pPr>
            <w:r>
              <w:rPr>
                <w:sz w:val="17"/>
              </w:rPr>
              <w:t>0 Org (P2)</w:t>
            </w:r>
          </w:p>
        </w:tc>
        <w:tc>
          <w:tcPr>
            <w:tcW w:type="dxa" w:w="1553"/>
            <w:shd w:fill="F8FAFC"/>
            <w:tcMar>
              <w:top w:w="100" w:type="dxa"/>
              <w:bottom w:w="100" w:type="dxa"/>
              <w:left w:w="100" w:type="dxa"/>
              <w:right w:w="100" w:type="dxa"/>
            </w:tcMar>
          </w:tcPr>
          <w:p>
            <w:pPr>
              <w:jc w:val="center"/>
            </w:pPr>
            <w:r>
              <w:rPr>
                <w:b/>
                <w:sz w:val="17"/>
              </w:rPr>
              <w:t>20 Orang</w:t>
            </w:r>
          </w:p>
        </w:tc>
      </w:tr>
      <w:tr>
        <w:tc>
          <w:tcPr>
            <w:tcW w:type="dxa" w:w="1553"/>
            <w:shd w:fill="F0FDF4"/>
            <w:tcMar>
              <w:top w:w="100" w:type="dxa"/>
              <w:bottom w:w="100" w:type="dxa"/>
              <w:left w:w="100" w:type="dxa"/>
              <w:right w:w="100" w:type="dxa"/>
            </w:tcMar>
          </w:tcPr>
          <w:p>
            <w:pPr>
              <w:jc w:val="left"/>
            </w:pPr>
            <w:r>
              <w:rPr>
                <w:sz w:val="17"/>
              </w:rPr>
              <w:t>0 Bulan (Lancar &amp; Tertib)</w:t>
            </w:r>
          </w:p>
        </w:tc>
        <w:tc>
          <w:tcPr>
            <w:tcW w:type="dxa" w:w="1553"/>
            <w:shd w:fill="F0FDF4"/>
            <w:tcMar>
              <w:top w:w="100" w:type="dxa"/>
              <w:bottom w:w="100" w:type="dxa"/>
              <w:left w:w="100" w:type="dxa"/>
              <w:right w:w="100" w:type="dxa"/>
            </w:tcMar>
          </w:tcPr>
          <w:p>
            <w:pPr>
              <w:jc w:val="center"/>
            </w:pPr>
            <w:r>
              <w:rPr>
                <w:sz w:val="17"/>
              </w:rPr>
              <w:t>-</w:t>
            </w:r>
          </w:p>
        </w:tc>
        <w:tc>
          <w:tcPr>
            <w:tcW w:type="dxa" w:w="1553"/>
            <w:shd w:fill="F0FDF4"/>
            <w:tcMar>
              <w:top w:w="100" w:type="dxa"/>
              <w:bottom w:w="100" w:type="dxa"/>
              <w:left w:w="100" w:type="dxa"/>
              <w:right w:w="100" w:type="dxa"/>
            </w:tcMar>
          </w:tcPr>
          <w:p>
            <w:pPr>
              <w:jc w:val="center"/>
            </w:pPr>
            <w:r>
              <w:rPr>
                <w:sz w:val="17"/>
              </w:rPr>
              <w:t>-</w:t>
            </w:r>
          </w:p>
        </w:tc>
        <w:tc>
          <w:tcPr>
            <w:tcW w:type="dxa" w:w="1553"/>
            <w:shd w:fill="F0FDF4"/>
            <w:tcMar>
              <w:top w:w="100" w:type="dxa"/>
              <w:bottom w:w="100" w:type="dxa"/>
              <w:left w:w="100" w:type="dxa"/>
              <w:right w:w="100" w:type="dxa"/>
            </w:tcMar>
          </w:tcPr>
          <w:p>
            <w:pPr>
              <w:jc w:val="center"/>
            </w:pPr>
            <w:r>
              <w:rPr>
                <w:sz w:val="17"/>
              </w:rPr>
              <w:t>-</w:t>
            </w:r>
          </w:p>
        </w:tc>
        <w:tc>
          <w:tcPr>
            <w:tcW w:type="dxa" w:w="1553"/>
            <w:shd w:fill="F0FDF4"/>
            <w:tcMar>
              <w:top w:w="100" w:type="dxa"/>
              <w:bottom w:w="100" w:type="dxa"/>
              <w:left w:w="100" w:type="dxa"/>
              <w:right w:w="100" w:type="dxa"/>
            </w:tcMar>
          </w:tcPr>
          <w:p>
            <w:pPr>
              <w:jc w:val="center"/>
            </w:pPr>
            <w:r>
              <w:rPr>
                <w:sz w:val="17"/>
              </w:rPr>
              <w:t>-</w:t>
            </w:r>
          </w:p>
        </w:tc>
        <w:tc>
          <w:tcPr>
            <w:tcW w:type="dxa" w:w="1553"/>
            <w:shd w:fill="F0FDF4"/>
            <w:tcMar>
              <w:top w:w="100" w:type="dxa"/>
              <w:bottom w:w="100" w:type="dxa"/>
              <w:left w:w="100" w:type="dxa"/>
              <w:right w:w="100" w:type="dxa"/>
            </w:tcMar>
          </w:tcPr>
          <w:p>
            <w:pPr>
              <w:jc w:val="center"/>
            </w:pPr>
            <w:r>
              <w:rPr>
                <w:b/>
                <w:sz w:val="17"/>
              </w:rPr>
              <w:t>1 Orang</w:t>
            </w:r>
          </w:p>
        </w:tc>
      </w:tr>
    </w:tbl>
    <w:p>
      <w:pPr>
        <w:spacing w:after="120"/>
      </w:pPr>
    </w:p>
    <w:p>
      <w:pPr>
        <w:keepNext/>
        <w:spacing w:before="200" w:after="80"/>
        <w:pBdr>
          <w:bottom w:val="single" w:sz="6" w:space="2" w:color="3B82F6"/>
        </w:pBdr>
      </w:pPr>
      <w:r>
        <w:rPr>
          <w:b/>
          <w:color w:val="0F172A"/>
          <w:sz w:val="22"/>
        </w:rPr>
        <w:t>IV. KLASIFIKASI PRIORITAS TINDAKAN &amp; PERLINDUNGAN DEBITUR MIKRO</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863"/>
        <w:gridCol w:w="1863"/>
        <w:gridCol w:w="1863"/>
        <w:gridCol w:w="1863"/>
        <w:gridCol w:w="1863"/>
      </w:tblGrid>
      <w:tr>
        <w:tc>
          <w:tcPr>
            <w:tcW w:type="dxa" w:w="1863"/>
            <w:shd w:fill="0F172A"/>
            <w:tcMar>
              <w:top w:w="120" w:type="dxa"/>
              <w:bottom w:w="120" w:type="dxa"/>
              <w:left w:w="100" w:type="dxa"/>
              <w:right w:w="100" w:type="dxa"/>
            </w:tcMar>
          </w:tcPr>
          <w:p>
            <w:pPr>
              <w:jc w:val="center"/>
            </w:pPr>
            <w:r>
              <w:rPr>
                <w:b/>
                <w:color w:val="FFFFFF"/>
                <w:sz w:val="17"/>
              </w:rPr>
              <w:t>Kode</w:t>
            </w:r>
          </w:p>
        </w:tc>
        <w:tc>
          <w:tcPr>
            <w:tcW w:type="dxa" w:w="1863"/>
            <w:shd w:fill="0F172A"/>
            <w:tcMar>
              <w:top w:w="120" w:type="dxa"/>
              <w:bottom w:w="120" w:type="dxa"/>
              <w:left w:w="100" w:type="dxa"/>
              <w:right w:w="100" w:type="dxa"/>
            </w:tcMar>
          </w:tcPr>
          <w:p>
            <w:pPr>
              <w:jc w:val="center"/>
            </w:pPr>
            <w:r>
              <w:rPr>
                <w:b/>
                <w:color w:val="FFFFFF"/>
                <w:sz w:val="17"/>
              </w:rPr>
              <w:t>Klasifikasi Tindakan</w:t>
            </w:r>
          </w:p>
        </w:tc>
        <w:tc>
          <w:tcPr>
            <w:tcW w:type="dxa" w:w="1863"/>
            <w:shd w:fill="0F172A"/>
            <w:tcMar>
              <w:top w:w="120" w:type="dxa"/>
              <w:bottom w:w="120" w:type="dxa"/>
              <w:left w:w="100" w:type="dxa"/>
              <w:right w:w="100" w:type="dxa"/>
            </w:tcMar>
          </w:tcPr>
          <w:p>
            <w:pPr>
              <w:jc w:val="center"/>
            </w:pPr>
            <w:r>
              <w:rPr>
                <w:b/>
                <w:color w:val="FFFFFF"/>
                <w:sz w:val="17"/>
              </w:rPr>
              <w:t>Kriteria Matriks</w:t>
            </w:r>
          </w:p>
        </w:tc>
        <w:tc>
          <w:tcPr>
            <w:tcW w:type="dxa" w:w="1863"/>
            <w:shd w:fill="0F172A"/>
            <w:tcMar>
              <w:top w:w="120" w:type="dxa"/>
              <w:bottom w:w="120" w:type="dxa"/>
              <w:left w:w="100" w:type="dxa"/>
              <w:right w:w="100" w:type="dxa"/>
            </w:tcMar>
          </w:tcPr>
          <w:p>
            <w:pPr>
              <w:jc w:val="center"/>
            </w:pPr>
            <w:r>
              <w:rPr>
                <w:b/>
                <w:color w:val="FFFFFF"/>
                <w:sz w:val="17"/>
              </w:rPr>
              <w:t>Status Surat Peringatan</w:t>
            </w:r>
          </w:p>
        </w:tc>
        <w:tc>
          <w:tcPr>
            <w:tcW w:type="dxa" w:w="1863"/>
            <w:shd w:fill="0F172A"/>
            <w:tcMar>
              <w:top w:w="120" w:type="dxa"/>
              <w:bottom w:w="120" w:type="dxa"/>
              <w:left w:w="100" w:type="dxa"/>
              <w:right w:w="100" w:type="dxa"/>
            </w:tcMar>
          </w:tcPr>
          <w:p>
            <w:pPr>
              <w:jc w:val="center"/>
            </w:pPr>
            <w:r>
              <w:rPr>
                <w:b/>
                <w:color w:val="FFFFFF"/>
                <w:sz w:val="17"/>
              </w:rPr>
              <w:t>SOP Penanganan</w:t>
            </w:r>
          </w:p>
        </w:tc>
      </w:tr>
      <w:tr>
        <w:tc>
          <w:tcPr>
            <w:tcW w:type="dxa" w:w="1863"/>
            <w:shd w:fill="FEF2F2"/>
            <w:tcMar>
              <w:top w:w="100" w:type="dxa"/>
              <w:bottom w:w="100" w:type="dxa"/>
              <w:left w:w="100" w:type="dxa"/>
              <w:right w:w="100" w:type="dxa"/>
            </w:tcMar>
          </w:tcPr>
          <w:p>
            <w:pPr>
              <w:jc w:val="center"/>
            </w:pPr>
            <w:r>
              <w:rPr>
                <w:b/>
                <w:sz w:val="17"/>
              </w:rPr>
              <w:t>P1</w:t>
            </w:r>
          </w:p>
        </w:tc>
        <w:tc>
          <w:tcPr>
            <w:tcW w:type="dxa" w:w="1863"/>
            <w:shd w:fill="FEF2F2"/>
            <w:tcMar>
              <w:top w:w="100" w:type="dxa"/>
              <w:bottom w:w="100" w:type="dxa"/>
              <w:left w:w="100" w:type="dxa"/>
              <w:right w:w="100" w:type="dxa"/>
            </w:tcMar>
          </w:tcPr>
          <w:p>
            <w:pPr>
              <w:jc w:val="left"/>
            </w:pPr>
            <w:r>
              <w:rPr>
                <w:sz w:val="17"/>
              </w:rPr>
              <w:t>🚨 Darurat / Eskalasi Keras</w:t>
            </w:r>
          </w:p>
        </w:tc>
        <w:tc>
          <w:tcPr>
            <w:tcW w:type="dxa" w:w="1863"/>
            <w:shd w:fill="FEF2F2"/>
            <w:tcMar>
              <w:top w:w="100" w:type="dxa"/>
              <w:bottom w:w="100" w:type="dxa"/>
              <w:left w:w="100" w:type="dxa"/>
              <w:right w:w="100" w:type="dxa"/>
            </w:tcMar>
          </w:tcPr>
          <w:p>
            <w:pPr>
              <w:jc w:val="left"/>
            </w:pPr>
            <w:r>
              <w:rPr>
                <w:sz w:val="17"/>
              </w:rPr>
              <w:t>≥3 Bln (Tier 3 &amp; 4)</w:t>
              <w:br/>
              <w:t>atau 2 Bln (Tier 4)</w:t>
            </w:r>
          </w:p>
        </w:tc>
        <w:tc>
          <w:tcPr>
            <w:tcW w:type="dxa" w:w="1863"/>
            <w:shd w:fill="FEF2F2"/>
            <w:tcMar>
              <w:top w:w="100" w:type="dxa"/>
              <w:bottom w:w="100" w:type="dxa"/>
              <w:left w:w="100" w:type="dxa"/>
              <w:right w:w="100" w:type="dxa"/>
            </w:tcMar>
          </w:tcPr>
          <w:p>
            <w:pPr>
              <w:jc w:val="center"/>
            </w:pPr>
            <w:r>
              <w:rPr>
                <w:b/>
                <w:color w:val="DC2626"/>
                <w:sz w:val="17"/>
              </w:rPr>
              <w:t>📜 Wajib Terbit SP Keras &amp; Panggilan HR</w:t>
            </w:r>
          </w:p>
        </w:tc>
        <w:tc>
          <w:tcPr>
            <w:tcW w:type="dxa" w:w="1863"/>
            <w:shd w:fill="FEF2F2"/>
            <w:tcMar>
              <w:top w:w="100" w:type="dxa"/>
              <w:bottom w:w="100" w:type="dxa"/>
              <w:left w:w="100" w:type="dxa"/>
              <w:right w:w="100" w:type="dxa"/>
            </w:tcMar>
          </w:tcPr>
          <w:p>
            <w:pPr>
              <w:jc w:val="left"/>
            </w:pPr>
            <w:r>
              <w:rPr>
                <w:b/>
                <w:color w:val="DC2626"/>
                <w:sz w:val="17"/>
              </w:rPr>
              <w:t>Penerbitan SP Keras, pemanggilan langsung bersama HRD, penegakan Pasal 58 Ayat 20 PKB, serta penahanan hak kompensasi.</w:t>
            </w:r>
          </w:p>
        </w:tc>
      </w:tr>
      <w:tr>
        <w:tc>
          <w:tcPr>
            <w:tcW w:type="dxa" w:w="1863"/>
            <w:shd w:fill="FFFFFF"/>
            <w:tcMar>
              <w:top w:w="100" w:type="dxa"/>
              <w:bottom w:w="100" w:type="dxa"/>
              <w:left w:w="100" w:type="dxa"/>
              <w:right w:w="100" w:type="dxa"/>
            </w:tcMar>
          </w:tcPr>
          <w:p>
            <w:pPr>
              <w:jc w:val="center"/>
            </w:pPr>
            <w:r>
              <w:rPr>
                <w:b/>
                <w:sz w:val="17"/>
              </w:rPr>
              <w:t>P2</w:t>
            </w:r>
          </w:p>
        </w:tc>
        <w:tc>
          <w:tcPr>
            <w:tcW w:type="dxa" w:w="1863"/>
            <w:shd w:fill="FFFFFF"/>
            <w:tcMar>
              <w:top w:w="100" w:type="dxa"/>
              <w:bottom w:w="100" w:type="dxa"/>
              <w:left w:w="100" w:type="dxa"/>
              <w:right w:w="100" w:type="dxa"/>
            </w:tcMar>
          </w:tcPr>
          <w:p>
            <w:pPr>
              <w:jc w:val="left"/>
            </w:pPr>
            <w:r>
              <w:rPr>
                <w:sz w:val="17"/>
              </w:rPr>
              <w:t>🔴 Penanganan Khusus</w:t>
            </w:r>
          </w:p>
        </w:tc>
        <w:tc>
          <w:tcPr>
            <w:tcW w:type="dxa" w:w="1863"/>
            <w:shd w:fill="FFFFFF"/>
            <w:tcMar>
              <w:top w:w="100" w:type="dxa"/>
              <w:bottom w:w="100" w:type="dxa"/>
              <w:left w:w="100" w:type="dxa"/>
              <w:right w:w="100" w:type="dxa"/>
            </w:tcMar>
          </w:tcPr>
          <w:p>
            <w:pPr>
              <w:jc w:val="left"/>
            </w:pPr>
            <w:r>
              <w:rPr>
                <w:sz w:val="17"/>
              </w:rPr>
              <w:t>≥3 Bln (Tier 2),</w:t>
              <w:br/>
              <w:t>2 Bln (Tier 3), 1 Bln (Tier 4)</w:t>
            </w:r>
          </w:p>
        </w:tc>
        <w:tc>
          <w:tcPr>
            <w:tcW w:type="dxa" w:w="1863"/>
            <w:shd w:fill="FFFFFF"/>
            <w:tcMar>
              <w:top w:w="100" w:type="dxa"/>
              <w:bottom w:w="100" w:type="dxa"/>
              <w:left w:w="100" w:type="dxa"/>
              <w:right w:w="100" w:type="dxa"/>
            </w:tcMar>
          </w:tcPr>
          <w:p>
            <w:pPr>
              <w:jc w:val="center"/>
            </w:pPr>
            <w:r>
              <w:rPr>
                <w:sz w:val="17"/>
              </w:rPr>
              <w:t>📜 Diterbitkan SP-1 &amp; Klarifikasi</w:t>
            </w:r>
          </w:p>
        </w:tc>
        <w:tc>
          <w:tcPr>
            <w:tcW w:type="dxa" w:w="1863"/>
            <w:shd w:fill="FFFFFF"/>
            <w:tcMar>
              <w:top w:w="100" w:type="dxa"/>
              <w:bottom w:w="100" w:type="dxa"/>
              <w:left w:w="100" w:type="dxa"/>
              <w:right w:w="100" w:type="dxa"/>
            </w:tcMar>
          </w:tcPr>
          <w:p>
            <w:pPr>
              <w:jc w:val="left"/>
            </w:pPr>
            <w:r>
              <w:rPr>
                <w:sz w:val="17"/>
              </w:rPr>
              <w:t>Penerbitan Surat Peringatan 1 (SP-1), panggilan klarifikasi tertulis, dan komitmen bermeterai.</w:t>
            </w:r>
          </w:p>
        </w:tc>
      </w:tr>
      <w:tr>
        <w:tc>
          <w:tcPr>
            <w:tcW w:type="dxa" w:w="1863"/>
            <w:shd w:fill="FFFBEB"/>
            <w:tcMar>
              <w:top w:w="100" w:type="dxa"/>
              <w:bottom w:w="100" w:type="dxa"/>
              <w:left w:w="100" w:type="dxa"/>
              <w:right w:w="100" w:type="dxa"/>
            </w:tcMar>
          </w:tcPr>
          <w:p>
            <w:pPr>
              <w:jc w:val="center"/>
            </w:pPr>
            <w:r>
              <w:rPr>
                <w:b/>
                <w:sz w:val="17"/>
              </w:rPr>
              <w:t>P3</w:t>
            </w:r>
          </w:p>
        </w:tc>
        <w:tc>
          <w:tcPr>
            <w:tcW w:type="dxa" w:w="1863"/>
            <w:shd w:fill="FFFBEB"/>
            <w:tcMar>
              <w:top w:w="100" w:type="dxa"/>
              <w:bottom w:w="100" w:type="dxa"/>
              <w:left w:w="100" w:type="dxa"/>
              <w:right w:w="100" w:type="dxa"/>
            </w:tcMar>
          </w:tcPr>
          <w:p>
            <w:pPr>
              <w:jc w:val="left"/>
            </w:pPr>
            <w:r>
              <w:rPr>
                <w:sz w:val="17"/>
              </w:rPr>
              <w:t>🟡 Follow-Up Persuasif</w:t>
            </w:r>
          </w:p>
        </w:tc>
        <w:tc>
          <w:tcPr>
            <w:tcW w:type="dxa" w:w="1863"/>
            <w:shd w:fill="FFFBEB"/>
            <w:tcMar>
              <w:top w:w="100" w:type="dxa"/>
              <w:bottom w:w="100" w:type="dxa"/>
              <w:left w:w="100" w:type="dxa"/>
              <w:right w:w="100" w:type="dxa"/>
            </w:tcMar>
          </w:tcPr>
          <w:p>
            <w:pPr>
              <w:jc w:val="left"/>
            </w:pPr>
            <w:r>
              <w:rPr>
                <w:sz w:val="17"/>
              </w:rPr>
              <w:t>≥3 Bln (Tier 1 Mikro),</w:t>
              <w:br/>
              <w:t>2 Bln (Tier 2), 1 Bln (Tier 3)</w:t>
            </w:r>
          </w:p>
        </w:tc>
        <w:tc>
          <w:tcPr>
            <w:tcW w:type="dxa" w:w="1863"/>
            <w:shd w:fill="FFFBEB"/>
            <w:tcMar>
              <w:top w:w="100" w:type="dxa"/>
              <w:bottom w:w="100" w:type="dxa"/>
              <w:left w:w="100" w:type="dxa"/>
              <w:right w:w="100" w:type="dxa"/>
            </w:tcMar>
          </w:tcPr>
          <w:p>
            <w:pPr>
              <w:jc w:val="center"/>
            </w:pPr>
            <w:r>
              <w:rPr>
                <w:b/>
                <w:color w:val="059669"/>
                <w:sz w:val="17"/>
              </w:rPr>
              <w:t>🛡️ BEBAS SP</w:t>
              <w:br/>
              <w:t>(Proteksi Debitur Mikro)</w:t>
            </w:r>
          </w:p>
        </w:tc>
        <w:tc>
          <w:tcPr>
            <w:tcW w:type="dxa" w:w="1863"/>
            <w:shd w:fill="FFFBEB"/>
            <w:tcMar>
              <w:top w:w="100" w:type="dxa"/>
              <w:bottom w:w="100" w:type="dxa"/>
              <w:left w:w="100" w:type="dxa"/>
              <w:right w:w="100" w:type="dxa"/>
            </w:tcMar>
          </w:tcPr>
          <w:p>
            <w:pPr>
              <w:jc w:val="left"/>
            </w:pPr>
            <w:r>
              <w:rPr>
                <w:sz w:val="17"/>
              </w:rPr>
              <w:t>Penagihan persuasif WA/Telp, rekonsiliasi payroll, dan opsi perjumpaan hutang simpanan sukarela.</w:t>
            </w:r>
          </w:p>
        </w:tc>
      </w:tr>
      <w:tr>
        <w:tc>
          <w:tcPr>
            <w:tcW w:type="dxa" w:w="1863"/>
            <w:shd w:fill="FFFFFF"/>
            <w:tcMar>
              <w:top w:w="100" w:type="dxa"/>
              <w:bottom w:w="100" w:type="dxa"/>
              <w:left w:w="100" w:type="dxa"/>
              <w:right w:w="100" w:type="dxa"/>
            </w:tcMar>
          </w:tcPr>
          <w:p>
            <w:pPr>
              <w:jc w:val="center"/>
            </w:pPr>
            <w:r>
              <w:rPr>
                <w:b/>
                <w:sz w:val="17"/>
              </w:rPr>
              <w:t>P4</w:t>
            </w:r>
          </w:p>
        </w:tc>
        <w:tc>
          <w:tcPr>
            <w:tcW w:type="dxa" w:w="1863"/>
            <w:shd w:fill="FFFFFF"/>
            <w:tcMar>
              <w:top w:w="100" w:type="dxa"/>
              <w:bottom w:w="100" w:type="dxa"/>
              <w:left w:w="100" w:type="dxa"/>
              <w:right w:w="100" w:type="dxa"/>
            </w:tcMar>
          </w:tcPr>
          <w:p>
            <w:pPr>
              <w:jc w:val="left"/>
            </w:pPr>
            <w:r>
              <w:rPr>
                <w:sz w:val="17"/>
              </w:rPr>
              <w:t>🔵 Notifikasi Rutin</w:t>
            </w:r>
          </w:p>
        </w:tc>
        <w:tc>
          <w:tcPr>
            <w:tcW w:type="dxa" w:w="1863"/>
            <w:shd w:fill="FFFFFF"/>
            <w:tcMar>
              <w:top w:w="100" w:type="dxa"/>
              <w:bottom w:w="100" w:type="dxa"/>
              <w:left w:w="100" w:type="dxa"/>
              <w:right w:w="100" w:type="dxa"/>
            </w:tcMar>
          </w:tcPr>
          <w:p>
            <w:pPr>
              <w:jc w:val="left"/>
            </w:pPr>
            <w:r>
              <w:rPr>
                <w:sz w:val="17"/>
              </w:rPr>
              <w:t>2 Bln (Tier 1),</w:t>
              <w:br/>
              <w:t>1 Bln (Tier 1 &amp; 2)</w:t>
            </w:r>
          </w:p>
        </w:tc>
        <w:tc>
          <w:tcPr>
            <w:tcW w:type="dxa" w:w="1863"/>
            <w:shd w:fill="FFFFFF"/>
            <w:tcMar>
              <w:top w:w="100" w:type="dxa"/>
              <w:bottom w:w="100" w:type="dxa"/>
              <w:left w:w="100" w:type="dxa"/>
              <w:right w:w="100" w:type="dxa"/>
            </w:tcMar>
          </w:tcPr>
          <w:p>
            <w:pPr>
              <w:jc w:val="center"/>
            </w:pPr>
            <w:r>
              <w:rPr>
                <w:b/>
                <w:color w:val="059669"/>
                <w:sz w:val="17"/>
              </w:rPr>
              <w:t>🛡️ BEBAS SP</w:t>
              <w:br/>
              <w:t>(Friendly Reminder)</w:t>
            </w:r>
          </w:p>
        </w:tc>
        <w:tc>
          <w:tcPr>
            <w:tcW w:type="dxa" w:w="1863"/>
            <w:shd w:fill="FFFFFF"/>
            <w:tcMar>
              <w:top w:w="100" w:type="dxa"/>
              <w:bottom w:w="100" w:type="dxa"/>
              <w:left w:w="100" w:type="dxa"/>
              <w:right w:w="100" w:type="dxa"/>
            </w:tcMar>
          </w:tcPr>
          <w:p>
            <w:pPr>
              <w:jc w:val="left"/>
            </w:pPr>
            <w:r>
              <w:rPr>
                <w:sz w:val="17"/>
              </w:rPr>
              <w:t>Pesan notifikasi payroll ramah sebelum tanggal cut-off periode berikutnya.</w:t>
            </w:r>
          </w:p>
        </w:tc>
      </w:tr>
    </w:tbl>
    <w:p>
      <w:pPr>
        <w:spacing w:after="120"/>
      </w:pPr>
    </w:p>
    <w:p>
      <w:pPr>
        <w:keepNext/>
        <w:spacing w:before="200" w:after="80"/>
        <w:pBdr>
          <w:bottom w:val="single" w:sz="6" w:space="2" w:color="3B82F6"/>
        </w:pBdr>
      </w:pPr>
      <w:r>
        <w:rPr>
          <w:b/>
          <w:color w:val="0F172A"/>
          <w:sz w:val="22"/>
        </w:rPr>
        <w:t>V. REKOMENDASI STRATEGIS &amp; PERMOHONAN DUKUNGAN MANAJEMEN HRD</w:t>
      </w:r>
    </w:p>
    <w:p>
      <w:pPr>
        <w:spacing w:before="60" w:after="40"/>
      </w:pPr>
      <w:r>
        <w:rPr>
          <w:b/>
          <w:color w:val="0F172A"/>
          <w:sz w:val="19"/>
        </w:rPr>
        <w:t>1. Mediasi Bersama HR Site &amp; Penegakan Disiplin PKB (Pasal 58 Ayat 20)</w:t>
      </w:r>
    </w:p>
    <w:p>
      <w:pPr>
        <w:spacing w:after="80"/>
        <w:ind w:left="288"/>
        <w:jc w:val="both"/>
      </w:pPr>
      <w:r>
        <w:rPr>
          <w:color w:val="334155"/>
          <w:sz w:val="18"/>
        </w:rPr>
        <w:t>Memfasilitasi jadwal pemanggilan formal bersama bagi debitur kategori P1 (Darurat) di masing-masing site (Kelanis, KM 73, SIS, MSW) guna klarifikasi dan penegakan tata tertib sesuai PKB PT Adaro Indonesia.</w:t>
      </w:r>
    </w:p>
    <w:p>
      <w:pPr>
        <w:spacing w:before="60" w:after="40"/>
      </w:pPr>
      <w:r>
        <w:rPr>
          <w:b/>
          <w:color w:val="0F172A"/>
          <w:sz w:val="19"/>
        </w:rPr>
        <w:t>2. Penerapan Klausul 'Clearance Hak Akhir' (Exit Clearance) Karyawan Resign / PHK</w:t>
      </w:r>
    </w:p>
    <w:p>
      <w:pPr>
        <w:spacing w:after="80"/>
        <w:ind w:left="288"/>
        <w:jc w:val="both"/>
      </w:pPr>
      <w:r>
        <w:rPr>
          <w:color w:val="334155"/>
          <w:sz w:val="18"/>
        </w:rPr>
        <w:t>Memohon kepada Departemen HRD &amp; Payroll Perusahaan agar setiap pekerja yang mengakhiri hubungan kerja (PHK, Resign, atau Pensiun) diwajibkan menyelesaikan Exit Clearance Koperasi. Sisa pinjaman tertunggak dimohonkan untuk dapat dipotong langsung dari uang pesangon / kompensasi / hak akhir pekerja sesuai kuasa potong gaji.</w:t>
      </w:r>
    </w:p>
    <w:p>
      <w:pPr>
        <w:spacing w:before="60" w:after="40"/>
      </w:pPr>
      <w:r>
        <w:rPr>
          <w:b/>
          <w:color w:val="0F172A"/>
          <w:sz w:val="19"/>
        </w:rPr>
        <w:t>3. Eksekusi Perjumpaan Hutang (Offsetting) Simpanan Anggota</w:t>
      </w:r>
    </w:p>
    <w:p>
      <w:pPr>
        <w:spacing w:after="80"/>
        <w:ind w:left="288"/>
        <w:jc w:val="both"/>
      </w:pPr>
      <w:r>
        <w:rPr>
          <w:color w:val="334155"/>
          <w:sz w:val="18"/>
        </w:rPr>
        <w:t>Persetujuan administratif eksekusi saldo Simpanan Sukarela debitur macet guna melunasi pokok pinjaman tertunggak sesuai Pasal 1425 KUHPerdata.</w:t>
      </w:r>
    </w:p>
    <w:p>
      <w:pPr>
        <w:spacing w:before="60" w:after="40"/>
      </w:pPr>
      <w:r>
        <w:rPr>
          <w:b/>
          <w:color w:val="0F172A"/>
          <w:sz w:val="19"/>
        </w:rPr>
        <w:t>4. Restrukturisasi Jadwal Angsuran bagi Debitur Beritikad Baik</w:t>
      </w:r>
    </w:p>
    <w:p>
      <w:pPr>
        <w:spacing w:after="80"/>
        <w:ind w:left="288"/>
        <w:jc w:val="both"/>
      </w:pPr>
      <w:r>
        <w:rPr>
          <w:color w:val="334155"/>
          <w:sz w:val="18"/>
        </w:rPr>
        <w:t>Memberikan relaksasi perpanjangan tenor atau penurunan nominal angsuran bulanan bagi anggota yang mengalami kendala finansial darurat namun tetap menunjukkan itikad baik.</w:t>
      </w:r>
    </w:p>
    <w:p>
      <w:pPr>
        <w:keepNext/>
        <w:spacing w:before="200" w:after="80"/>
        <w:pBdr>
          <w:bottom w:val="single" w:sz="6" w:space="2" w:color="3B82F6"/>
        </w:pBdr>
      </w:pPr>
      <w:r>
        <w:rPr>
          <w:b/>
          <w:color w:val="0F172A"/>
          <w:sz w:val="22"/>
        </w:rPr>
        <w:t>VI. PENUTUP</w:t>
      </w:r>
    </w:p>
    <w:p>
      <w:pPr>
        <w:spacing w:after="320"/>
        <w:jc w:val="both"/>
      </w:pPr>
      <w:r>
        <w:t>Demikian Laporan Resmi Penanganan Debitur Bermasalah dan Pemetaan Risiko Kredit ini kami sampaikan dengan sebenar-benarnya. Pengurus Koperasi Karyawan Adaro Karya Mandiri berkomitmen penuh untuk terus menegakkan prinsip kehati-hatian, transparansi, dan keadilan demi melindungi aset bersama seluruh anggota koperasi. Atas perhatian, arahan, dan kerja sama yang baik dari Dewan Pengawas serta Manajemen HRD PT Adaro Indonesia dan Mitra Kerja, kami ucapkan terima kasih.</w:t>
      </w:r>
    </w:p>
    <w:tbl>
      <w:tblPr>
        <w:tblW w:type="auto" w:w="0"/>
        <w:jc w:val="center"/>
        <w:tblLayout w:type="fixed"/>
        <w:tblLook w:firstColumn="1" w:firstRow="1" w:lastColumn="0" w:lastRow="0" w:noHBand="0" w:noVBand="1" w:val="04A0"/>
      </w:tblPr>
      <w:tblGrid>
        <w:gridCol w:w="4680"/>
        <w:gridCol w:w="4680"/>
      </w:tblGrid>
      <w:tr>
        <w:tc>
          <w:tcPr>
            <w:tcW w:type="dxa" w:w="4658"/>
          </w:tcPr>
          <w:p>
            <w:pPr>
              <w:spacing w:line="276" w:lineRule="auto"/>
              <w:jc w:val="center"/>
            </w:pPr>
            <w:r>
              <w:rPr>
                <w:sz w:val="19"/>
              </w:rPr>
              <w:t>Pengurus Koperasi Karyawan</w:t>
              <w:br/>
              <w:t>Adaro Karya Mandiri</w:t>
              <w:br/>
              <w:br/>
              <w:t>Ketua,</w:t>
              <w:br/>
              <w:br/>
              <w:br/>
              <w:br/>
              <w:br/>
            </w:r>
            <w:r>
              <w:rPr>
                <w:b/>
                <w:sz w:val="20"/>
                <w:u w:val="single"/>
              </w:rPr>
              <w:t>Ageng Prasongko</w:t>
              <w:br/>
            </w:r>
            <w:r>
              <w:rPr>
                <w:sz w:val="18"/>
              </w:rPr>
              <w:t>N.A : 41087</w:t>
            </w:r>
          </w:p>
        </w:tc>
        <w:tc>
          <w:tcPr>
            <w:tcW w:type="dxa" w:w="4658"/>
          </w:tcPr>
          <w:p>
            <w:pPr>
              <w:spacing w:line="276" w:lineRule="auto"/>
              <w:jc w:val="center"/>
            </w:pPr>
            <w:r>
              <w:rPr>
                <w:sz w:val="19"/>
              </w:rPr>
              <w:t>Pengurus Koperasi Karyawan</w:t>
              <w:br/>
              <w:t>Adaro Karya Mandiri</w:t>
              <w:br/>
              <w:br/>
              <w:t>Sekretaris,</w:t>
              <w:br/>
              <w:br/>
              <w:br/>
              <w:br/>
              <w:br/>
            </w:r>
            <w:r>
              <w:rPr>
                <w:b/>
                <w:sz w:val="20"/>
                <w:u w:val="single"/>
              </w:rPr>
              <w:t>Alhamdi Rasyid</w:t>
              <w:br/>
            </w:r>
            <w:r>
              <w:rPr>
                <w:sz w:val="18"/>
              </w:rPr>
              <w:t>N.A : 41554</w:t>
            </w:r>
          </w:p>
        </w:tc>
      </w:tr>
    </w:tbl>
    <w:p>
      <w:pPr>
        <w:spacing w:after="200"/>
      </w:pPr>
    </w:p>
    <w:p>
      <w:pPr>
        <w:spacing w:before="240" w:line="252" w:lineRule="auto"/>
      </w:pPr>
      <w:r>
        <w:rPr>
          <w:b/>
          <w:sz w:val="17"/>
        </w:rPr>
        <w:t>Tembusan Disampaikan Kepada:</w:t>
        <w:br/>
      </w:r>
      <w:r>
        <w:rPr>
          <w:color w:val="64748B"/>
          <w:sz w:val="16"/>
        </w:rPr>
        <w:t>1. Dewan Pengawas Koperasi Karyawan Adaro Karya Mandiri (Sebagai Laporan)</w:t>
        <w:br/>
        <w:t>2. General Manager / Head of HR Corporate PT Adaro Indonesia</w:t>
        <w:br/>
        <w:t>3. Finance &amp; Payroll Department PT Adaro Indonesia &amp; Mitra Kerja</w:t>
        <w:br/>
        <w:t>4. Arsip Pengurus / Sekretariat Koperasi</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