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E4B95E" w14:textId="77777777" w:rsidR="0001625E" w:rsidRDefault="00AC0E96">
      <w:pPr>
        <w:pStyle w:val="Ttulo"/>
        <w:pBdr>
          <w:top w:val="nil"/>
          <w:left w:val="nil"/>
          <w:bottom w:val="nil"/>
          <w:right w:val="nil"/>
          <w:between w:val="nil"/>
        </w:pBdr>
      </w:pPr>
      <w:bookmarkStart w:id="0" w:name="_nj23sjpj5u97" w:colFirst="0" w:colLast="0"/>
      <w:bookmarkEnd w:id="0"/>
      <w:proofErr w:type="spellStart"/>
      <w:r>
        <w:t>Life</w:t>
      </w:r>
      <w:proofErr w:type="spellEnd"/>
      <w:r>
        <w:t xml:space="preserve"> </w:t>
      </w:r>
      <w:proofErr w:type="spellStart"/>
      <w:r>
        <w:t>Expectany</w:t>
      </w:r>
      <w:proofErr w:type="spellEnd"/>
    </w:p>
    <w:p w14:paraId="5EE4B95F" w14:textId="77777777" w:rsidR="0001625E" w:rsidRDefault="00AC0E96">
      <w:pPr>
        <w:pStyle w:val="Subttulo"/>
        <w:pBdr>
          <w:top w:val="nil"/>
          <w:left w:val="nil"/>
          <w:bottom w:val="nil"/>
          <w:right w:val="nil"/>
          <w:between w:val="nil"/>
        </w:pBdr>
      </w:pPr>
      <w:bookmarkStart w:id="1" w:name="_dw2dac9r7xzm" w:colFirst="0" w:colLast="0"/>
      <w:bookmarkEnd w:id="1"/>
      <w:r>
        <w:t xml:space="preserve">Datos socioeconómicos y salud de diferentes naciones del mundo. </w:t>
      </w:r>
    </w:p>
    <w:p w14:paraId="5EE4B960" w14:textId="77777777" w:rsidR="0001625E" w:rsidRDefault="00AC0E96">
      <w:pPr>
        <w:pBdr>
          <w:top w:val="nil"/>
          <w:left w:val="nil"/>
          <w:bottom w:val="nil"/>
          <w:right w:val="nil"/>
          <w:between w:val="nil"/>
        </w:pBdr>
        <w:spacing w:before="320" w:after="320" w:line="480" w:lineRule="auto"/>
        <w:jc w:val="center"/>
      </w:pPr>
      <w:r>
        <w:rPr>
          <w:noProof/>
        </w:rPr>
        <w:drawing>
          <wp:inline distT="114300" distB="114300" distL="114300" distR="114300" wp14:anchorId="5EE4B980" wp14:editId="5EE4B981">
            <wp:extent cx="5910263" cy="4178593"/>
            <wp:effectExtent l="0" t="0" r="0" b="0"/>
            <wp:docPr id="1" name="image1.png" descr="Marcador de posición de imagen"/>
            <wp:cNvGraphicFramePr/>
            <a:graphic xmlns:a="http://schemas.openxmlformats.org/drawingml/2006/main">
              <a:graphicData uri="http://schemas.openxmlformats.org/drawingml/2006/picture">
                <pic:pic xmlns:pic="http://schemas.openxmlformats.org/drawingml/2006/picture">
                  <pic:nvPicPr>
                    <pic:cNvPr id="0" name="image1.png" descr="Marcador de posición de imagen"/>
                    <pic:cNvPicPr preferRelativeResize="0"/>
                  </pic:nvPicPr>
                  <pic:blipFill>
                    <a:blip r:embed="rId7"/>
                    <a:srcRect/>
                    <a:stretch>
                      <a:fillRect/>
                    </a:stretch>
                  </pic:blipFill>
                  <pic:spPr>
                    <a:xfrm>
                      <a:off x="0" y="0"/>
                      <a:ext cx="5910263" cy="4178593"/>
                    </a:xfrm>
                    <a:prstGeom prst="rect">
                      <a:avLst/>
                    </a:prstGeom>
                    <a:ln/>
                  </pic:spPr>
                </pic:pic>
              </a:graphicData>
            </a:graphic>
          </wp:inline>
        </w:drawing>
      </w:r>
    </w:p>
    <w:p w14:paraId="54670C17" w14:textId="77777777" w:rsidR="00AC0E96" w:rsidRDefault="00AC0E96">
      <w:pPr>
        <w:pBdr>
          <w:top w:val="nil"/>
          <w:left w:val="nil"/>
          <w:bottom w:val="nil"/>
          <w:right w:val="nil"/>
          <w:between w:val="nil"/>
        </w:pBdr>
        <w:spacing w:before="400"/>
        <w:jc w:val="center"/>
        <w:rPr>
          <w:b/>
          <w:color w:val="783F04"/>
          <w:sz w:val="26"/>
          <w:szCs w:val="26"/>
        </w:rPr>
      </w:pPr>
    </w:p>
    <w:p w14:paraId="27853DEB" w14:textId="77777777" w:rsidR="00AC0E96" w:rsidRDefault="00AC0E96">
      <w:pPr>
        <w:pBdr>
          <w:top w:val="nil"/>
          <w:left w:val="nil"/>
          <w:bottom w:val="nil"/>
          <w:right w:val="nil"/>
          <w:between w:val="nil"/>
        </w:pBdr>
        <w:spacing w:before="400"/>
        <w:jc w:val="center"/>
        <w:rPr>
          <w:b/>
          <w:color w:val="783F04"/>
          <w:sz w:val="26"/>
          <w:szCs w:val="26"/>
        </w:rPr>
      </w:pPr>
    </w:p>
    <w:p w14:paraId="5EE4B961" w14:textId="1047A4AD" w:rsidR="0001625E" w:rsidRDefault="00AC0E96">
      <w:pPr>
        <w:pBdr>
          <w:top w:val="nil"/>
          <w:left w:val="nil"/>
          <w:bottom w:val="nil"/>
          <w:right w:val="nil"/>
          <w:between w:val="nil"/>
        </w:pBdr>
        <w:spacing w:before="400"/>
        <w:jc w:val="center"/>
        <w:rPr>
          <w:color w:val="783F04"/>
        </w:rPr>
      </w:pPr>
      <w:r>
        <w:rPr>
          <w:b/>
          <w:color w:val="783F04"/>
          <w:sz w:val="26"/>
          <w:szCs w:val="26"/>
        </w:rPr>
        <w:t>Francisco Borgno</w:t>
      </w:r>
    </w:p>
    <w:p w14:paraId="5EE4B962" w14:textId="77777777" w:rsidR="0001625E" w:rsidRDefault="00AC0E96">
      <w:pPr>
        <w:pBdr>
          <w:top w:val="nil"/>
          <w:left w:val="nil"/>
          <w:bottom w:val="nil"/>
          <w:right w:val="nil"/>
          <w:between w:val="nil"/>
        </w:pBdr>
        <w:spacing w:before="0"/>
        <w:jc w:val="center"/>
        <w:rPr>
          <w:color w:val="783F04"/>
        </w:rPr>
      </w:pPr>
      <w:proofErr w:type="spellStart"/>
      <w:r>
        <w:rPr>
          <w:color w:val="783F04"/>
        </w:rPr>
        <w:t>CoderHouse</w:t>
      </w:r>
      <w:proofErr w:type="spellEnd"/>
      <w:r>
        <w:rPr>
          <w:color w:val="783F04"/>
        </w:rPr>
        <w:t xml:space="preserve"> - Data </w:t>
      </w:r>
      <w:proofErr w:type="spellStart"/>
      <w:r>
        <w:rPr>
          <w:color w:val="783F04"/>
        </w:rPr>
        <w:t>Science</w:t>
      </w:r>
      <w:proofErr w:type="spellEnd"/>
    </w:p>
    <w:p w14:paraId="5EE4B963" w14:textId="77777777" w:rsidR="0001625E" w:rsidRDefault="0001625E">
      <w:pPr>
        <w:pBdr>
          <w:top w:val="nil"/>
          <w:left w:val="nil"/>
          <w:bottom w:val="nil"/>
          <w:right w:val="nil"/>
          <w:between w:val="nil"/>
        </w:pBdr>
        <w:spacing w:before="0"/>
        <w:jc w:val="center"/>
        <w:rPr>
          <w:color w:val="783F04"/>
        </w:rPr>
      </w:pPr>
    </w:p>
    <w:p w14:paraId="5EE4B964" w14:textId="77777777" w:rsidR="0001625E" w:rsidRDefault="0001625E">
      <w:pPr>
        <w:pBdr>
          <w:top w:val="nil"/>
          <w:left w:val="nil"/>
          <w:bottom w:val="nil"/>
          <w:right w:val="nil"/>
          <w:between w:val="nil"/>
        </w:pBdr>
        <w:spacing w:before="0"/>
        <w:jc w:val="center"/>
        <w:rPr>
          <w:color w:val="783F04"/>
        </w:rPr>
      </w:pPr>
    </w:p>
    <w:p w14:paraId="5EE4B965" w14:textId="77777777" w:rsidR="0001625E" w:rsidRDefault="0001625E">
      <w:pPr>
        <w:pBdr>
          <w:top w:val="nil"/>
          <w:left w:val="nil"/>
          <w:bottom w:val="nil"/>
          <w:right w:val="nil"/>
          <w:between w:val="nil"/>
        </w:pBdr>
        <w:spacing w:before="0"/>
        <w:jc w:val="center"/>
        <w:rPr>
          <w:color w:val="783F04"/>
        </w:rPr>
      </w:pPr>
    </w:p>
    <w:p w14:paraId="5EE4B969" w14:textId="77777777" w:rsidR="0001625E" w:rsidRDefault="00AC0E96">
      <w:pPr>
        <w:pStyle w:val="Ttulo1"/>
        <w:pBdr>
          <w:top w:val="nil"/>
          <w:left w:val="nil"/>
          <w:bottom w:val="nil"/>
          <w:right w:val="nil"/>
          <w:between w:val="nil"/>
        </w:pBdr>
      </w:pPr>
      <w:bookmarkStart w:id="2" w:name="_yspy8tt3f0xe" w:colFirst="0" w:colLast="0"/>
      <w:bookmarkEnd w:id="2"/>
      <w:r>
        <w:lastRenderedPageBreak/>
        <w:t>INTRODUCCIÓN</w:t>
      </w:r>
    </w:p>
    <w:p w14:paraId="5EE4B96A" w14:textId="77777777" w:rsidR="0001625E" w:rsidRDefault="00AC0E96">
      <w:pPr>
        <w:pBdr>
          <w:top w:val="nil"/>
          <w:left w:val="nil"/>
          <w:bottom w:val="nil"/>
          <w:right w:val="nil"/>
          <w:between w:val="nil"/>
        </w:pBdr>
      </w:pPr>
      <w:r>
        <w:t>El repositorio de datos del Observatorio Mundial de la Salud (GHO) de la Organización Mundial de la Salud (OMS) realiza un seguimiento del estado de salud, así como de muchos otros factores relacionados, para todos los países. El conjunto de datos relacionados con la esperanza de vida y los factores de salud de 193 países se ha recopilado del mismo sitio web del repositorio de datos de la OMS y los datos económicos correspondientes se recopilaron del sitio web de las Naciones Unidas. Entre todas las categorías de factores relacionados con la salud, solo se eligieron los factores críticos que son más representativos.</w:t>
      </w:r>
    </w:p>
    <w:p w14:paraId="5EE4B96B" w14:textId="77777777" w:rsidR="0001625E" w:rsidRDefault="00AC0E96">
      <w:pPr>
        <w:pStyle w:val="Ttulo1"/>
        <w:pBdr>
          <w:top w:val="nil"/>
          <w:left w:val="nil"/>
          <w:bottom w:val="nil"/>
          <w:right w:val="nil"/>
          <w:between w:val="nil"/>
        </w:pBdr>
      </w:pPr>
      <w:bookmarkStart w:id="3" w:name="_75rf4vta81ax" w:colFirst="0" w:colLast="0"/>
      <w:bookmarkEnd w:id="3"/>
      <w:r>
        <w:t>HIPÓTESIS</w:t>
      </w:r>
    </w:p>
    <w:p w14:paraId="5EE4B96C" w14:textId="19CBF193" w:rsidR="0001625E" w:rsidRDefault="00AC0E96">
      <w:pPr>
        <w:pBdr>
          <w:top w:val="nil"/>
          <w:left w:val="nil"/>
          <w:bottom w:val="nil"/>
          <w:right w:val="nil"/>
          <w:between w:val="nil"/>
        </w:pBdr>
      </w:pPr>
      <w:r>
        <w:t>Los factores como el gasto administrativo en salud, el desarrollo de campañas de vacunación y prevención de enfermedades graves, así como también el gasto individual de los individuos, sus costumbres, y el contexto económico en el que se ven envueltos, son fundamentales a la hora de pensar cual sería la expectativa de vida de cada ser. Observaremos cómo los factores socioeconómicos de cada nación estructuran la esperanza de vida de los individuos.</w:t>
      </w:r>
    </w:p>
    <w:p w14:paraId="5EE4B96D" w14:textId="77777777" w:rsidR="0001625E" w:rsidRDefault="00AC0E96">
      <w:pPr>
        <w:pStyle w:val="Ttulo1"/>
        <w:pBdr>
          <w:top w:val="nil"/>
          <w:left w:val="nil"/>
          <w:bottom w:val="nil"/>
          <w:right w:val="nil"/>
          <w:between w:val="nil"/>
        </w:pBdr>
      </w:pPr>
      <w:bookmarkStart w:id="4" w:name="_kn5uvgo00ajj" w:colFirst="0" w:colLast="0"/>
      <w:bookmarkEnd w:id="4"/>
      <w:r>
        <w:t>PROCEDIMIENTO</w:t>
      </w:r>
    </w:p>
    <w:p w14:paraId="5EE4B96E" w14:textId="77777777" w:rsidR="0001625E" w:rsidRDefault="00AC0E96">
      <w:r>
        <w:t>Nos estructuramos una serie de consultas</w:t>
      </w:r>
    </w:p>
    <w:p w14:paraId="5EE4B96F" w14:textId="77777777" w:rsidR="0001625E" w:rsidRDefault="00AC0E96">
      <w:pPr>
        <w:numPr>
          <w:ilvl w:val="0"/>
          <w:numId w:val="2"/>
        </w:numPr>
        <w:pBdr>
          <w:top w:val="nil"/>
          <w:left w:val="nil"/>
          <w:bottom w:val="nil"/>
          <w:right w:val="nil"/>
          <w:between w:val="nil"/>
        </w:pBdr>
      </w:pPr>
      <w:r>
        <w:t xml:space="preserve">¿Cómo influyen los factores socioeconómicos en la esperanza de vida de las diferentes naciones? ¿Cómo influyen en los países Latinoamericanos? </w:t>
      </w:r>
    </w:p>
    <w:p w14:paraId="5EE4B970" w14:textId="78B79CC1" w:rsidR="0001625E" w:rsidRDefault="00AC0E96">
      <w:pPr>
        <w:numPr>
          <w:ilvl w:val="0"/>
          <w:numId w:val="2"/>
        </w:numPr>
        <w:pBdr>
          <w:top w:val="nil"/>
          <w:left w:val="nil"/>
          <w:bottom w:val="nil"/>
          <w:right w:val="nil"/>
          <w:between w:val="nil"/>
        </w:pBdr>
        <w:spacing w:before="0"/>
      </w:pPr>
      <w:r>
        <w:t>¿Cómo afectan los niveles de vacunación infantil? Hepatitis B, Polio, Difteria ¿Como se observa en Latinoamérica?</w:t>
      </w:r>
    </w:p>
    <w:p w14:paraId="5EE4B971" w14:textId="6A7DC685" w:rsidR="0001625E" w:rsidRDefault="00AC0E96">
      <w:pPr>
        <w:numPr>
          <w:ilvl w:val="0"/>
          <w:numId w:val="2"/>
        </w:numPr>
        <w:pBdr>
          <w:top w:val="nil"/>
          <w:left w:val="nil"/>
          <w:bottom w:val="nil"/>
          <w:right w:val="nil"/>
          <w:between w:val="nil"/>
        </w:pBdr>
        <w:spacing w:before="0"/>
      </w:pPr>
      <w:r>
        <w:t>¿Cómo influye el consumo de alcohol y el IMC (índice de masa corporal) en la esperanza de vida? ¿Y su escolarización? ¿Cómo se observan en Latinoamérica?</w:t>
      </w:r>
    </w:p>
    <w:p w14:paraId="5EE4B972" w14:textId="77777777" w:rsidR="0001625E" w:rsidRDefault="0001625E">
      <w:pPr>
        <w:pStyle w:val="Ttulo1"/>
        <w:pBdr>
          <w:top w:val="nil"/>
          <w:left w:val="nil"/>
          <w:bottom w:val="nil"/>
          <w:right w:val="nil"/>
          <w:between w:val="nil"/>
        </w:pBdr>
      </w:pPr>
      <w:bookmarkStart w:id="5" w:name="_hmq06v78j5gr" w:colFirst="0" w:colLast="0"/>
      <w:bookmarkEnd w:id="5"/>
    </w:p>
    <w:p w14:paraId="5EE4B973" w14:textId="77777777" w:rsidR="0001625E" w:rsidRDefault="0001625E"/>
    <w:p w14:paraId="5EE4B974" w14:textId="77777777" w:rsidR="0001625E" w:rsidRDefault="0001625E"/>
    <w:p w14:paraId="5EE4B975" w14:textId="77777777" w:rsidR="0001625E" w:rsidRDefault="00AC0E96">
      <w:pPr>
        <w:pStyle w:val="Ttulo1"/>
        <w:pBdr>
          <w:top w:val="nil"/>
          <w:left w:val="nil"/>
          <w:bottom w:val="nil"/>
          <w:right w:val="nil"/>
          <w:between w:val="nil"/>
        </w:pBdr>
      </w:pPr>
      <w:bookmarkStart w:id="6" w:name="_1iz5pbeqzw6g" w:colFirst="0" w:colLast="0"/>
      <w:bookmarkEnd w:id="6"/>
      <w:r>
        <w:lastRenderedPageBreak/>
        <w:t>RESULTADOS</w:t>
      </w:r>
    </w:p>
    <w:p w14:paraId="5EE4B976" w14:textId="77777777" w:rsidR="0001625E" w:rsidRDefault="0001625E">
      <w:pPr>
        <w:pBdr>
          <w:top w:val="nil"/>
          <w:left w:val="nil"/>
          <w:bottom w:val="nil"/>
          <w:right w:val="nil"/>
          <w:between w:val="nil"/>
        </w:pBdr>
      </w:pPr>
    </w:p>
    <w:p w14:paraId="5EE4B977" w14:textId="1BFF67C1" w:rsidR="0001625E" w:rsidRDefault="00AC0E96">
      <w:pPr>
        <w:numPr>
          <w:ilvl w:val="0"/>
          <w:numId w:val="1"/>
        </w:numPr>
        <w:pBdr>
          <w:top w:val="nil"/>
          <w:left w:val="nil"/>
          <w:bottom w:val="nil"/>
          <w:right w:val="nil"/>
          <w:between w:val="nil"/>
        </w:pBdr>
      </w:pPr>
      <w:r>
        <w:t>Como factores socioeconómicos entendimos el “PIB per Cápita” (PIBPC) el “Gasto porcentual” (% de gasto en materia sanitaria que desprende del PIBPC) y “Gasto total” (% de gasto de las Administraciones Sanitarias de cada nación).</w:t>
      </w:r>
      <w:r>
        <w:br/>
        <w:t>La relación en el caso del PIBPC, y el Gasto porcentual, nos permite observar que las naciones con mejores índices (o niveles más altos) tienen niveles de esperanza de vida superiores a la media, así como también, las naciones que hacen mayores gastos en materia de salud, poseen mejores estadísticas en relación a la Esperanza de vida.</w:t>
      </w:r>
      <w:r>
        <w:br/>
      </w:r>
    </w:p>
    <w:p w14:paraId="5EE4B978" w14:textId="77777777" w:rsidR="0001625E" w:rsidRDefault="00AC0E96">
      <w:pPr>
        <w:numPr>
          <w:ilvl w:val="0"/>
          <w:numId w:val="1"/>
        </w:numPr>
        <w:pBdr>
          <w:top w:val="nil"/>
          <w:left w:val="nil"/>
          <w:bottom w:val="nil"/>
          <w:right w:val="nil"/>
          <w:between w:val="nil"/>
        </w:pBdr>
        <w:spacing w:before="0"/>
      </w:pPr>
      <w:r>
        <w:t>Decidimos categorizar los niveles de inmunización en estas tres variantes (Hepatitis B, Polio y Difteria) para entender mejor su relación con la esperanza de vida, también, lo observamos con los niveles de mortalidad infantil.</w:t>
      </w:r>
      <w:r>
        <w:br/>
        <w:t>Una vacunación temprana, evidencia una disminución de los niveles en las muertes infantiles, como también, una buena relación con la esperanza de vida.</w:t>
      </w:r>
      <w:r>
        <w:br/>
        <w:t xml:space="preserve"> </w:t>
      </w:r>
      <w:r>
        <w:tab/>
      </w:r>
    </w:p>
    <w:p w14:paraId="5EE4B979" w14:textId="571A82E0" w:rsidR="0001625E" w:rsidRDefault="00AC0E96">
      <w:pPr>
        <w:numPr>
          <w:ilvl w:val="0"/>
          <w:numId w:val="1"/>
        </w:numPr>
        <w:pBdr>
          <w:top w:val="nil"/>
          <w:left w:val="nil"/>
          <w:bottom w:val="nil"/>
          <w:right w:val="nil"/>
          <w:between w:val="nil"/>
        </w:pBdr>
        <w:spacing w:before="0"/>
      </w:pPr>
      <w:r>
        <w:t xml:space="preserve">En los usos sociales el alcohol, así como también, los niveles educativos de los individuos pueden determinar la esperanza de vida que estos presentan, analizamos Alcohol, IMC (índice de masa corporal) y escolaridad. </w:t>
      </w:r>
      <w:r>
        <w:br/>
        <w:t xml:space="preserve">Si bien, el alcohol tiene una relación negativa con la Esperanza de vida, no representa un factor fundamental en la misma (no al menos en todos los casos), el IMC, sin embargo, si, podemos entenderlo como una relación directa y un factor decisivo, un nivel muy inferior de </w:t>
      </w:r>
      <w:proofErr w:type="gramStart"/>
      <w:r>
        <w:t>IMC,</w:t>
      </w:r>
      <w:proofErr w:type="gramEnd"/>
      <w:r>
        <w:t xml:space="preserve"> puede observarse en una esperanza de vida baja. </w:t>
      </w:r>
      <w:r>
        <w:br/>
        <w:t>La escolaridad por su parte (los años de estudios) tiene una relación positiva, entendiéndose como un factor para una buena longevidad (quizás, por las consecuencias propias).</w:t>
      </w:r>
    </w:p>
    <w:p w14:paraId="5EE4B97A" w14:textId="77777777" w:rsidR="0001625E" w:rsidRDefault="0001625E">
      <w:pPr>
        <w:pBdr>
          <w:top w:val="nil"/>
          <w:left w:val="nil"/>
          <w:bottom w:val="nil"/>
          <w:right w:val="nil"/>
          <w:between w:val="nil"/>
        </w:pBdr>
      </w:pPr>
    </w:p>
    <w:p w14:paraId="5EE4B97B" w14:textId="77777777" w:rsidR="0001625E" w:rsidRDefault="0001625E">
      <w:pPr>
        <w:pBdr>
          <w:top w:val="nil"/>
          <w:left w:val="nil"/>
          <w:bottom w:val="nil"/>
          <w:right w:val="nil"/>
          <w:between w:val="nil"/>
        </w:pBdr>
      </w:pPr>
    </w:p>
    <w:p w14:paraId="276FEEEB" w14:textId="77777777" w:rsidR="00AC0E96" w:rsidRDefault="00AC0E96">
      <w:pPr>
        <w:pBdr>
          <w:top w:val="nil"/>
          <w:left w:val="nil"/>
          <w:bottom w:val="nil"/>
          <w:right w:val="nil"/>
          <w:between w:val="nil"/>
        </w:pBdr>
      </w:pPr>
    </w:p>
    <w:p w14:paraId="488F40F6" w14:textId="77777777" w:rsidR="00AC0E96" w:rsidRDefault="00AC0E96">
      <w:pPr>
        <w:pBdr>
          <w:top w:val="nil"/>
          <w:left w:val="nil"/>
          <w:bottom w:val="nil"/>
          <w:right w:val="nil"/>
          <w:between w:val="nil"/>
        </w:pBdr>
      </w:pPr>
    </w:p>
    <w:p w14:paraId="5AFE5BC8" w14:textId="77777777" w:rsidR="00AC0E96" w:rsidRDefault="00AC0E96">
      <w:pPr>
        <w:pBdr>
          <w:top w:val="nil"/>
          <w:left w:val="nil"/>
          <w:bottom w:val="nil"/>
          <w:right w:val="nil"/>
          <w:between w:val="nil"/>
        </w:pBdr>
      </w:pPr>
    </w:p>
    <w:p w14:paraId="5EE4B97C" w14:textId="77777777" w:rsidR="0001625E" w:rsidRDefault="0001625E">
      <w:pPr>
        <w:pBdr>
          <w:top w:val="nil"/>
          <w:left w:val="nil"/>
          <w:bottom w:val="nil"/>
          <w:right w:val="nil"/>
          <w:between w:val="nil"/>
        </w:pBdr>
      </w:pPr>
    </w:p>
    <w:p w14:paraId="5EE4B97F" w14:textId="77777777" w:rsidR="0001625E" w:rsidRDefault="0001625E">
      <w:pPr>
        <w:pStyle w:val="Ttulo1"/>
        <w:pBdr>
          <w:top w:val="nil"/>
          <w:left w:val="nil"/>
          <w:bottom w:val="nil"/>
          <w:right w:val="nil"/>
          <w:between w:val="nil"/>
        </w:pBdr>
      </w:pPr>
      <w:bookmarkStart w:id="7" w:name="_chou9188p6co" w:colFirst="0" w:colLast="0"/>
      <w:bookmarkStart w:id="8" w:name="_upsdn5xevax7" w:colFirst="0" w:colLast="0"/>
      <w:bookmarkEnd w:id="7"/>
      <w:bookmarkEnd w:id="8"/>
    </w:p>
    <w:sectPr w:rsidR="0001625E">
      <w:footerReference w:type="default" r:id="rId8"/>
      <w:footerReference w:type="first" r:id="rId9"/>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A1DAF1" w14:textId="77777777" w:rsidR="003E76AE" w:rsidRDefault="003E76AE">
      <w:pPr>
        <w:spacing w:before="0" w:line="240" w:lineRule="auto"/>
      </w:pPr>
      <w:r>
        <w:separator/>
      </w:r>
    </w:p>
  </w:endnote>
  <w:endnote w:type="continuationSeparator" w:id="0">
    <w:p w14:paraId="5C996C6B" w14:textId="77777777" w:rsidR="003E76AE" w:rsidRDefault="003E76A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Droid Serif">
    <w:altName w:val="Calibri"/>
    <w:charset w:val="00"/>
    <w:family w:val="auto"/>
    <w:pitch w:val="default"/>
  </w:font>
  <w:font w:name="Oswald">
    <w:charset w:val="00"/>
    <w:family w:val="auto"/>
    <w:pitch w:val="variable"/>
    <w:sig w:usb0="2000020F" w:usb1="00000000" w:usb2="00000000" w:usb3="00000000" w:csb0="00000197" w:csb1="00000000"/>
    <w:embedRegular r:id="rId1" w:fontKey="{483CB9A0-4D1E-422A-BD93-043D0C9B0EF3}"/>
    <w:embedBold r:id="rId2" w:fontKey="{F1CF73E3-FBFC-45A0-9C23-A64522A6F8A0}"/>
  </w:font>
  <w:font w:name="Trebuchet MS">
    <w:panose1 w:val="020B0603020202020204"/>
    <w:charset w:val="00"/>
    <w:family w:val="swiss"/>
    <w:pitch w:val="variable"/>
    <w:sig w:usb0="00000687" w:usb1="00000000" w:usb2="00000000" w:usb3="00000000" w:csb0="0000009F" w:csb1="00000000"/>
    <w:embedRegular r:id="rId3" w:fontKey="{64F14A33-FFD7-4C6C-8714-136484057586}"/>
    <w:embedItalic r:id="rId4" w:fontKey="{D08BE84A-9770-40AC-95D1-A68CA621D974}"/>
  </w:font>
  <w:font w:name="Calibri">
    <w:panose1 w:val="020F0502020204030204"/>
    <w:charset w:val="00"/>
    <w:family w:val="swiss"/>
    <w:pitch w:val="variable"/>
    <w:sig w:usb0="E4002EFF" w:usb1="C200247B" w:usb2="00000009" w:usb3="00000000" w:csb0="000001FF" w:csb1="00000000"/>
    <w:embedRegular r:id="rId5" w:fontKey="{BB6D8020-F086-4ADF-B7F3-3309AB560DE4}"/>
  </w:font>
  <w:font w:name="Cambria">
    <w:panose1 w:val="02040503050406030204"/>
    <w:charset w:val="00"/>
    <w:family w:val="roman"/>
    <w:pitch w:val="variable"/>
    <w:sig w:usb0="E00006FF" w:usb1="420024FF" w:usb2="02000000" w:usb3="00000000" w:csb0="0000019F" w:csb1="00000000"/>
    <w:embedRegular r:id="rId6" w:fontKey="{D6011408-211B-4A61-8BBD-ED11CAD8144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okmarkStart w:id="9" w:name="_37o5xb65948r" w:colFirst="0" w:colLast="0"/>
  <w:bookmarkEnd w:id="9"/>
  <w:p w14:paraId="5EE4B982" w14:textId="31C802FF" w:rsidR="0001625E" w:rsidRDefault="00AC0E96">
    <w:pPr>
      <w:pStyle w:val="Ttulo4"/>
      <w:pBdr>
        <w:top w:val="nil"/>
        <w:left w:val="nil"/>
        <w:bottom w:val="nil"/>
        <w:right w:val="nil"/>
        <w:between w:val="nil"/>
      </w:pBdr>
      <w:rPr>
        <w:b/>
      </w:rPr>
    </w:pPr>
    <w:r>
      <w:fldChar w:fldCharType="begin"/>
    </w:r>
    <w:r>
      <w:instrText>PAGE</w:instrText>
    </w:r>
    <w:r>
      <w:fldChar w:fldCharType="separate"/>
    </w:r>
    <w:r>
      <w:rPr>
        <w:noProof/>
      </w:rPr>
      <w:t>1</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E4B983" w14:textId="77777777" w:rsidR="0001625E" w:rsidRDefault="0001625E">
    <w:pPr>
      <w:pStyle w:val="Ttulo4"/>
      <w:pBdr>
        <w:top w:val="nil"/>
        <w:left w:val="nil"/>
        <w:bottom w:val="nil"/>
        <w:right w:val="nil"/>
        <w:between w:val="nil"/>
      </w:pBdr>
    </w:pPr>
    <w:bookmarkStart w:id="10" w:name="_y0ojsicse0ov" w:colFirst="0" w:colLast="0"/>
    <w:bookmarkEnd w:id="10"/>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EE484C" w14:textId="77777777" w:rsidR="003E76AE" w:rsidRDefault="003E76AE">
      <w:pPr>
        <w:spacing w:before="0" w:line="240" w:lineRule="auto"/>
      </w:pPr>
      <w:r>
        <w:separator/>
      </w:r>
    </w:p>
  </w:footnote>
  <w:footnote w:type="continuationSeparator" w:id="0">
    <w:p w14:paraId="3958DF8F" w14:textId="77777777" w:rsidR="003E76AE" w:rsidRDefault="003E76AE">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A85C4B"/>
    <w:multiLevelType w:val="multilevel"/>
    <w:tmpl w:val="C3B6D0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43E42AA"/>
    <w:multiLevelType w:val="multilevel"/>
    <w:tmpl w:val="773A71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461577266">
    <w:abstractNumId w:val="0"/>
  </w:num>
  <w:num w:numId="2" w16cid:durableId="19959855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625E"/>
    <w:rsid w:val="0001625E"/>
    <w:rsid w:val="003E76AE"/>
    <w:rsid w:val="0042042A"/>
    <w:rsid w:val="004B1F60"/>
    <w:rsid w:val="00AC0E96"/>
    <w:rsid w:val="00C77B8C"/>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4B95E"/>
  <w15:docId w15:val="{E55F3651-279B-48CF-856F-2BF83A0D0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Droid Serif" w:eastAsia="Droid Serif" w:hAnsi="Droid Serif" w:cs="Droid Serif"/>
        <w:color w:val="666666"/>
        <w:sz w:val="22"/>
        <w:szCs w:val="22"/>
        <w:lang w:val="es" w:eastAsia="es-UY" w:bidi="ar-SA"/>
      </w:rPr>
    </w:rPrDefault>
    <w:pPrDefault>
      <w:pPr>
        <w:widowControl w:val="0"/>
        <w:spacing w:before="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spacing w:before="480"/>
      <w:outlineLvl w:val="0"/>
    </w:pPr>
    <w:rPr>
      <w:rFonts w:ascii="Oswald" w:eastAsia="Oswald" w:hAnsi="Oswald" w:cs="Oswald"/>
      <w:color w:val="B45F06"/>
      <w:sz w:val="28"/>
      <w:szCs w:val="28"/>
    </w:rPr>
  </w:style>
  <w:style w:type="paragraph" w:styleId="Ttulo2">
    <w:name w:val="heading 2"/>
    <w:basedOn w:val="Normal"/>
    <w:next w:val="Normal"/>
    <w:uiPriority w:val="9"/>
    <w:unhideWhenUsed/>
    <w:qFormat/>
    <w:pPr>
      <w:spacing w:line="240" w:lineRule="auto"/>
      <w:outlineLvl w:val="1"/>
    </w:pPr>
    <w:rPr>
      <w:rFonts w:ascii="Oswald" w:eastAsia="Oswald" w:hAnsi="Oswald" w:cs="Oswald"/>
      <w:color w:val="783F04"/>
    </w:rPr>
  </w:style>
  <w:style w:type="paragraph" w:styleId="Ttulo3">
    <w:name w:val="heading 3"/>
    <w:basedOn w:val="Normal"/>
    <w:next w:val="Normal"/>
    <w:uiPriority w:val="9"/>
    <w:unhideWhenUsed/>
    <w:qFormat/>
    <w:pPr>
      <w:spacing w:line="240" w:lineRule="auto"/>
      <w:jc w:val="center"/>
      <w:outlineLvl w:val="2"/>
    </w:pPr>
    <w:rPr>
      <w:b/>
      <w:color w:val="783F04"/>
      <w:sz w:val="36"/>
      <w:szCs w:val="36"/>
    </w:rPr>
  </w:style>
  <w:style w:type="paragraph" w:styleId="Ttulo4">
    <w:name w:val="heading 4"/>
    <w:basedOn w:val="Normal"/>
    <w:next w:val="Normal"/>
    <w:uiPriority w:val="9"/>
    <w:unhideWhenUsed/>
    <w:qFormat/>
    <w:pPr>
      <w:outlineLvl w:val="3"/>
    </w:pPr>
    <w:rPr>
      <w:rFonts w:ascii="Oswald" w:eastAsia="Oswald" w:hAnsi="Oswald" w:cs="Oswald"/>
    </w:rPr>
  </w:style>
  <w:style w:type="paragraph" w:styleId="Ttulo5">
    <w:name w:val="heading 5"/>
    <w:basedOn w:val="Normal"/>
    <w:next w:val="Normal"/>
    <w:uiPriority w:val="9"/>
    <w:semiHidden/>
    <w:unhideWhenUsed/>
    <w:qFormat/>
    <w:pPr>
      <w:keepNext/>
      <w:keepLines/>
      <w:spacing w:before="160"/>
      <w:outlineLvl w:val="4"/>
    </w:pPr>
    <w:rPr>
      <w:rFonts w:ascii="Trebuchet MS" w:eastAsia="Trebuchet MS" w:hAnsi="Trebuchet MS" w:cs="Trebuchet MS"/>
    </w:rPr>
  </w:style>
  <w:style w:type="paragraph" w:styleId="Ttulo6">
    <w:name w:val="heading 6"/>
    <w:basedOn w:val="Normal"/>
    <w:next w:val="Normal"/>
    <w:uiPriority w:val="9"/>
    <w:semiHidden/>
    <w:unhideWhenUsed/>
    <w:qFormat/>
    <w:pPr>
      <w:keepNext/>
      <w:keepLines/>
      <w:spacing w:before="160"/>
      <w:outlineLvl w:val="5"/>
    </w:pPr>
    <w:rPr>
      <w:rFonts w:ascii="Trebuchet MS" w:eastAsia="Trebuchet MS" w:hAnsi="Trebuchet MS" w:cs="Trebuchet MS"/>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line="240" w:lineRule="auto"/>
      <w:jc w:val="center"/>
    </w:pPr>
    <w:rPr>
      <w:rFonts w:ascii="Oswald" w:eastAsia="Oswald" w:hAnsi="Oswald" w:cs="Oswald"/>
      <w:color w:val="B45F06"/>
      <w:sz w:val="84"/>
      <w:szCs w:val="84"/>
    </w:rPr>
  </w:style>
  <w:style w:type="paragraph" w:styleId="Subttulo">
    <w:name w:val="Subtitle"/>
    <w:basedOn w:val="Normal"/>
    <w:next w:val="Normal"/>
    <w:uiPriority w:val="11"/>
    <w:qFormat/>
    <w:pPr>
      <w:spacing w:before="120"/>
      <w:jc w:val="center"/>
    </w:pPr>
    <w:rPr>
      <w:i/>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4</Pages>
  <Words>521</Words>
  <Characters>2867</Characters>
  <Application>Microsoft Office Word</Application>
  <DocSecurity>0</DocSecurity>
  <Lines>23</Lines>
  <Paragraphs>6</Paragraphs>
  <ScaleCrop>false</ScaleCrop>
  <Company/>
  <LinksUpToDate>false</LinksUpToDate>
  <CharactersWithSpaces>3382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Francisco Borgno</cp:lastModifiedBy>
  <cp:revision>3</cp:revision>
  <dcterms:created xsi:type="dcterms:W3CDTF">2024-10-19T17:25:00Z</dcterms:created>
  <dcterms:modified xsi:type="dcterms:W3CDTF">2024-10-25T13:05:00Z</dcterms:modified>
</cp:coreProperties>
</file>