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1.- Mostrar, en el navegador del cliente, información sobre el propio navegador (buscar una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función, hay más de una entre nuevas y obsoletas, que tome como parámetro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“HTTP_USER_AGENT”)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realizar el ejercicio incrusta dentro de un código HTML, el código PHP que dé solución 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problema.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Recuerda que en el momento que se incluye código PHP dentro de una página HTML la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extensión del archivo tiene que ser .php. Llama al archivo infNavegador.php.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2.- Mostrar en el navegador del cliente toda la información de configuración (variables,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versiones, módulos intalados, etc.) de PHP en el servidor.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3.- Define dos variables enteras: $var1 y $var2 y asígnalas cualquier valor adecuado. Muestra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el navegador del cliente una serie de mensajes, formateados con HTML, que den información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 las variables y del resultado de realizar la suma, el producto, la división (entera y real) y del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resto de la división entera.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Así, si asignas los valores 5 a $var1 y 10 a $var2 el navegador del cliente debe mostrar algo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parecido 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Valor de $var1: 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Valor de $var2: 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 + 10 son 15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 * 10 son 50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 / 10 (división entera) es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 / 10 (división real) es 0.5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 modulo 10 es 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Todo ello debidamente formateado. (Para obtener el resultado de la división entera deberás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utilizar alguna función)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