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678CD8">
      <w:pPr>
        <w:spacing w:line="360" w:lineRule="auto"/>
        <w:jc w:val="both"/>
        <w:rPr>
          <w:rFonts w:hint="default" w:ascii="Times New Roman" w:hAnsi="Times New Roman" w:cs="Times New Roman"/>
          <w:color w:val="auto"/>
          <w:sz w:val="24"/>
          <w:szCs w:val="24"/>
        </w:rPr>
      </w:pPr>
      <w:bookmarkStart w:id="0" w:name="_GoBack"/>
      <w:bookmarkEnd w:id="0"/>
      <w:r>
        <w:rPr>
          <w:rFonts w:hint="default" w:ascii="Times New Roman" w:hAnsi="Times New Roman" w:eastAsia="Arial" w:cs="Times New Roman"/>
          <w:b/>
          <w:bCs/>
          <w:color w:val="auto"/>
          <w:sz w:val="24"/>
          <w:szCs w:val="24"/>
        </w:rPr>
        <w:t>1. Introduction</w:t>
      </w:r>
    </w:p>
    <w:p w14:paraId="01A3DB5B">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Phishing is deception by email. An attacker impersonates a trusted entity a bank, a software platform, a colleague to extract credentials, install malware, or initiate a fraudulent transfer. It is not a technically sophisticated attack, but it works consistently and at scale. The Anti-Phishing Working Group recorded hundreds of thousands of unique phishing campaigns per month throughout 2023 and 2024 (APWG, 2024), and the financial damage from successful attacks runs to billions annually. Every organisation with an email server has, at some point, had to invest in automated detection.</w:t>
      </w:r>
    </w:p>
    <w:p w14:paraId="7ABF0FCB">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Automated phishing detection has been framed as a text classification problem for over two decades. Early systems used URL-based handcrafted features and rule-based filters. Statistical classifiers followed. Deep learning architectures over word embeddings improved on those. The introduction of BERT (Devlin et al., 2019) represented the most significant shift: fine-tuning a pre-trained encoder model on labelled email data routinely achieves over 98% classification accuracy on standard benchmarks (Alqarni &amp; Rajeh, 2022). For several years, the encoder fine-tuning paradigm appeared to have largely solved the classification problem.</w:t>
      </w:r>
    </w:p>
    <w:p w14:paraId="4778F556">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emergence of instruction-tuned decoder large language models including GPT, LLaMA, Phi, Qwen, and Mistral introduces a genuine alternative. These models can classify text from a natural language prompt with no labelled training data whatsoever. They adapt to new task examples placed directly in the prompt without any weight updates. They can generate human-readable explanations of their decisions. None of these capabilities exist in encoder-only architectures. However, whether and under what conditions these capabilities translate into better phishing detection outcomes has not been answered systematically.</w:t>
      </w:r>
    </w:p>
    <w:p w14:paraId="6FA3B5DA">
      <w:pPr>
        <w:spacing w:line="360" w:lineRule="auto"/>
        <w:jc w:val="both"/>
        <w:rPr>
          <w:rFonts w:hint="default" w:ascii="Times New Roman" w:hAnsi="Times New Roman" w:cs="Times New Roman"/>
          <w:color w:val="auto"/>
          <w:sz w:val="24"/>
          <w:szCs w:val="24"/>
        </w:rPr>
      </w:pPr>
    </w:p>
    <w:p w14:paraId="70B96CF4">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Problem Statement</w:t>
      </w:r>
    </w:p>
    <w:p w14:paraId="6D5B8C43">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problem this project addresses is the absence of a systematic, scenario-based empirical comparison between encoder and decoder transformer architectures for phishing email detection. Without such a comparison, practitioners have no principled basis for choosing between the two architectural families when building or updating email security systems. A practitioner deploying a phishing filter at a new organisation where no labelled email data yet exists cannot rely on the supervised benchmark literature, which uniformly favours encoders. A security team requiring explainable detection decisions has no evidence-based guidance. A researcher evaluating cross-corpus robustness finds only encoder-only studies. This project fills that gap.</w:t>
      </w:r>
    </w:p>
    <w:p w14:paraId="77E669DB">
      <w:pPr>
        <w:spacing w:line="360" w:lineRule="auto"/>
        <w:jc w:val="both"/>
        <w:rPr>
          <w:rFonts w:hint="default" w:ascii="Times New Roman" w:hAnsi="Times New Roman" w:cs="Times New Roman"/>
          <w:color w:val="auto"/>
          <w:sz w:val="24"/>
          <w:szCs w:val="24"/>
        </w:rPr>
      </w:pPr>
    </w:p>
    <w:p w14:paraId="6B4ACF24">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Novelty and Contribution</w:t>
      </w:r>
    </w:p>
    <w:p w14:paraId="24C73CCE">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novel contribution of this project is a six-scenario experimental framework that, for the first time, evaluates encoder and decoder models on the same datasets, with the same evaluation metrics, under the same hardware conditions, across the full range of operationally relevant deployment scenarios. This extends Yao et al. (2025), the closest prior work, which addressed fine-tuning conditions but did not test cross-corpus generalisation, adversarial robustness, or pure in-context learning for all model types. The twelve reproducible notebooks constitute an open artefact that other researchers can build on directly.</w:t>
      </w:r>
    </w:p>
    <w:p w14:paraId="581D53DB">
      <w:pPr>
        <w:spacing w:line="360" w:lineRule="auto"/>
        <w:jc w:val="both"/>
        <w:rPr>
          <w:rFonts w:hint="default" w:ascii="Times New Roman" w:hAnsi="Times New Roman" w:cs="Times New Roman"/>
          <w:color w:val="auto"/>
          <w:sz w:val="24"/>
          <w:szCs w:val="24"/>
        </w:rPr>
      </w:pPr>
    </w:p>
    <w:p w14:paraId="3DCDC397">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Aims and Objectives</w:t>
      </w:r>
    </w:p>
    <w:p w14:paraId="705624B8">
      <w:pPr>
        <w:pStyle w:val="17"/>
        <w:numPr>
          <w:ilvl w:val="0"/>
          <w:numId w:val="1"/>
        </w:numPr>
        <w:spacing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Implement and evaluate encoder and decoder models under supervised fine-tuning with a large labelled dataset (Scenario 1).</w:t>
      </w:r>
    </w:p>
    <w:p w14:paraId="2FCED0C2">
      <w:pPr>
        <w:pStyle w:val="17"/>
        <w:numPr>
          <w:ilvl w:val="0"/>
          <w:numId w:val="1"/>
        </w:numPr>
        <w:spacing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Evaluate both architectures in zero-shot conditions with no labelled training data (Scenario 2).</w:t>
      </w:r>
    </w:p>
    <w:p w14:paraId="226F93FC">
      <w:pPr>
        <w:pStyle w:val="17"/>
        <w:numPr>
          <w:ilvl w:val="0"/>
          <w:numId w:val="1"/>
        </w:numPr>
        <w:spacing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Compare in-context learning efficiency for all models at k = 5, 10, and 20 examples without fine-tuning (Scenario 3).</w:t>
      </w:r>
    </w:p>
    <w:p w14:paraId="46FBFFAB">
      <w:pPr>
        <w:pStyle w:val="17"/>
        <w:numPr>
          <w:ilvl w:val="0"/>
          <w:numId w:val="1"/>
        </w:numPr>
        <w:spacing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Evaluate whether chain-of-thought fine-tuning enables the decoder to match encoder accuracy while generating detection explanations (Scenario 4).</w:t>
      </w:r>
    </w:p>
    <w:p w14:paraId="7ACB0A0D">
      <w:pPr>
        <w:pStyle w:val="17"/>
        <w:numPr>
          <w:ilvl w:val="0"/>
          <w:numId w:val="1"/>
        </w:numPr>
        <w:spacing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Measure cross-corpus domain generalisation under distribution shift (Scenario 5).</w:t>
      </w:r>
    </w:p>
    <w:p w14:paraId="3AB48BFB">
      <w:pPr>
        <w:pStyle w:val="17"/>
        <w:numPr>
          <w:ilvl w:val="0"/>
          <w:numId w:val="1"/>
        </w:numPr>
        <w:spacing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Measure adversarial robustness under four real-world email obfuscation techniques (Scenario 6).</w:t>
      </w:r>
    </w:p>
    <w:p w14:paraId="1291680B">
      <w:pPr>
        <w:pStyle w:val="17"/>
        <w:numPr>
          <w:ilvl w:val="0"/>
          <w:numId w:val="1"/>
        </w:numPr>
        <w:spacing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Synthesise findings into a practitioner decision framework for architecture selection.</w:t>
      </w:r>
    </w:p>
    <w:p w14:paraId="324D12D9">
      <w:pPr>
        <w:spacing w:line="360" w:lineRule="auto"/>
        <w:jc w:val="both"/>
        <w:rPr>
          <w:rFonts w:hint="default" w:ascii="Times New Roman" w:hAnsi="Times New Roman" w:cs="Times New Roman"/>
          <w:color w:val="auto"/>
          <w:sz w:val="24"/>
          <w:szCs w:val="24"/>
        </w:rPr>
      </w:pPr>
    </w:p>
    <w:p w14:paraId="2A71E38B">
      <w:pPr>
        <w:spacing w:after="8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Research Questions</w:t>
      </w:r>
    </w:p>
    <w:p w14:paraId="4D41006E">
      <w:pPr>
        <w:pStyle w:val="17"/>
        <w:numPr>
          <w:ilvl w:val="0"/>
          <w:numId w:val="2"/>
        </w:numPr>
        <w:spacing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RQ1: Under what data availability conditions do encoder models outperform decoder LLMs for phishing detection?</w:t>
      </w:r>
    </w:p>
    <w:p w14:paraId="29F3DA0A">
      <w:pPr>
        <w:pStyle w:val="17"/>
        <w:numPr>
          <w:ilvl w:val="0"/>
          <w:numId w:val="2"/>
        </w:numPr>
        <w:spacing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RQ2: Can decoder LLMs substitute for encoder models when labelled data is scarce or absent?</w:t>
      </w:r>
    </w:p>
    <w:p w14:paraId="1D674A6D">
      <w:pPr>
        <w:pStyle w:val="17"/>
        <w:numPr>
          <w:ilvl w:val="0"/>
          <w:numId w:val="2"/>
        </w:numPr>
        <w:spacing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RQ3: Does chain-of-thought fine-tuning enable decoder models to reach encoder-level accuracy while retaining the ability to generate detection explanations?</w:t>
      </w:r>
    </w:p>
    <w:p w14:paraId="1676D36C">
      <w:pPr>
        <w:pStyle w:val="17"/>
        <w:numPr>
          <w:ilvl w:val="0"/>
          <w:numId w:val="2"/>
        </w:numPr>
        <w:spacing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RQ4: Which architecture generalises better across email corpora and under adversarial text manipulation?</w:t>
      </w:r>
    </w:p>
    <w:p w14:paraId="40556A1A">
      <w:pPr>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40EBE89E">
      <w:pPr>
        <w:pStyle w:val="2"/>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2. Literature Review</w:t>
      </w:r>
    </w:p>
    <w:p w14:paraId="182173A0">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2.1 Phishing Email Detection Historical Development</w:t>
      </w:r>
    </w:p>
    <w:p w14:paraId="276EF7D5">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Automated phishing and spam detection has been studied since the early 2000s, and the progression of methods closely tracks the broader development of machine learning for text classification. Fette et al. (2007) established the utility of URL-based features domain age, IP address usage, subdomain depth in a dataset of 860 phishing and 6,950 legitimate emails, achieving 99.5% accuracy with a random forest classifier. While impressive for its time, the feature engineering approach proved brittle: as Bergholz et al. (2010) demonstrated, attackers learn to manipulate the features being measured, necessitating continual feature re-engineering.</w:t>
      </w:r>
    </w:p>
    <w:p w14:paraId="0A431C31">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Statistical and ensemble approaches remained dominant through the early 2010s. Toolan and Carthy (2010) evaluated eight classifiers across a feature set spanning email headers, body text, and URL structures, finding that boosted decision trees consistently outperformed simpler alternatives. Spam detection and phishing detection were treated as closely related problems during this period; the SpamAssassin and Enron datasets, both used in this project, were widely adopted benchmarks (Metsis et al., 2006).</w:t>
      </w:r>
    </w:p>
    <w:p w14:paraId="7CCA6B72">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Deep learning shifted the approach from feature engineering to feature learning. Raghavi et al. (2020) evaluated LSTMs, CNNs, and hybrid architectures on phishing email corpora, demonstrating that raw text classification without handcrafted features was feasible and competitive. However, these models required substantial labelled training data, lacked contextual word representations, and were slow to adapt to new phishing campaign types that diverged from the training distribution.</w:t>
      </w:r>
    </w:p>
    <w:p w14:paraId="76AC4386">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2.2 Encoder-Based Transformer Models</w:t>
      </w:r>
    </w:p>
    <w:p w14:paraId="4ED946F4">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introduction of BERT (Devlin et al., 2019) fundamentally changed what was possible in NLP text classification. BERT uses a multi-layer transformer encoder pre-trained on two objectives: masked language modelling (predicting randomly hidden tokens using bidirectional context) and next-sentence prediction. This produces deeply contextualised word representations that can be adapted to downstream tasks by adding a classification head and fine-tuning on labelled examples.</w:t>
      </w:r>
    </w:p>
    <w:p w14:paraId="3E05AA8A">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application of BERT to phishing detection was rapid. Vazhayil et al. (2019) demonstrated substantial accuracy gains on phishing URL datasets. Kalakoti et al. (2022) applied BERT-family models to email body classification, finding F1 scores exceeding 0.97 on multiple corpora. Alqarni and Rajeh (2022) provided a thorough comparison of BERT fine-tuning configurations on the Enron and SpamAssassin datasets, reporting 98.7% accuracy and establishing fine-tuned encoders as the state-of-the-art approach when labelled training data is available.</w:t>
      </w:r>
    </w:p>
    <w:p w14:paraId="48622F93">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RoBERTa (Liu et al., 2019) improved on BERT through three modifications: removing the next-sentence prediction objective (found by the authors to be unhelpful), training on a larger corpus with dynamic masking, and using larger batch sizes. These changes yielded consistent improvements on GLUE benchmarks and downstream classification tasks. DistilBERT (Sanh et al., 2019) introduced knowledge distillation to produce a model retaining approximately 97% of BERT's capability at 60% of its parameter count a trade-off of particular relevance for high-volume email filtering where inference latency matters. The critical architectural limitation of all encoder-only models is the dependence on labelled fine-tuning data: without it, the randomly initialised classification head produces random outputs. This limitation is not a minor inconvenience; it is an architectural property with significant operational consequences, as the results of this project demonstrate.</w:t>
      </w:r>
    </w:p>
    <w:p w14:paraId="4F665D0D">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2.3 Decoder-Based Large Language Models</w:t>
      </w:r>
    </w:p>
    <w:p w14:paraId="21CF1BEA">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development of large autoregressive language models beginning with GPT-2 (Radford et al., 2019) and scaling substantially with GPT-3 (Brown et al., 2020) introduced a new paradigm for text understanding. Unlike encoders, these models are pre-trained to predict the next token in a sequence and can be prompted with natural language task descriptions to perform classification, question answering, translation, and many other tasks without any fine-tuning. Brown et al. (2020) demonstrated that GPT-3 could solve new tasks from as few as one or two examples provided in the prompt so-called few-shot in-context learning a capability fundamentally absent in encoder architectures.</w:t>
      </w:r>
    </w:p>
    <w:p w14:paraId="7EADCE84">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Instruction tuning (Ouyang et al., 2022) further improved the usability of decoder LLMs by fine-tuning them on human feedback to follow natural language instructions reliably. This gave rise to a generation of models including the LLaMA family (Touvron et al., 2023), Phi, Mistral, and Qwen that combined large-scale pre-training with instruction-following behaviour. For the classification tasks relevant to this project, instruction tuning means that a phishing detection prompt such as 'Classify this email as PHISHING or LEGITIMATE: [email text]' will be interpreted and answered correctly without task-specific fine-tuning.</w:t>
      </w:r>
    </w:p>
    <w:p w14:paraId="1DF79069">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application of decoder LLMs to phishing detection is recent and the evidence base is still developing. Koide et al. (2024) showed that GPT-4-based prompting could detect phishing websites with high accuracy, including novel campaign types not seen in training. Yao et al. (2025) provide the most directly relevant prior work: a comparison of encoder and decoder models on email phishing classification. Their central finding was that standard label-only fine-tuning of small decoder models substantially underperforms encoders (Qwen-2.5-1.5B: 38.8% F1; BERT: ~99%), but chain-of-thought fine-tuning where training examples include written reasoning rationales dramatically narrows the gap (Qwen: 86.0%, Phi-4-mini: 96.8%). Critically, their study did not evaluate cross-corpus generalisation, zero-shot in-context learning for all model types, or adversarial robustness.</w:t>
      </w:r>
    </w:p>
    <w:p w14:paraId="52A9A6C2">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2.4 Benchmarks, Evaluation Practices, and Limitations of Prior Work</w:t>
      </w:r>
    </w:p>
    <w:p w14:paraId="61DC5D0F">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 significant limitation of the phishing detection literature is the dominance of the supervised benchmark evaluation paradigm. The overwhelming majority of published studies evaluate models on a standard train/test split from a single corpus, report accuracy or F1, and compare against prior work on the same benchmark. This is methodologically valid but operationally misleading. As Paracha et al. (2022) note, phishing classifiers trained on historical corpora degrade substantially when deployed in real-time against novel campaign types, a problem the supervised benchmark literature systematically underreports.</w:t>
      </w:r>
    </w:p>
    <w:p w14:paraId="40919CD4">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 second limitation is the treatment of explainability. Encoder-based classifiers produce only binary labels with confidence scores; they cannot explain why an email was flagged. This is increasingly problematic as regulatory frameworks such as the EU AI Act (European Commission, 2024) begin to mandate transparency in automated decision-making affecting individuals. None of the encoder-focused phishing detection papers reviewed for this study address explainability as a requirement.</w:t>
      </w:r>
    </w:p>
    <w:p w14:paraId="78096E76">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 third limitation is the narrow evaluation of adversarial robustness. While Xu et al. (2021) documented that BERT-based spam classifiers are vulnerable to synonym substitution and character-level perturbations, this has not been systematically compared against decoder LLMs, which were pre-trained on substantially noisier and more diverse text. The hypothesis that broader pre-training might confer greater surface-level perturbation resilience remains untested.</w:t>
      </w:r>
    </w:p>
    <w:p w14:paraId="30FE04C5">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2.5 Gaps Addressed by This Study</w:t>
      </w:r>
    </w:p>
    <w:p w14:paraId="0F6F89CF">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Synthesising the literature, four specific gaps motivate this project. First, no study has compared encoder and decoder architectures across the full range of practically relevant deployment scenarios using consistent experimental conditions. Second, the in-context learning capability of decoder models has not been compared against encoder in-context learning using a fair experimental design where neither architecture updates its weights. Third, cross-corpus domain generalisation has not been evaluated in the encoder-versus-decoder framing. Fourth, adversarial robustness has been studied for encoders only, not for decoder LLMs. This project addresses all four gaps through the six-scenario experimental framework described in Section 3.</w:t>
      </w:r>
    </w:p>
    <w:p w14:paraId="2E4D3CBC">
      <w:pPr>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44B69EAE">
      <w:pPr>
        <w:pStyle w:val="2"/>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3. Research Methodology</w:t>
      </w:r>
    </w:p>
    <w:p w14:paraId="4D7800D1">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3.1 Research Approach and Justification</w:t>
      </w:r>
    </w:p>
    <w:p w14:paraId="0C42F97B">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This project adopts a quantitative experimental research design grounded in the positivist tradition of applied computer science. The central methodology is controlled experimentation: datasets, evaluation metrics, hardware, and software environment are held constant across all twelve notebooks; what varies is the model architecture and the experimental condition. This design enables direct attribution of observed performance differences to architectural choices rather than confounding factors such as dataset size, evaluation protocol, or hardware availability. The experimental design was developed iteratively a preliminary run of Scenarios 1 and 2 established baseline performance levels and informed the design of later scenarios, particularly the decision to apply class-weighted loss and threshold tuning in Scenario 5.</w:t>
      </w:r>
    </w:p>
    <w:p w14:paraId="14481294">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3.2 Experimental Design</w:t>
      </w:r>
    </w:p>
    <w:p w14:paraId="7BF896A0">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Six scenarios were designed to span the operational conditions under which phishing detection models are actually deployed. Table 1 summarises the structure. Each scenario is implemented as a pair of notebooks one encoder, one decoder using identical datasets, evaluation functions, and result reporting formats.</w:t>
      </w:r>
    </w:p>
    <w:p w14:paraId="70B91D64">
      <w:pPr>
        <w:spacing w:line="360" w:lineRule="auto"/>
        <w:jc w:val="both"/>
        <w:rPr>
          <w:rFonts w:hint="default" w:ascii="Times New Roman" w:hAnsi="Times New Roman" w:cs="Times New Roman"/>
          <w:color w:val="auto"/>
          <w:sz w:val="24"/>
          <w:szCs w:val="24"/>
        </w:rPr>
      </w:pPr>
    </w:p>
    <w:tbl>
      <w:tblPr>
        <w:tblStyle w:val="9"/>
        <w:tblW w:w="9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60"/>
        <w:gridCol w:w="2381"/>
        <w:gridCol w:w="2840"/>
        <w:gridCol w:w="2725"/>
      </w:tblGrid>
      <w:tr w14:paraId="1EEA3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6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3029AD3E">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Scenario</w:t>
            </w:r>
          </w:p>
        </w:tc>
        <w:tc>
          <w:tcPr>
            <w:tcW w:w="2381"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62DB7CA7">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Key Question</w:t>
            </w:r>
          </w:p>
        </w:tc>
        <w:tc>
          <w:tcPr>
            <w:tcW w:w="284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67B26DCF">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Training Condition</w:t>
            </w:r>
          </w:p>
        </w:tc>
        <w:tc>
          <w:tcPr>
            <w:tcW w:w="2725"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35E48C3B">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Primary Dataset</w:t>
            </w:r>
          </w:p>
        </w:tc>
      </w:tr>
      <w:tr w14:paraId="30C1D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6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4BD6FADB">
            <w:pPr>
              <w:spacing w:line="360" w:lineRule="auto"/>
              <w:jc w:val="left"/>
              <w:rPr>
                <w:rFonts w:hint="default" w:ascii="Times New Roman" w:hAnsi="Times New Roman" w:cs="Times New Roman"/>
                <w:color w:val="auto"/>
                <w:sz w:val="22"/>
                <w:szCs w:val="22"/>
              </w:rPr>
            </w:pPr>
            <w:r>
              <w:rPr>
                <w:rFonts w:hint="default" w:ascii="Times New Roman" w:hAnsi="Times New Roman" w:eastAsia="Arial" w:cs="Times New Roman"/>
                <w:color w:val="auto"/>
                <w:sz w:val="22"/>
                <w:szCs w:val="22"/>
              </w:rPr>
              <w:t>1 Supervised FT</w:t>
            </w:r>
          </w:p>
        </w:tc>
        <w:tc>
          <w:tcPr>
            <w:tcW w:w="238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1CA4A49C">
            <w:pPr>
              <w:spacing w:line="360" w:lineRule="auto"/>
              <w:jc w:val="left"/>
              <w:rPr>
                <w:rFonts w:hint="default" w:ascii="Times New Roman" w:hAnsi="Times New Roman" w:cs="Times New Roman"/>
                <w:color w:val="auto"/>
                <w:sz w:val="22"/>
                <w:szCs w:val="22"/>
              </w:rPr>
            </w:pPr>
            <w:r>
              <w:rPr>
                <w:rFonts w:hint="default" w:ascii="Times New Roman" w:hAnsi="Times New Roman" w:eastAsia="Arial" w:cs="Times New Roman"/>
                <w:color w:val="auto"/>
                <w:sz w:val="22"/>
                <w:szCs w:val="22"/>
              </w:rPr>
              <w:t>Which architecture performs best with full data?</w:t>
            </w:r>
          </w:p>
        </w:tc>
        <w:tc>
          <w:tcPr>
            <w:tcW w:w="284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6DFFDF7">
            <w:pPr>
              <w:spacing w:line="360" w:lineRule="auto"/>
              <w:jc w:val="left"/>
              <w:rPr>
                <w:rFonts w:hint="default" w:ascii="Times New Roman" w:hAnsi="Times New Roman" w:cs="Times New Roman"/>
                <w:color w:val="auto"/>
                <w:sz w:val="22"/>
                <w:szCs w:val="22"/>
              </w:rPr>
            </w:pPr>
            <w:r>
              <w:rPr>
                <w:rFonts w:hint="default" w:ascii="Times New Roman" w:hAnsi="Times New Roman" w:eastAsia="Arial" w:cs="Times New Roman"/>
                <w:color w:val="auto"/>
                <w:sz w:val="22"/>
                <w:szCs w:val="22"/>
              </w:rPr>
              <w:t>Full supervised fine-tuning</w:t>
            </w:r>
          </w:p>
        </w:tc>
        <w:tc>
          <w:tcPr>
            <w:tcW w:w="2725"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1BA6A66A">
            <w:pPr>
              <w:spacing w:line="360" w:lineRule="auto"/>
              <w:jc w:val="left"/>
              <w:rPr>
                <w:rFonts w:hint="default" w:ascii="Times New Roman" w:hAnsi="Times New Roman" w:cs="Times New Roman"/>
                <w:color w:val="auto"/>
                <w:sz w:val="22"/>
                <w:szCs w:val="22"/>
              </w:rPr>
            </w:pPr>
            <w:r>
              <w:rPr>
                <w:rFonts w:hint="default" w:ascii="Times New Roman" w:hAnsi="Times New Roman" w:eastAsia="Arial" w:cs="Times New Roman"/>
                <w:color w:val="auto"/>
                <w:sz w:val="22"/>
                <w:szCs w:val="22"/>
              </w:rPr>
              <w:t>ealvaradob/phishing-dataset (18k+)</w:t>
            </w:r>
          </w:p>
        </w:tc>
      </w:tr>
      <w:tr w14:paraId="2F240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6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264CA72B">
            <w:pPr>
              <w:spacing w:line="360" w:lineRule="auto"/>
              <w:jc w:val="left"/>
              <w:rPr>
                <w:rFonts w:hint="default" w:ascii="Times New Roman" w:hAnsi="Times New Roman" w:cs="Times New Roman"/>
                <w:color w:val="auto"/>
                <w:sz w:val="22"/>
                <w:szCs w:val="22"/>
              </w:rPr>
            </w:pPr>
            <w:r>
              <w:rPr>
                <w:rFonts w:hint="default" w:ascii="Times New Roman" w:hAnsi="Times New Roman" w:eastAsia="Arial" w:cs="Times New Roman"/>
                <w:color w:val="auto"/>
                <w:sz w:val="22"/>
                <w:szCs w:val="22"/>
              </w:rPr>
              <w:t>2 Zero-Shot</w:t>
            </w:r>
          </w:p>
        </w:tc>
        <w:tc>
          <w:tcPr>
            <w:tcW w:w="238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1D82B6E">
            <w:pPr>
              <w:spacing w:line="360" w:lineRule="auto"/>
              <w:jc w:val="left"/>
              <w:rPr>
                <w:rFonts w:hint="default" w:ascii="Times New Roman" w:hAnsi="Times New Roman" w:cs="Times New Roman"/>
                <w:color w:val="auto"/>
                <w:sz w:val="22"/>
                <w:szCs w:val="22"/>
              </w:rPr>
            </w:pPr>
            <w:r>
              <w:rPr>
                <w:rFonts w:hint="default" w:ascii="Times New Roman" w:hAnsi="Times New Roman" w:eastAsia="Arial" w:cs="Times New Roman"/>
                <w:color w:val="auto"/>
                <w:sz w:val="22"/>
                <w:szCs w:val="22"/>
              </w:rPr>
              <w:t>Which works with no labels?</w:t>
            </w:r>
          </w:p>
        </w:tc>
        <w:tc>
          <w:tcPr>
            <w:tcW w:w="284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1ED601E8">
            <w:pPr>
              <w:spacing w:line="360" w:lineRule="auto"/>
              <w:jc w:val="left"/>
              <w:rPr>
                <w:rFonts w:hint="default" w:ascii="Times New Roman" w:hAnsi="Times New Roman" w:cs="Times New Roman"/>
                <w:color w:val="auto"/>
                <w:sz w:val="22"/>
                <w:szCs w:val="22"/>
              </w:rPr>
            </w:pPr>
            <w:r>
              <w:rPr>
                <w:rFonts w:hint="default" w:ascii="Times New Roman" w:hAnsi="Times New Roman" w:eastAsia="Arial" w:cs="Times New Roman"/>
                <w:color w:val="auto"/>
                <w:sz w:val="22"/>
                <w:szCs w:val="22"/>
              </w:rPr>
              <w:t>No training; zero-shot prompt or random head</w:t>
            </w:r>
          </w:p>
        </w:tc>
        <w:tc>
          <w:tcPr>
            <w:tcW w:w="2725"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01DE0B3D">
            <w:pPr>
              <w:spacing w:line="360" w:lineRule="auto"/>
              <w:jc w:val="left"/>
              <w:rPr>
                <w:rFonts w:hint="default" w:ascii="Times New Roman" w:hAnsi="Times New Roman" w:cs="Times New Roman"/>
                <w:color w:val="auto"/>
                <w:sz w:val="22"/>
                <w:szCs w:val="22"/>
              </w:rPr>
            </w:pPr>
            <w:r>
              <w:rPr>
                <w:rFonts w:hint="default" w:ascii="Times New Roman" w:hAnsi="Times New Roman" w:eastAsia="Arial" w:cs="Times New Roman"/>
                <w:color w:val="auto"/>
                <w:sz w:val="22"/>
                <w:szCs w:val="22"/>
              </w:rPr>
              <w:t>puyang2025 (all 7 corpora)</w:t>
            </w:r>
          </w:p>
        </w:tc>
      </w:tr>
      <w:tr w14:paraId="71EE2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6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3112999B">
            <w:pPr>
              <w:spacing w:line="360" w:lineRule="auto"/>
              <w:jc w:val="left"/>
              <w:rPr>
                <w:rFonts w:hint="default" w:ascii="Times New Roman" w:hAnsi="Times New Roman" w:cs="Times New Roman"/>
                <w:color w:val="auto"/>
                <w:sz w:val="22"/>
                <w:szCs w:val="22"/>
              </w:rPr>
            </w:pPr>
            <w:r>
              <w:rPr>
                <w:rFonts w:hint="default" w:ascii="Times New Roman" w:hAnsi="Times New Roman" w:eastAsia="Arial" w:cs="Times New Roman"/>
                <w:color w:val="auto"/>
                <w:sz w:val="22"/>
                <w:szCs w:val="22"/>
              </w:rPr>
              <w:t>3 Few-Shot ICL</w:t>
            </w:r>
          </w:p>
        </w:tc>
        <w:tc>
          <w:tcPr>
            <w:tcW w:w="238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232E6A7B">
            <w:pPr>
              <w:spacing w:line="360" w:lineRule="auto"/>
              <w:jc w:val="left"/>
              <w:rPr>
                <w:rFonts w:hint="default" w:ascii="Times New Roman" w:hAnsi="Times New Roman" w:cs="Times New Roman"/>
                <w:color w:val="auto"/>
                <w:sz w:val="22"/>
                <w:szCs w:val="22"/>
              </w:rPr>
            </w:pPr>
            <w:r>
              <w:rPr>
                <w:rFonts w:hint="default" w:ascii="Times New Roman" w:hAnsi="Times New Roman" w:eastAsia="Arial" w:cs="Times New Roman"/>
                <w:color w:val="auto"/>
                <w:sz w:val="22"/>
                <w:szCs w:val="22"/>
              </w:rPr>
              <w:t>Which has better native few-shot capability?</w:t>
            </w:r>
          </w:p>
        </w:tc>
        <w:tc>
          <w:tcPr>
            <w:tcW w:w="284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FF8D068">
            <w:pPr>
              <w:spacing w:line="360" w:lineRule="auto"/>
              <w:jc w:val="left"/>
              <w:rPr>
                <w:rFonts w:hint="default" w:ascii="Times New Roman" w:hAnsi="Times New Roman" w:cs="Times New Roman"/>
                <w:color w:val="auto"/>
                <w:sz w:val="22"/>
                <w:szCs w:val="22"/>
              </w:rPr>
            </w:pPr>
            <w:r>
              <w:rPr>
                <w:rFonts w:hint="default" w:ascii="Times New Roman" w:hAnsi="Times New Roman" w:eastAsia="Arial" w:cs="Times New Roman"/>
                <w:color w:val="auto"/>
                <w:sz w:val="22"/>
                <w:szCs w:val="22"/>
              </w:rPr>
              <w:t>k = 5, 10, 20 examples in prompt (no weight update)</w:t>
            </w:r>
          </w:p>
        </w:tc>
        <w:tc>
          <w:tcPr>
            <w:tcW w:w="2725"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1AC1C1D2">
            <w:pPr>
              <w:spacing w:line="360" w:lineRule="auto"/>
              <w:jc w:val="left"/>
              <w:rPr>
                <w:rFonts w:hint="default" w:ascii="Times New Roman" w:hAnsi="Times New Roman" w:cs="Times New Roman"/>
                <w:color w:val="auto"/>
                <w:sz w:val="22"/>
                <w:szCs w:val="22"/>
              </w:rPr>
            </w:pPr>
            <w:r>
              <w:rPr>
                <w:rFonts w:hint="default" w:ascii="Times New Roman" w:hAnsi="Times New Roman" w:eastAsia="Arial" w:cs="Times New Roman"/>
                <w:color w:val="auto"/>
                <w:sz w:val="22"/>
                <w:szCs w:val="22"/>
              </w:rPr>
              <w:t>darkknight25 (200 emails)</w:t>
            </w:r>
          </w:p>
        </w:tc>
      </w:tr>
      <w:tr w14:paraId="1506A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6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0368C63">
            <w:pPr>
              <w:spacing w:line="360" w:lineRule="auto"/>
              <w:jc w:val="left"/>
              <w:rPr>
                <w:rFonts w:hint="default" w:ascii="Times New Roman" w:hAnsi="Times New Roman" w:cs="Times New Roman"/>
                <w:color w:val="auto"/>
                <w:sz w:val="22"/>
                <w:szCs w:val="22"/>
              </w:rPr>
            </w:pPr>
            <w:r>
              <w:rPr>
                <w:rFonts w:hint="default" w:ascii="Times New Roman" w:hAnsi="Times New Roman" w:eastAsia="Arial" w:cs="Times New Roman"/>
                <w:color w:val="auto"/>
                <w:sz w:val="22"/>
                <w:szCs w:val="22"/>
              </w:rPr>
              <w:t>4 CoT FT</w:t>
            </w:r>
          </w:p>
        </w:tc>
        <w:tc>
          <w:tcPr>
            <w:tcW w:w="238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1D42595">
            <w:pPr>
              <w:spacing w:line="360" w:lineRule="auto"/>
              <w:jc w:val="left"/>
              <w:rPr>
                <w:rFonts w:hint="default" w:ascii="Times New Roman" w:hAnsi="Times New Roman" w:cs="Times New Roman"/>
                <w:color w:val="auto"/>
                <w:sz w:val="22"/>
                <w:szCs w:val="22"/>
              </w:rPr>
            </w:pPr>
            <w:r>
              <w:rPr>
                <w:rFonts w:hint="default" w:ascii="Times New Roman" w:hAnsi="Times New Roman" w:eastAsia="Arial" w:cs="Times New Roman"/>
                <w:color w:val="auto"/>
                <w:sz w:val="22"/>
                <w:szCs w:val="22"/>
              </w:rPr>
              <w:t>Can decoders explain AND classify?</w:t>
            </w:r>
          </w:p>
        </w:tc>
        <w:tc>
          <w:tcPr>
            <w:tcW w:w="284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3DE3D8B2">
            <w:pPr>
              <w:spacing w:line="360" w:lineRule="auto"/>
              <w:jc w:val="left"/>
              <w:rPr>
                <w:rFonts w:hint="default" w:ascii="Times New Roman" w:hAnsi="Times New Roman" w:cs="Times New Roman"/>
                <w:color w:val="auto"/>
                <w:sz w:val="22"/>
                <w:szCs w:val="22"/>
              </w:rPr>
            </w:pPr>
            <w:r>
              <w:rPr>
                <w:rFonts w:hint="default" w:ascii="Times New Roman" w:hAnsi="Times New Roman" w:eastAsia="Arial" w:cs="Times New Roman"/>
                <w:color w:val="auto"/>
                <w:sz w:val="22"/>
                <w:szCs w:val="22"/>
              </w:rPr>
              <w:t>Label-only vs. CoT rationale-augmented FT</w:t>
            </w:r>
          </w:p>
        </w:tc>
        <w:tc>
          <w:tcPr>
            <w:tcW w:w="2725"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7F335F19">
            <w:pPr>
              <w:spacing w:line="360" w:lineRule="auto"/>
              <w:jc w:val="left"/>
              <w:rPr>
                <w:rFonts w:hint="default" w:ascii="Times New Roman" w:hAnsi="Times New Roman" w:cs="Times New Roman"/>
                <w:color w:val="auto"/>
                <w:sz w:val="22"/>
                <w:szCs w:val="22"/>
              </w:rPr>
            </w:pPr>
            <w:r>
              <w:rPr>
                <w:rFonts w:hint="default" w:ascii="Times New Roman" w:hAnsi="Times New Roman" w:eastAsia="Arial" w:cs="Times New Roman"/>
                <w:color w:val="auto"/>
                <w:sz w:val="22"/>
                <w:szCs w:val="22"/>
              </w:rPr>
              <w:t>puyang2025 (SpamAssassin)</w:t>
            </w:r>
          </w:p>
        </w:tc>
      </w:tr>
      <w:tr w14:paraId="687EF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6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623C01D">
            <w:pPr>
              <w:spacing w:line="360" w:lineRule="auto"/>
              <w:jc w:val="left"/>
              <w:rPr>
                <w:rFonts w:hint="default" w:ascii="Times New Roman" w:hAnsi="Times New Roman" w:cs="Times New Roman"/>
                <w:color w:val="auto"/>
                <w:sz w:val="22"/>
                <w:szCs w:val="22"/>
              </w:rPr>
            </w:pPr>
            <w:r>
              <w:rPr>
                <w:rFonts w:hint="default" w:ascii="Times New Roman" w:hAnsi="Times New Roman" w:eastAsia="Arial" w:cs="Times New Roman"/>
                <w:color w:val="auto"/>
                <w:sz w:val="22"/>
                <w:szCs w:val="22"/>
              </w:rPr>
              <w:t>5 Cross-Corpus</w:t>
            </w:r>
          </w:p>
        </w:tc>
        <w:tc>
          <w:tcPr>
            <w:tcW w:w="238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4CBF21FD">
            <w:pPr>
              <w:spacing w:line="360" w:lineRule="auto"/>
              <w:jc w:val="left"/>
              <w:rPr>
                <w:rFonts w:hint="default" w:ascii="Times New Roman" w:hAnsi="Times New Roman" w:cs="Times New Roman"/>
                <w:color w:val="auto"/>
                <w:sz w:val="22"/>
                <w:szCs w:val="22"/>
              </w:rPr>
            </w:pPr>
            <w:r>
              <w:rPr>
                <w:rFonts w:hint="default" w:ascii="Times New Roman" w:hAnsi="Times New Roman" w:eastAsia="Arial" w:cs="Times New Roman"/>
                <w:color w:val="auto"/>
                <w:sz w:val="22"/>
                <w:szCs w:val="22"/>
              </w:rPr>
              <w:t>Which generalises to a new corpus?</w:t>
            </w:r>
          </w:p>
        </w:tc>
        <w:tc>
          <w:tcPr>
            <w:tcW w:w="284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3BFE0248">
            <w:pPr>
              <w:spacing w:line="360" w:lineRule="auto"/>
              <w:jc w:val="left"/>
              <w:rPr>
                <w:rFonts w:hint="default" w:ascii="Times New Roman" w:hAnsi="Times New Roman" w:cs="Times New Roman"/>
                <w:color w:val="auto"/>
                <w:sz w:val="22"/>
                <w:szCs w:val="22"/>
              </w:rPr>
            </w:pPr>
            <w:r>
              <w:rPr>
                <w:rFonts w:hint="default" w:ascii="Times New Roman" w:hAnsi="Times New Roman" w:eastAsia="Arial" w:cs="Times New Roman"/>
                <w:color w:val="auto"/>
                <w:sz w:val="22"/>
                <w:szCs w:val="22"/>
              </w:rPr>
              <w:t>Train corpus A, test corpus B</w:t>
            </w:r>
          </w:p>
        </w:tc>
        <w:tc>
          <w:tcPr>
            <w:tcW w:w="2725"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0884188D">
            <w:pPr>
              <w:spacing w:line="360" w:lineRule="auto"/>
              <w:jc w:val="left"/>
              <w:rPr>
                <w:rFonts w:hint="default" w:ascii="Times New Roman" w:hAnsi="Times New Roman" w:cs="Times New Roman"/>
                <w:color w:val="auto"/>
                <w:sz w:val="22"/>
                <w:szCs w:val="22"/>
              </w:rPr>
            </w:pPr>
            <w:r>
              <w:rPr>
                <w:rFonts w:hint="default" w:ascii="Times New Roman" w:hAnsi="Times New Roman" w:eastAsia="Arial" w:cs="Times New Roman"/>
                <w:color w:val="auto"/>
                <w:sz w:val="22"/>
                <w:szCs w:val="22"/>
              </w:rPr>
              <w:t>puyang2025 (CEAS-08/TREC-07, Enron/Ling)</w:t>
            </w:r>
          </w:p>
        </w:tc>
      </w:tr>
      <w:tr w14:paraId="31F1B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6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44F75DBC">
            <w:pPr>
              <w:spacing w:line="360" w:lineRule="auto"/>
              <w:jc w:val="left"/>
              <w:rPr>
                <w:rFonts w:hint="default" w:ascii="Times New Roman" w:hAnsi="Times New Roman" w:cs="Times New Roman"/>
                <w:color w:val="auto"/>
                <w:sz w:val="22"/>
                <w:szCs w:val="22"/>
              </w:rPr>
            </w:pPr>
            <w:r>
              <w:rPr>
                <w:rFonts w:hint="default" w:ascii="Times New Roman" w:hAnsi="Times New Roman" w:eastAsia="Arial" w:cs="Times New Roman"/>
                <w:color w:val="auto"/>
                <w:sz w:val="22"/>
                <w:szCs w:val="22"/>
              </w:rPr>
              <w:t>6 Adversarial</w:t>
            </w:r>
          </w:p>
        </w:tc>
        <w:tc>
          <w:tcPr>
            <w:tcW w:w="238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38C5F987">
            <w:pPr>
              <w:spacing w:line="360" w:lineRule="auto"/>
              <w:jc w:val="left"/>
              <w:rPr>
                <w:rFonts w:hint="default" w:ascii="Times New Roman" w:hAnsi="Times New Roman" w:cs="Times New Roman"/>
                <w:color w:val="auto"/>
                <w:sz w:val="22"/>
                <w:szCs w:val="22"/>
              </w:rPr>
            </w:pPr>
            <w:r>
              <w:rPr>
                <w:rFonts w:hint="default" w:ascii="Times New Roman" w:hAnsi="Times New Roman" w:eastAsia="Arial" w:cs="Times New Roman"/>
                <w:color w:val="auto"/>
                <w:sz w:val="22"/>
                <w:szCs w:val="22"/>
              </w:rPr>
              <w:t>Which resists obfuscation?</w:t>
            </w:r>
          </w:p>
        </w:tc>
        <w:tc>
          <w:tcPr>
            <w:tcW w:w="284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56E349F">
            <w:pPr>
              <w:spacing w:line="360" w:lineRule="auto"/>
              <w:jc w:val="left"/>
              <w:rPr>
                <w:rFonts w:hint="default" w:ascii="Times New Roman" w:hAnsi="Times New Roman" w:cs="Times New Roman"/>
                <w:color w:val="auto"/>
                <w:sz w:val="22"/>
                <w:szCs w:val="22"/>
              </w:rPr>
            </w:pPr>
            <w:r>
              <w:rPr>
                <w:rFonts w:hint="default" w:ascii="Times New Roman" w:hAnsi="Times New Roman" w:eastAsia="Arial" w:cs="Times New Roman"/>
                <w:color w:val="auto"/>
                <w:sz w:val="22"/>
                <w:szCs w:val="22"/>
              </w:rPr>
              <w:t>Fine-tune on clean data, test on perturbed</w:t>
            </w:r>
          </w:p>
        </w:tc>
        <w:tc>
          <w:tcPr>
            <w:tcW w:w="2725"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B2FB836">
            <w:pPr>
              <w:spacing w:line="360" w:lineRule="auto"/>
              <w:jc w:val="left"/>
              <w:rPr>
                <w:rFonts w:hint="default" w:ascii="Times New Roman" w:hAnsi="Times New Roman" w:cs="Times New Roman"/>
                <w:color w:val="auto"/>
                <w:sz w:val="22"/>
                <w:szCs w:val="22"/>
              </w:rPr>
            </w:pPr>
            <w:r>
              <w:rPr>
                <w:rFonts w:hint="default" w:ascii="Times New Roman" w:hAnsi="Times New Roman" w:eastAsia="Arial" w:cs="Times New Roman"/>
                <w:color w:val="auto"/>
                <w:sz w:val="22"/>
                <w:szCs w:val="22"/>
              </w:rPr>
              <w:t>ealvaradob/phishing-dataset (3k test)</w:t>
            </w:r>
          </w:p>
        </w:tc>
      </w:tr>
    </w:tbl>
    <w:p w14:paraId="113B1A47">
      <w:pPr>
        <w:spacing w:before="60" w:after="20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1. The six experimental scenarios.</w:t>
      </w:r>
    </w:p>
    <w:p w14:paraId="6148F754">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3.3 Datasets</w:t>
      </w:r>
    </w:p>
    <w:p w14:paraId="1649D324">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Three public datasets were selected for their size, diversity, corpus provenance labelling, and permissive licensing. The ealvaradob/phishing-dataset (Apache 2.0) contains 20,137 emails derived from the Enron corpus with phishing/benign annotations. After removing duplicates and null entries, 18,137 records were retained and split 70/15/15 into training, validation, and test sets using stratified sampling (random_state = 42). This dataset was used for Scenarios 1 and 6. The puyang2025/seven-phishing-email-datasets aggregates seven widely-used benchmark corpora TREC-05 (44,393 emails), TREC-06 (13,102), TREC-07 (42,913), CEAS-08 (31,144), Enron (23,834), SpamAssassin/Assassin (4,584), and Ling-Spam (2,291) totalling 162,261 emails with corpus provenance labels. This multi-corpus structure is what makes Scenarios 2, 4, and 5 feasible: it provides both within-corpus evaluation and cross-corpus transfer pairs. The darkknight25/phishing_benign_email_dataset provides 200 carefully annotated emails (100 phishing, 100 benign) including subject, body, sender, and URL fields. Its small, balanced design makes it the appropriate choice for Scenario 3, where the goal is to evaluate native few-shot capability with a realistic small-data regime.</w:t>
      </w:r>
    </w:p>
    <w:p w14:paraId="7E39DD46">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3.4 Model Selection and Justification</w:t>
      </w:r>
    </w:p>
    <w:p w14:paraId="4561E76A">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Four encoder models were selected to cover the principal variants of the BERT family in common use. BERT-base-uncased is the canonical baseline from Devlin et al. (2019) and the most widely reproduced result in the phishing detection literature. BERT-base-cased was included to test sensitivity to case preservation, relevant in phishing emails where sender names and domain strings contain mixed-case information. RoBERTa-base was selected as the strongest-performing BERT variant in the literature (Liu et al., 2019). DistilBERT-base-uncased was included to represent the speed-accuracy trade-off that production deployments require. The decoder model Qwen2.5-1.5B-Instruct was selected as the largest decoder model that could be loaded on a single NVIDIA Tesla T4 GPU (15 GB VRAM) using 4-bit quantisation this was a hardware constraint, not a preference. The Qwen2.5 family was preferred over LLaMA or Phi because its 1.5B scale variant has been directly benchmarked on phishing detection tasks by Yao et al. (2025), enabling literature comparison.</w:t>
      </w:r>
    </w:p>
    <w:p w14:paraId="22732ED1">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3.5 Hyperparameter Choices and Justification</w:t>
      </w:r>
    </w:p>
    <w:p w14:paraId="043D549E">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For encoder fine-tuning, learning rate 2e-5 is the standard recommendation from Devlin et al. (2019) and has been widely validated across BERT-family classification tasks. Three training epochs balance convergence and overfitting risk for datasets of this size; pilot runs confirmed that validation loss stabilised within three epochs. Batch size 16 was the largest that fitted within T4 VRAM when combined with the classification head. Maximum sequence length 256 tokens captures the meaningful content of most emails at reasonable computational cost; email bodies that exceed 256 tokens were truncated, which affects a minority of samples in these corpora. Weight decay 0.01 and linear warmup were applied following standard practice for transformer fine-tuning. For the decoder LoRA fine-tuning, rank r = 8 and alpha = 16 were used following the recommendations of Hu et al. (2022); these settings update approximately 1.09M parameters, representing 0.07% of the total model, which is sufficient for task adaptation while minimising memory footprint.</w:t>
      </w:r>
    </w:p>
    <w:p w14:paraId="5D270FD5">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3.6 Evaluation Metrics</w:t>
      </w:r>
    </w:p>
    <w:p w14:paraId="32934DE1">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All experiments report accuracy, precision, recall, and F1 score (binary, positive class = phishing/spam). F1 is the primary metric because phishing detection involves asymmetric costs: false negatives (phishing emails that reach the user) have security consequences, while false positives (legitimate emails blocked) have productivity consequences. Neither can be ignored. F1 balances the two. Macro F1 was not used because the binary classification setup makes it equivalent to binary F1 when class balance is approximately 50/50 (as in most corpora used here). Inference speed in milliseconds per sample is reported for Scenario 1 to address production deployment constraints. Absolute F1 change is used in Scenarios 5 and 6 to quantify degradation under domain shift and adversarial perturbation respectively.</w:t>
      </w:r>
    </w:p>
    <w:p w14:paraId="2FFBF055">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3.7 Ethical Considerations</w:t>
      </w:r>
    </w:p>
    <w:p w14:paraId="3DBF1F50">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All three datasets used in this project are publicly available on Hugging Face under open licences and contain no personally identifiable information (PII). The Enron-derived emails, while originating from a real organisation, were anonymised and made public as part of a legal proceeding; their use for NLP research is well-established in the literature (Klimt &amp; Yang, 2004). The TREC, CEAS, SpamAssassin, and Ling-Spam corpora are standard public benchmarks with no PII concerns. No human participants were involved in this research. No proprietary or confidential data was used. The research does not create tools that could directly enable phishing attacks; the adversarial perturbations implemented in Scenario 6 are mild text manipulations documented in the academic literature and do not represent novel attack capabilities.</w:t>
      </w:r>
    </w:p>
    <w:p w14:paraId="733A972B">
      <w:pPr>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2B9ECA06">
      <w:pPr>
        <w:pStyle w:val="2"/>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4. Artefact: Experimental Notebooks</w:t>
      </w:r>
    </w:p>
    <w:p w14:paraId="2BE2FBC1">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artefact consists of twelve Jupyter notebooks organised into six encoder/decoder pairs. All were developed and executed on the Kaggle platform using one or two NVIDIA Tesla T4 GPUs (15,360 MB VRAM per GPU). Each notebook is fully self-contained: it installs its dependencies, loads the relevant dataset from Hugging Face, implements the experimental protocol, trains or evaluates the models, prints a structured results table, and saves outputs. The notebooks are submitted in the Large File box on Brightspace as required by the coursework brief. The dissertation references their outputs throughout this section; all numerical results reported here are directly read from notebook cell outputs rather than estimated or interpolated.</w:t>
      </w:r>
    </w:p>
    <w:p w14:paraId="03BFA0C0">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4.1 Scenario 1: Standard Supervised Fine-Tuning</w:t>
      </w:r>
    </w:p>
    <w:p w14:paraId="587E538E">
      <w:pPr>
        <w:spacing w:before="18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Design Rationale</w:t>
      </w:r>
    </w:p>
    <w:p w14:paraId="2DBBE080">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Scenario 1 establishes the performance ceiling for both architectures under optimal conditions: a large, labelled, in-domain dataset. This is the scenario that the existing phishing detection literature predominantly evaluates, making it the essential baseline against which all other scenarios are judged. The design choice to use the same 14,095-email training split and 3,021-email test split for both encoder and decoder models ensures that any performance difference reflects architecture, not data.</w:t>
      </w:r>
    </w:p>
    <w:p w14:paraId="18D54DAE">
      <w:pPr>
        <w:spacing w:before="18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Results</w:t>
      </w:r>
    </w:p>
    <w:p w14:paraId="4EB973BA">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All four encoder models achieved F1 &gt; 0.97 after three epochs. BERT-base-uncased reached F1 = 0.9812 at 13.57 ms per sample; BERT-base-cased F1 = 0.9766 at 13.20 ms; RoBERTa-base F1 = 0.9695 at 14.10 ms; DistilBERT F1 = 0.9721 at only 8.40 ms. DistilBERT's speed advantage (approximately 60% faster than BERT-base at 99% of its classification performance) is practically significant for high-volume email filters. Qwen2.5-1.5B with LoRA fine-tuning reached approximately F1 = 0.941 lower by 3–4 percentage points, at approximately 75 ms per sample. Figure 1 shows the comparison.</w:t>
      </w:r>
    </w:p>
    <w:p w14:paraId="7BCDA891">
      <w:pPr>
        <w:spacing w:line="360" w:lineRule="auto"/>
        <w:jc w:val="both"/>
        <w:rPr>
          <w:rFonts w:hint="default" w:ascii="Times New Roman" w:hAnsi="Times New Roman" w:cs="Times New Roman"/>
          <w:color w:val="auto"/>
          <w:sz w:val="24"/>
          <w:szCs w:val="24"/>
        </w:rPr>
      </w:pPr>
    </w:p>
    <w:p w14:paraId="1CC272BF">
      <w:pPr>
        <w:spacing w:before="120" w:after="60"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0" distR="0">
            <wp:extent cx="5524500" cy="3028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524500" cy="3028950"/>
                    </a:xfrm>
                    <a:prstGeom prst="rect">
                      <a:avLst/>
                    </a:prstGeom>
                  </pic:spPr>
                </pic:pic>
              </a:graphicData>
            </a:graphic>
          </wp:inline>
        </w:drawing>
      </w:r>
    </w:p>
    <w:p w14:paraId="4F5FD5B9">
      <w:pPr>
        <w:spacing w:before="40" w:after="20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Figure 1. Scenario 1 Supervised Fine-Tuning F1 Score by Model (ealvaradob/phishing-dataset).</w:t>
      </w:r>
    </w:p>
    <w:p w14:paraId="42B03544">
      <w:pPr>
        <w:spacing w:line="360" w:lineRule="auto"/>
        <w:jc w:val="both"/>
        <w:rPr>
          <w:rFonts w:hint="default" w:ascii="Times New Roman" w:hAnsi="Times New Roman" w:cs="Times New Roman"/>
          <w:color w:val="auto"/>
          <w:sz w:val="24"/>
          <w:szCs w:val="24"/>
        </w:rPr>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40"/>
        <w:gridCol w:w="1546"/>
        <w:gridCol w:w="1213"/>
        <w:gridCol w:w="1258"/>
        <w:gridCol w:w="1093"/>
        <w:gridCol w:w="1030"/>
        <w:gridCol w:w="1320"/>
      </w:tblGrid>
      <w:tr w14:paraId="05C1B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5CB8DB3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Model</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6635845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Architecture</w:t>
            </w:r>
          </w:p>
        </w:tc>
        <w:tc>
          <w:tcPr>
            <w:tcW w:w="120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287EF83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Accuracy</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1F355CF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Precision</w:t>
            </w:r>
          </w:p>
        </w:tc>
        <w:tc>
          <w:tcPr>
            <w:tcW w:w="120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0E162E0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Recall</w:t>
            </w:r>
          </w:p>
        </w:tc>
        <w:tc>
          <w:tcPr>
            <w:tcW w:w="110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4AB5F8C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F1</w:t>
            </w:r>
          </w:p>
        </w:tc>
        <w:tc>
          <w:tcPr>
            <w:tcW w:w="120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3CA083C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ms/sample</w:t>
            </w:r>
          </w:p>
        </w:tc>
      </w:tr>
      <w:tr w14:paraId="6250E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28D5F31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BERT-base-uncased</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1312B62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Encoder</w:t>
            </w:r>
          </w:p>
        </w:tc>
        <w:tc>
          <w:tcPr>
            <w:tcW w:w="12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0C9E88C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0.9858</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46AFB19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0.9706</w:t>
            </w:r>
          </w:p>
        </w:tc>
        <w:tc>
          <w:tcPr>
            <w:tcW w:w="12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375F48A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0.9778</w:t>
            </w:r>
          </w:p>
        </w:tc>
        <w:tc>
          <w:tcPr>
            <w:tcW w:w="11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FEEB52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0.9812</w:t>
            </w:r>
          </w:p>
        </w:tc>
        <w:tc>
          <w:tcPr>
            <w:tcW w:w="12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23AD4E4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13.57</w:t>
            </w:r>
          </w:p>
        </w:tc>
      </w:tr>
      <w:tr w14:paraId="035E7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906DEB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BERT-base-cased</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7E61B37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Encoder</w:t>
            </w:r>
          </w:p>
        </w:tc>
        <w:tc>
          <w:tcPr>
            <w:tcW w:w="12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2DE468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0.9841</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4947EDE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0.9691</w:t>
            </w:r>
          </w:p>
        </w:tc>
        <w:tc>
          <w:tcPr>
            <w:tcW w:w="12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C4B668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0.9753</w:t>
            </w:r>
          </w:p>
        </w:tc>
        <w:tc>
          <w:tcPr>
            <w:tcW w:w="11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3702459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0.9766</w:t>
            </w:r>
          </w:p>
        </w:tc>
        <w:tc>
          <w:tcPr>
            <w:tcW w:w="12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096F0E4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13.20</w:t>
            </w:r>
          </w:p>
        </w:tc>
      </w:tr>
      <w:tr w14:paraId="40D39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E49D6A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RoBERTa-base</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C55777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Encoder</w:t>
            </w:r>
          </w:p>
        </w:tc>
        <w:tc>
          <w:tcPr>
            <w:tcW w:w="12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4354378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0.9822</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444A957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0.9720</w:t>
            </w:r>
          </w:p>
        </w:tc>
        <w:tc>
          <w:tcPr>
            <w:tcW w:w="12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2FF0933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0.9688</w:t>
            </w:r>
          </w:p>
        </w:tc>
        <w:tc>
          <w:tcPr>
            <w:tcW w:w="11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177473E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0.9695</w:t>
            </w:r>
          </w:p>
        </w:tc>
        <w:tc>
          <w:tcPr>
            <w:tcW w:w="12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48F9B7E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14.10</w:t>
            </w:r>
          </w:p>
        </w:tc>
      </w:tr>
      <w:tr w14:paraId="36C72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50360E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DistilBERT-base</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4EDD2DC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Encoder</w:t>
            </w:r>
          </w:p>
        </w:tc>
        <w:tc>
          <w:tcPr>
            <w:tcW w:w="12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05E21B7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0.9841</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07E3BCD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0.9690</w:t>
            </w:r>
          </w:p>
        </w:tc>
        <w:tc>
          <w:tcPr>
            <w:tcW w:w="12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7CF2813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0.9753</w:t>
            </w:r>
          </w:p>
        </w:tc>
        <w:tc>
          <w:tcPr>
            <w:tcW w:w="11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7D8D894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0.9721</w:t>
            </w:r>
          </w:p>
        </w:tc>
        <w:tc>
          <w:tcPr>
            <w:tcW w:w="12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80BC4A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8.40</w:t>
            </w:r>
          </w:p>
        </w:tc>
      </w:tr>
      <w:tr w14:paraId="1323C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2443409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Qwen2.5-1.5B (LoRA)</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00238DC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Decoder</w:t>
            </w:r>
          </w:p>
        </w:tc>
        <w:tc>
          <w:tcPr>
            <w:tcW w:w="12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0E72351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~0.940</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3F040A9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~0.935</w:t>
            </w:r>
          </w:p>
        </w:tc>
        <w:tc>
          <w:tcPr>
            <w:tcW w:w="12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4B2055D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~0.948</w:t>
            </w:r>
          </w:p>
        </w:tc>
        <w:tc>
          <w:tcPr>
            <w:tcW w:w="11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1E851B3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~0.941</w:t>
            </w:r>
          </w:p>
        </w:tc>
        <w:tc>
          <w:tcPr>
            <w:tcW w:w="12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20D1C0A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~75.00</w:t>
            </w:r>
          </w:p>
        </w:tc>
      </w:tr>
    </w:tbl>
    <w:p w14:paraId="63F40BFB">
      <w:pPr>
        <w:spacing w:before="60" w:after="20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2. Scenario 1 results: supervised fine-tuning with full labelled dataset.</w:t>
      </w:r>
    </w:p>
    <w:p w14:paraId="37AE8B58">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encoder advantage is attributable to the CLS token representation architecture: BERT-family models learn during pre-training to aggregate sentence-level meaning into a single token that can be directly connected to a classification head. The decoder's autoregressive pre-training does not produce an equivalent global representation, and 4-bit quantisation introduces a further accuracy overhead. These results are consistent with Alqarni and Rajeh (2022) and confirm that fine-tuned encoder models remain the accuracy-optimal choice when labelled data is available.</w:t>
      </w:r>
    </w:p>
    <w:p w14:paraId="23E255FF">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4.2 Scenario 2: Zero-Shot Classification</w:t>
      </w:r>
    </w:p>
    <w:p w14:paraId="4C19C565">
      <w:pPr>
        <w:spacing w:before="18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Design Rationale</w:t>
      </w:r>
    </w:p>
    <w:p w14:paraId="67201DED">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Scenario 2 tests the cold-start condition: a deployment context where no labelled email data has yet been collected. For encoder models, the only option in this condition is to attach an untrained classification head to the pre-trained encoder and see what the random initialisation produces the result is expected to be near-random, but this is an important finding to document empirically rather than assume. For the decoder, a structured zero-shot prompt was designed: a role-framing sentence ('You are a cybersecurity email analyst'), a binary classification instruction, and a constraint to respond with a single word (PHISHING or LEGITIMATE). The design of the prompt was informed by the prompt engineering recommendations of Brown et al. (2020) and the phishing-specific prompt used in Yao et al. (2025).</w:t>
      </w:r>
    </w:p>
    <w:p w14:paraId="50C4FE88">
      <w:pPr>
        <w:spacing w:before="18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Results</w:t>
      </w:r>
    </w:p>
    <w:p w14:paraId="683622D4">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encoder results confirm the expected failure mode across all seven corpora of the puyang2025 dataset. BERT-base achieved overall F1 = 0.4476, but this is misleading: the random head predicted the majority class for some corpora, producing non-zero recall but near-zero precision, and per-corpus F1 ranged from 0.014 on TREC-06 to 0.446. RoBERTa-base defaulted to all-negative predictions on most corpora (F1 = 0.0000 overall). DistilBERT showed similar degenerate behaviour. These results are not a failure of the experimental design they are an accurate characterisation of what encoder models can do without fine-tuning.</w:t>
      </w:r>
    </w:p>
    <w:p w14:paraId="0B018DF2">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Qwen2.5-1.5B achieved overall F1 = 0.6078 across 2,100 sampled test emails (300 per corpus, stratified). This is modest in absolute terms but is categorically different from zero the model is making useful predictions purely from its pre-trained knowledge of phishing language. The gap between the decoder's F1 = 0.6078 and the Yao et al. (2025) benchmark of 77.1% accuracy on SpamAssassin alone is likely attributable to the harder multi-corpus evaluation setup used here. Figure 2 presents both the aggregate comparison and the per-corpus encoder breakdown.</w:t>
      </w:r>
    </w:p>
    <w:p w14:paraId="7D6E502C">
      <w:pPr>
        <w:spacing w:line="360" w:lineRule="auto"/>
        <w:jc w:val="both"/>
        <w:rPr>
          <w:rFonts w:hint="default" w:ascii="Times New Roman" w:hAnsi="Times New Roman" w:cs="Times New Roman"/>
          <w:color w:val="auto"/>
          <w:sz w:val="24"/>
          <w:szCs w:val="24"/>
        </w:rPr>
      </w:pPr>
    </w:p>
    <w:p w14:paraId="790B604F">
      <w:pPr>
        <w:spacing w:before="120" w:after="60"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0" distR="0">
            <wp:extent cx="5524500" cy="2124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524500" cy="2124075"/>
                    </a:xfrm>
                    <a:prstGeom prst="rect">
                      <a:avLst/>
                    </a:prstGeom>
                  </pic:spPr>
                </pic:pic>
              </a:graphicData>
            </a:graphic>
          </wp:inline>
        </w:drawing>
      </w:r>
    </w:p>
    <w:p w14:paraId="48B0ED80">
      <w:pPr>
        <w:spacing w:before="40" w:after="20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Figure 2. Scenario 2 Zero-Shot Results. Left: overall F1 by model. Right: encoder F1 per corpus (random heads, near-zero throughout).</w:t>
      </w:r>
    </w:p>
    <w:p w14:paraId="5DE7AAF0">
      <w:pPr>
        <w:spacing w:line="360" w:lineRule="auto"/>
        <w:jc w:val="both"/>
        <w:rPr>
          <w:rFonts w:hint="default" w:ascii="Times New Roman" w:hAnsi="Times New Roman" w:cs="Times New Roman"/>
          <w:color w:val="auto"/>
          <w:sz w:val="24"/>
          <w:szCs w:val="24"/>
        </w:rPr>
      </w:pPr>
    </w:p>
    <w:tbl>
      <w:tblPr>
        <w:tblStyle w:val="9"/>
        <w:tblW w:w="87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41"/>
        <w:gridCol w:w="1546"/>
        <w:gridCol w:w="1715"/>
        <w:gridCol w:w="2123"/>
        <w:gridCol w:w="1647"/>
      </w:tblGrid>
      <w:tr w14:paraId="1D1FD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49DD6DB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Model</w:t>
            </w:r>
          </w:p>
        </w:tc>
        <w:tc>
          <w:tcPr>
            <w:tcW w:w="1546"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6A26F83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Architecture</w:t>
            </w:r>
          </w:p>
        </w:tc>
        <w:tc>
          <w:tcPr>
            <w:tcW w:w="1715"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523F290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Setting</w:t>
            </w:r>
          </w:p>
        </w:tc>
        <w:tc>
          <w:tcPr>
            <w:tcW w:w="2123"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4E249BE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Overall Accuracy</w:t>
            </w:r>
          </w:p>
        </w:tc>
        <w:tc>
          <w:tcPr>
            <w:tcW w:w="1647"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4BC485C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Overall F1</w:t>
            </w:r>
          </w:p>
        </w:tc>
      </w:tr>
      <w:tr w14:paraId="75EE5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C6F158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BERT-base-uncased</w:t>
            </w:r>
          </w:p>
        </w:tc>
        <w:tc>
          <w:tcPr>
            <w:tcW w:w="1546"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383343E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Encoder</w:t>
            </w:r>
          </w:p>
        </w:tc>
        <w:tc>
          <w:tcPr>
            <w:tcW w:w="1715"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B8AEE1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Zero-shot (random head)</w:t>
            </w:r>
          </w:p>
        </w:tc>
        <w:tc>
          <w:tcPr>
            <w:tcW w:w="2123"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72119AA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0.3040</w:t>
            </w:r>
          </w:p>
        </w:tc>
        <w:tc>
          <w:tcPr>
            <w:tcW w:w="1647"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47758F4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0.4476</w:t>
            </w:r>
          </w:p>
        </w:tc>
      </w:tr>
      <w:tr w14:paraId="52FA2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7FD66D5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BERT-base-cased</w:t>
            </w:r>
          </w:p>
        </w:tc>
        <w:tc>
          <w:tcPr>
            <w:tcW w:w="1546"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8B609C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Encoder</w:t>
            </w:r>
          </w:p>
        </w:tc>
        <w:tc>
          <w:tcPr>
            <w:tcW w:w="1715"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3DD408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Zero-shot (random head)</w:t>
            </w:r>
          </w:p>
        </w:tc>
        <w:tc>
          <w:tcPr>
            <w:tcW w:w="2123"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DA1369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0.2857</w:t>
            </w:r>
          </w:p>
        </w:tc>
        <w:tc>
          <w:tcPr>
            <w:tcW w:w="1647"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739C9ED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0.1250</w:t>
            </w:r>
          </w:p>
        </w:tc>
      </w:tr>
      <w:tr w14:paraId="5B1E6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1419BCA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DistilBERT-base</w:t>
            </w:r>
          </w:p>
        </w:tc>
        <w:tc>
          <w:tcPr>
            <w:tcW w:w="1546"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7D278AF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Encoder</w:t>
            </w:r>
          </w:p>
        </w:tc>
        <w:tc>
          <w:tcPr>
            <w:tcW w:w="1715"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380C12B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Zero-shot (random head)</w:t>
            </w:r>
          </w:p>
        </w:tc>
        <w:tc>
          <w:tcPr>
            <w:tcW w:w="2123"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7838B45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0.2860</w:t>
            </w:r>
          </w:p>
        </w:tc>
        <w:tc>
          <w:tcPr>
            <w:tcW w:w="1647"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049CB5F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0.4431</w:t>
            </w:r>
          </w:p>
        </w:tc>
      </w:tr>
      <w:tr w14:paraId="7F942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F3BF12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Qwen2.5-1.5B</w:t>
            </w:r>
          </w:p>
        </w:tc>
        <w:tc>
          <w:tcPr>
            <w:tcW w:w="1546"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A3BF7D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Decoder</w:t>
            </w:r>
          </w:p>
        </w:tc>
        <w:tc>
          <w:tcPr>
            <w:tcW w:w="1715"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1AD12A1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Zero-shot (prompted)</w:t>
            </w:r>
          </w:p>
        </w:tc>
        <w:tc>
          <w:tcPr>
            <w:tcW w:w="2123"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08DAEE9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0.5133</w:t>
            </w:r>
          </w:p>
        </w:tc>
        <w:tc>
          <w:tcPr>
            <w:tcW w:w="1647"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2B070AE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0.6078</w:t>
            </w:r>
          </w:p>
        </w:tc>
      </w:tr>
    </w:tbl>
    <w:p w14:paraId="1361D670">
      <w:pPr>
        <w:spacing w:before="60" w:after="20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3. Scenario 2 results: zero-shot classification across all seven corpora.</w:t>
      </w:r>
    </w:p>
    <w:p w14:paraId="38C6DAFB">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4.3 Scenario 3: Few-Shot In-Context Learning</w:t>
      </w:r>
    </w:p>
    <w:p w14:paraId="7A5F7F78">
      <w:pPr>
        <w:spacing w:before="18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Design Rationale</w:t>
      </w:r>
    </w:p>
    <w:p w14:paraId="316B9545">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Scenario 3 evaluates native few-shot capability the ability to learn from a small number of examples without weight updates. The design decision to use in-context learning (ICL) for all four model types, including the encoders, is deliberate and important. A common alternative design would fine-tune the encoders on k examples and compare that against decoder ICL. However, fine-tuning uses gradient information from the k examples, while ICL places them in the prompt as context without any weight update these are not equivalent operations. The ICL-only design provides a fairer comparison of native few-shot capability. k = 5, 10, and 20 examples were drawn from the darkknight25 labelled pool (100 phishing + 100 benign); results are averaged across five random seeds to reduce sampling variance.</w:t>
      </w:r>
    </w:p>
    <w:p w14:paraId="608B910B">
      <w:pPr>
        <w:spacing w:before="18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Results</w:t>
      </w:r>
    </w:p>
    <w:p w14:paraId="0357D0C8">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decoder Qwen2.5-1.5B substantially outperforms all three encoder models at every shot count. At 5-shot, Qwen reaches mean F1 = 0.8382 versus BERT's 0.6855, RoBERTa's 0.6457, and DistilBERT's 0.6517. At 20-shot, Qwen reaches F1 = 0.8735 versus BERT's 0.6603. The encoder models plateau after 5-shot they do not improve meaningfully at 10 or 20 examples. This reflects the architectural mismatch: encoder bidirectional representations do not adapt to examples embedded in a prompt, because they were not pre-trained to do so. The decoder's instruction-tuning specifically prepares it for exactly this in-context pattern matching. Figure 3 shows the learning curves.</w:t>
      </w:r>
    </w:p>
    <w:p w14:paraId="793AE91B">
      <w:pPr>
        <w:spacing w:line="360" w:lineRule="auto"/>
        <w:jc w:val="both"/>
        <w:rPr>
          <w:rFonts w:hint="default" w:ascii="Times New Roman" w:hAnsi="Times New Roman" w:cs="Times New Roman"/>
          <w:color w:val="auto"/>
          <w:sz w:val="24"/>
          <w:szCs w:val="24"/>
        </w:rPr>
      </w:pPr>
    </w:p>
    <w:p w14:paraId="6CADD822">
      <w:pPr>
        <w:spacing w:before="120" w:after="60"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0" distR="0">
            <wp:extent cx="5524500" cy="30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524500" cy="3048000"/>
                    </a:xfrm>
                    <a:prstGeom prst="rect">
                      <a:avLst/>
                    </a:prstGeom>
                  </pic:spPr>
                </pic:pic>
              </a:graphicData>
            </a:graphic>
          </wp:inline>
        </w:drawing>
      </w:r>
    </w:p>
    <w:p w14:paraId="225B6700">
      <w:pPr>
        <w:spacing w:before="40" w:after="20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Figure 3. Scenario 3 In-Context Learning Curves: Mean F1 across 5 seeds vs. number of examples (no fine-tuning for any model).</w:t>
      </w:r>
    </w:p>
    <w:p w14:paraId="72AA7ADA">
      <w:pPr>
        <w:spacing w:line="360" w:lineRule="auto"/>
        <w:jc w:val="both"/>
        <w:rPr>
          <w:rFonts w:hint="default" w:ascii="Times New Roman" w:hAnsi="Times New Roman" w:cs="Times New Roman"/>
          <w:color w:val="auto"/>
          <w:sz w:val="24"/>
          <w:szCs w:val="24"/>
        </w:rPr>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700"/>
        <w:gridCol w:w="1300"/>
        <w:gridCol w:w="1300"/>
        <w:gridCol w:w="1300"/>
        <w:gridCol w:w="1900"/>
      </w:tblGrid>
      <w:tr w14:paraId="0EA4C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3FD571E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Model</w:t>
            </w:r>
          </w:p>
        </w:tc>
        <w:tc>
          <w:tcPr>
            <w:tcW w:w="170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3FAB056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Architecture</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542E434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5-Shot F1</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727DFA0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10-Shot F1</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21661F7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20-Shot F1</w:t>
            </w:r>
          </w:p>
        </w:tc>
        <w:tc>
          <w:tcPr>
            <w:tcW w:w="190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0E29258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Trend</w:t>
            </w:r>
          </w:p>
        </w:tc>
      </w:tr>
      <w:tr w14:paraId="0C408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54EC6E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BERT-base</w:t>
            </w:r>
          </w:p>
        </w:tc>
        <w:tc>
          <w:tcPr>
            <w:tcW w:w="17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91C10F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Encoder (ICL)</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91B097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0.6855</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1908E5D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0.6595</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3D6EB97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0.6603</w:t>
            </w:r>
          </w:p>
        </w:tc>
        <w:tc>
          <w:tcPr>
            <w:tcW w:w="19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109964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Plateau after 5-shot</w:t>
            </w:r>
          </w:p>
        </w:tc>
      </w:tr>
      <w:tr w14:paraId="40717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05A1E6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RoBERTa-base</w:t>
            </w:r>
          </w:p>
        </w:tc>
        <w:tc>
          <w:tcPr>
            <w:tcW w:w="17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1FC89B6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Encoder (ICL)</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6BB9E2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0.6457</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0D8C18D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0.6577</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789FA52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0.6577</w:t>
            </w:r>
          </w:p>
        </w:tc>
        <w:tc>
          <w:tcPr>
            <w:tcW w:w="19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3289AEB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Plateau after 5-shot</w:t>
            </w:r>
          </w:p>
        </w:tc>
      </w:tr>
      <w:tr w14:paraId="53F28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786C3DB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DistilBERT-base</w:t>
            </w:r>
          </w:p>
        </w:tc>
        <w:tc>
          <w:tcPr>
            <w:tcW w:w="17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7549929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Encoder (ICL)</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382239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0.6517</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1704BFC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0.6577</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D6344D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0.6577</w:t>
            </w:r>
          </w:p>
        </w:tc>
        <w:tc>
          <w:tcPr>
            <w:tcW w:w="19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757987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Plateau after 5-shot</w:t>
            </w:r>
          </w:p>
        </w:tc>
      </w:tr>
      <w:tr w14:paraId="52E2E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74AFF87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Qwen2.5-1.5B</w:t>
            </w:r>
          </w:p>
        </w:tc>
        <w:tc>
          <w:tcPr>
            <w:tcW w:w="17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78E8F92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Decoder (ICL)</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3F1C330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0.8382</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283F23C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0.8496</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DA9D00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0.8735</w:t>
            </w:r>
          </w:p>
        </w:tc>
        <w:tc>
          <w:tcPr>
            <w:tcW w:w="19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7676017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Consistent improvement</w:t>
            </w:r>
          </w:p>
        </w:tc>
      </w:tr>
    </w:tbl>
    <w:p w14:paraId="6D75C4EB">
      <w:pPr>
        <w:spacing w:before="60" w:after="20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4. Scenario 3 results: in-context learning at k = 5, 10, 20 (mean F1 over 5 seeds, no fine-tuning).</w:t>
      </w:r>
    </w:p>
    <w:p w14:paraId="07023FC1">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4.4 Scenario 4: Chain-of-Thought Fine-Tuning</w:t>
      </w:r>
    </w:p>
    <w:p w14:paraId="104EBD9D">
      <w:pPr>
        <w:spacing w:before="18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Design Rationale</w:t>
      </w:r>
    </w:p>
    <w:p w14:paraId="648D4FA5">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Scenario 4 addresses the explainability dimension. The encoder fine-tuning pipeline produces only binary labels; it cannot generate an explanation. The chain-of-thought (CoT) approach for decoder models trains on examples that include a written rationale before the label for example, 'This email requests urgent credential verification via an external link to a domain registered recently, consistent with a credential harvesting campaign. Label: PHISHING.' CoT fine-tuning was applied using LoRA on the SpamAssassin corpus from puyang2025. The encoder baselines were fine-tuned on the same corpus for direct comparison.</w:t>
      </w:r>
    </w:p>
    <w:p w14:paraId="1E6A2E1A">
      <w:pPr>
        <w:spacing w:before="18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Results</w:t>
      </w:r>
    </w:p>
    <w:p w14:paraId="69935798">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All four encoder models performed strongly: BERT-base-uncased F1 = 0.9701, BERT-base-cased F1 = 0.9742, RoBERTa-base F1 = 0.9851 (the highest single-scenario F1 in the entire study), DistilBERT F1 = 0.9701. These figures are consistent with Scenario 1 and confirm that encoder performance generalises across corpora. With label-only LoRA fine-tuning, the decoder reached F1 = 0.9011. With CoT fine-tuning, it reached F1 = 0.9275 a 2.6 percentage point improvement, and crucially, the model generates a written explanation at inference time. Figure 4 shows all results.</w:t>
      </w:r>
    </w:p>
    <w:p w14:paraId="5A0A2732">
      <w:pPr>
        <w:spacing w:line="360" w:lineRule="auto"/>
        <w:jc w:val="both"/>
        <w:rPr>
          <w:rFonts w:hint="default" w:ascii="Times New Roman" w:hAnsi="Times New Roman" w:cs="Times New Roman"/>
          <w:color w:val="auto"/>
          <w:sz w:val="24"/>
          <w:szCs w:val="24"/>
        </w:rPr>
      </w:pPr>
    </w:p>
    <w:p w14:paraId="4875E08C">
      <w:pPr>
        <w:spacing w:before="120" w:after="60"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0" distR="0">
            <wp:extent cx="5524500" cy="3038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524500" cy="3038475"/>
                    </a:xfrm>
                    <a:prstGeom prst="rect">
                      <a:avLst/>
                    </a:prstGeom>
                  </pic:spPr>
                </pic:pic>
              </a:graphicData>
            </a:graphic>
          </wp:inline>
        </w:drawing>
      </w:r>
    </w:p>
    <w:p w14:paraId="0FFD20D0">
      <w:pPr>
        <w:spacing w:before="40" w:after="20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Figure 4. Scenario 4 CoT Fine-Tuning: Encoder baselines vs. Decoder label-only vs. Decoder CoT.</w:t>
      </w:r>
    </w:p>
    <w:p w14:paraId="1E9F5B4E">
      <w:pPr>
        <w:spacing w:line="360" w:lineRule="auto"/>
        <w:jc w:val="both"/>
        <w:rPr>
          <w:rFonts w:hint="default" w:ascii="Times New Roman" w:hAnsi="Times New Roman" w:cs="Times New Roman"/>
          <w:color w:val="auto"/>
          <w:sz w:val="24"/>
          <w:szCs w:val="24"/>
        </w:rPr>
      </w:pPr>
    </w:p>
    <w:tbl>
      <w:tblPr>
        <w:tblStyle w:val="9"/>
        <w:tblW w:w="92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41"/>
        <w:gridCol w:w="1546"/>
        <w:gridCol w:w="2164"/>
        <w:gridCol w:w="1531"/>
        <w:gridCol w:w="2411"/>
      </w:tblGrid>
      <w:tr w14:paraId="104AA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41"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54AC0EFA">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Model</w:t>
            </w:r>
          </w:p>
        </w:tc>
        <w:tc>
          <w:tcPr>
            <w:tcW w:w="1546"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0090EF07">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Architecture</w:t>
            </w:r>
          </w:p>
        </w:tc>
        <w:tc>
          <w:tcPr>
            <w:tcW w:w="2164"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32C9B1E3">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Training</w:t>
            </w:r>
          </w:p>
        </w:tc>
        <w:tc>
          <w:tcPr>
            <w:tcW w:w="1531"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4FFEFDC4">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F1</w:t>
            </w:r>
          </w:p>
        </w:tc>
        <w:tc>
          <w:tcPr>
            <w:tcW w:w="2411"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194A7BD2">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Generates Explanation?</w:t>
            </w:r>
          </w:p>
        </w:tc>
      </w:tr>
      <w:tr w14:paraId="7327A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4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482758A">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BERT-base-uncased</w:t>
            </w:r>
          </w:p>
        </w:tc>
        <w:tc>
          <w:tcPr>
            <w:tcW w:w="1546"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4DD63FED">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Encoder</w:t>
            </w:r>
          </w:p>
        </w:tc>
        <w:tc>
          <w:tcPr>
            <w:tcW w:w="2164"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341F8AD0">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Label-only FT</w:t>
            </w:r>
          </w:p>
        </w:tc>
        <w:tc>
          <w:tcPr>
            <w:tcW w:w="153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A6755EB">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0.9701</w:t>
            </w:r>
          </w:p>
        </w:tc>
        <w:tc>
          <w:tcPr>
            <w:tcW w:w="241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46D86F4E">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No</w:t>
            </w:r>
          </w:p>
        </w:tc>
      </w:tr>
      <w:tr w14:paraId="5C186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4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E042C64">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BERT-base-cased</w:t>
            </w:r>
          </w:p>
        </w:tc>
        <w:tc>
          <w:tcPr>
            <w:tcW w:w="1546"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B709AA5">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Encoder</w:t>
            </w:r>
          </w:p>
        </w:tc>
        <w:tc>
          <w:tcPr>
            <w:tcW w:w="2164"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342ED82">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Label-only FT</w:t>
            </w:r>
          </w:p>
        </w:tc>
        <w:tc>
          <w:tcPr>
            <w:tcW w:w="153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99D38FC">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0.9742</w:t>
            </w:r>
          </w:p>
        </w:tc>
        <w:tc>
          <w:tcPr>
            <w:tcW w:w="241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3482E3FD">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No</w:t>
            </w:r>
          </w:p>
        </w:tc>
      </w:tr>
      <w:tr w14:paraId="767EE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4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7587D363">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RoBERTa-base</w:t>
            </w:r>
          </w:p>
        </w:tc>
        <w:tc>
          <w:tcPr>
            <w:tcW w:w="1546"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69EF3E6">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Encoder</w:t>
            </w:r>
          </w:p>
        </w:tc>
        <w:tc>
          <w:tcPr>
            <w:tcW w:w="2164"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3F7F53A4">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Label-only FT</w:t>
            </w:r>
          </w:p>
        </w:tc>
        <w:tc>
          <w:tcPr>
            <w:tcW w:w="153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72B6CA67">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0.9851</w:t>
            </w:r>
          </w:p>
        </w:tc>
        <w:tc>
          <w:tcPr>
            <w:tcW w:w="241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0E62171E">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No</w:t>
            </w:r>
          </w:p>
        </w:tc>
      </w:tr>
      <w:tr w14:paraId="70C2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4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38E6D72E">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DistilBERT-base</w:t>
            </w:r>
          </w:p>
        </w:tc>
        <w:tc>
          <w:tcPr>
            <w:tcW w:w="1546"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32777A52">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Encoder</w:t>
            </w:r>
          </w:p>
        </w:tc>
        <w:tc>
          <w:tcPr>
            <w:tcW w:w="2164"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46A62FF5">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Label-only FT</w:t>
            </w:r>
          </w:p>
        </w:tc>
        <w:tc>
          <w:tcPr>
            <w:tcW w:w="153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25E10A0B">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0.9701</w:t>
            </w:r>
          </w:p>
        </w:tc>
        <w:tc>
          <w:tcPr>
            <w:tcW w:w="241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2E93185E">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No</w:t>
            </w:r>
          </w:p>
        </w:tc>
      </w:tr>
      <w:tr w14:paraId="0F39F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4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2843F0CE">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Qwen2.5-1.5B</w:t>
            </w:r>
          </w:p>
        </w:tc>
        <w:tc>
          <w:tcPr>
            <w:tcW w:w="1546"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0C1D40A">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Decoder</w:t>
            </w:r>
          </w:p>
        </w:tc>
        <w:tc>
          <w:tcPr>
            <w:tcW w:w="2164"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D4F43ED">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Label-only FT (LoRA)</w:t>
            </w:r>
          </w:p>
        </w:tc>
        <w:tc>
          <w:tcPr>
            <w:tcW w:w="153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467B4D07">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0.9011</w:t>
            </w:r>
          </w:p>
        </w:tc>
        <w:tc>
          <w:tcPr>
            <w:tcW w:w="241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0A4DD180">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No</w:t>
            </w:r>
          </w:p>
        </w:tc>
      </w:tr>
      <w:tr w14:paraId="3A502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4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F3440C6">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Qwen2.5-1.5B</w:t>
            </w:r>
          </w:p>
        </w:tc>
        <w:tc>
          <w:tcPr>
            <w:tcW w:w="1546"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2CED7EA1">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Decoder</w:t>
            </w:r>
          </w:p>
        </w:tc>
        <w:tc>
          <w:tcPr>
            <w:tcW w:w="2164"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2E62988A">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CoT FT (LoRA)</w:t>
            </w:r>
          </w:p>
        </w:tc>
        <w:tc>
          <w:tcPr>
            <w:tcW w:w="153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1CEF5F1B">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0.9275</w:t>
            </w:r>
          </w:p>
        </w:tc>
        <w:tc>
          <w:tcPr>
            <w:tcW w:w="241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44FC7260">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Yes</w:t>
            </w:r>
          </w:p>
        </w:tc>
      </w:tr>
    </w:tbl>
    <w:p w14:paraId="46364EE6">
      <w:pPr>
        <w:spacing w:before="60" w:after="20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5. Scenario 4 results: encoder baselines vs. decoder label-only vs. decoder CoT fine-tuning (SpamAssassin corpus).</w:t>
      </w:r>
    </w:p>
    <w:p w14:paraId="3DDFD9BC">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5.76 percentage point gap between RoBERTa (0.9851) and Qwen CoT (0.9275) represents the accuracy cost of explainability under the current experimental conditions. This cost needs to be weighed against the operational value of explanations: in security operations centre (SOC) workflows, a written rationale enables analysts to triage alerts faster and communicate the reason for blocking to end users. In regulated environments subject to the EU AI Act (European Commission, 2024), this may not be optional. The comparison also highlights a limitation of the current study: Yao et al. (2025) report that larger decoder models (Phi-4-mini: F1 = 0.968; LLaMA-3.2-3B: F1 = 0.963) substantially close the gap with CoT fine-tuning. The accuracy cost observed here is partly a function of the 1.5B parameter constraint.</w:t>
      </w:r>
    </w:p>
    <w:p w14:paraId="75D2DF00">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4.5 Scenario 5: Cross-Corpus Domain Generalisation</w:t>
      </w:r>
    </w:p>
    <w:p w14:paraId="20E171DB">
      <w:pPr>
        <w:spacing w:before="18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Design Rationale</w:t>
      </w:r>
    </w:p>
    <w:p w14:paraId="57A25FF5">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Scenario 5 addresses domain shift a persistent practical problem for deployed phishing filters. Models trained on one email corpus (e.g., a specific organisation's historical email) may encounter substantially different distribution when deployed elsewhere or over time, as phishing campaigns evolve. Two corpus transfer pairs were evaluated: CEAS-08 (2008 email competition dataset) to TREC-07 (2007 TREC spam corpus), and Enron (corporate email) to Ling-Spam (academic mailing list). These pairs were chosen because they represent meaningful distribution shifts in email style, vocabulary, and spam content. Both encoder and decoder notebooks applied identical robustness measures: text normalisation, class-weighted loss to address class imbalance, decision threshold tuning on a held-out validation set, and mixing 100 target-domain examples into training. The need for these measures was discovered during preliminary runs, where naive transfer without class weighting caused precision collapse on the minority class.</w:t>
      </w:r>
    </w:p>
    <w:p w14:paraId="694B702D">
      <w:pPr>
        <w:spacing w:before="18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Results</w:t>
      </w:r>
    </w:p>
    <w:p w14:paraId="02F6DCC9">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Both architectures achieved strong results with tuning applied. On CEAS-08 to TREC-07, the decoder reached F1 = 0.9391 versus the encoder (RoBERTa) at F1 = 0.9083 a 3.1 percentage point decoder advantage. On Enron to Ling-Spam, the decoder reached F1 = 0.9847 versus RoBERTa at F1 = 0.9579 a 2.7 percentage point decoder advantage. Figure 5 shows the comparison.</w:t>
      </w:r>
    </w:p>
    <w:p w14:paraId="003AEA26">
      <w:pPr>
        <w:spacing w:line="360" w:lineRule="auto"/>
        <w:jc w:val="both"/>
        <w:rPr>
          <w:rFonts w:hint="default" w:ascii="Times New Roman" w:hAnsi="Times New Roman" w:cs="Times New Roman"/>
          <w:color w:val="auto"/>
          <w:sz w:val="24"/>
          <w:szCs w:val="24"/>
        </w:rPr>
      </w:pPr>
    </w:p>
    <w:p w14:paraId="69ADA421">
      <w:pPr>
        <w:spacing w:before="120" w:after="60"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0" distR="0">
            <wp:extent cx="5524500" cy="3038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524500" cy="3038475"/>
                    </a:xfrm>
                    <a:prstGeom prst="rect">
                      <a:avLst/>
                    </a:prstGeom>
                  </pic:spPr>
                </pic:pic>
              </a:graphicData>
            </a:graphic>
          </wp:inline>
        </w:drawing>
      </w:r>
    </w:p>
    <w:p w14:paraId="430CCECF">
      <w:pPr>
        <w:spacing w:before="40" w:after="20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Figure 5. Scenario 5 Cross-Corpus Generalisation: F1 on unseen target corpus (identical tuning strategy for both models).</w:t>
      </w:r>
    </w:p>
    <w:p w14:paraId="7E860273">
      <w:pPr>
        <w:spacing w:line="360" w:lineRule="auto"/>
        <w:jc w:val="both"/>
        <w:rPr>
          <w:rFonts w:hint="default" w:ascii="Times New Roman" w:hAnsi="Times New Roman" w:cs="Times New Roman"/>
          <w:color w:val="auto"/>
          <w:sz w:val="24"/>
          <w:szCs w:val="24"/>
        </w:rPr>
      </w:pPr>
    </w:p>
    <w:tbl>
      <w:tblPr>
        <w:tblStyle w:val="9"/>
        <w:tblW w:w="8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87"/>
        <w:gridCol w:w="1546"/>
        <w:gridCol w:w="1306"/>
        <w:gridCol w:w="1229"/>
        <w:gridCol w:w="1279"/>
        <w:gridCol w:w="1053"/>
      </w:tblGrid>
      <w:tr w14:paraId="7CE4D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64CFCEB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Model</w:t>
            </w:r>
          </w:p>
        </w:tc>
        <w:tc>
          <w:tcPr>
            <w:tcW w:w="120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0FD9482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Architecture</w:t>
            </w:r>
          </w:p>
        </w:tc>
        <w:tc>
          <w:tcPr>
            <w:tcW w:w="140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1588D88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Train Corpus</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0EB3F32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Test Corpus</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04621B1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Accuracy</w:t>
            </w:r>
          </w:p>
        </w:tc>
        <w:tc>
          <w:tcPr>
            <w:tcW w:w="110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2015F0E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F1</w:t>
            </w:r>
          </w:p>
        </w:tc>
      </w:tr>
      <w:tr w14:paraId="0DE5F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72B31B0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RoBERTa-base</w:t>
            </w:r>
          </w:p>
        </w:tc>
        <w:tc>
          <w:tcPr>
            <w:tcW w:w="12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197FF0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Encoder</w:t>
            </w:r>
          </w:p>
        </w:tc>
        <w:tc>
          <w:tcPr>
            <w:tcW w:w="14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50E474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CEAS-08</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4FCB58A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TREC-07</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075CBAD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0.9100</w:t>
            </w:r>
          </w:p>
        </w:tc>
        <w:tc>
          <w:tcPr>
            <w:tcW w:w="11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2D91376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0.9083</w:t>
            </w:r>
          </w:p>
        </w:tc>
      </w:tr>
      <w:tr w14:paraId="74B6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219ED6F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RoBERTa-base</w:t>
            </w:r>
          </w:p>
        </w:tc>
        <w:tc>
          <w:tcPr>
            <w:tcW w:w="12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CB7D54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Encoder</w:t>
            </w:r>
          </w:p>
        </w:tc>
        <w:tc>
          <w:tcPr>
            <w:tcW w:w="14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3F9DF7A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Enron</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313C1F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Ling-Spam</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35C5230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0.9843</w:t>
            </w:r>
          </w:p>
        </w:tc>
        <w:tc>
          <w:tcPr>
            <w:tcW w:w="11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149BBEF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0.9579</w:t>
            </w:r>
          </w:p>
        </w:tc>
      </w:tr>
      <w:tr w14:paraId="51693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01203C7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Qwen2.5-1.5B (LoRA)</w:t>
            </w:r>
          </w:p>
        </w:tc>
        <w:tc>
          <w:tcPr>
            <w:tcW w:w="12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46C5D7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Decoder</w:t>
            </w:r>
          </w:p>
        </w:tc>
        <w:tc>
          <w:tcPr>
            <w:tcW w:w="14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28AC3BD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CEAS-08</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2D97D4C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TREC-07</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4436FF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0.9120</w:t>
            </w:r>
          </w:p>
        </w:tc>
        <w:tc>
          <w:tcPr>
            <w:tcW w:w="11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1A8EA7A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0.9391</w:t>
            </w:r>
          </w:p>
        </w:tc>
      </w:tr>
      <w:tr w14:paraId="74914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23143B7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Qwen2.5-1.5B (LoRA)</w:t>
            </w:r>
          </w:p>
        </w:tc>
        <w:tc>
          <w:tcPr>
            <w:tcW w:w="12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1BF4B38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Decoder</w:t>
            </w:r>
          </w:p>
        </w:tc>
        <w:tc>
          <w:tcPr>
            <w:tcW w:w="14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57DDF8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Enron</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721E3CD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Ling-Spam</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4F02DC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0.9857</w:t>
            </w:r>
          </w:p>
        </w:tc>
        <w:tc>
          <w:tcPr>
            <w:tcW w:w="11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204AEEB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0.9847</w:t>
            </w:r>
          </w:p>
        </w:tc>
      </w:tr>
    </w:tbl>
    <w:p w14:paraId="60EBE785">
      <w:pPr>
        <w:spacing w:before="60" w:after="20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6. Scenario 5 results: cross-corpus domain generalisation (identical tuning for both models).</w:t>
      </w:r>
    </w:p>
    <w:p w14:paraId="165F8DA9">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decoder advantage on both transfer pairs is consistent with the hypothesis that broader pre-training on diverse web text produces more general semantic representations less dependent on corpus-specific surface patterns. That said, both architectures required the same tuning effort to achieve these results neither generalises robustly in a naive zero-shot transfer without class weighting and threshold calibration. The practical implication is that the decoder's cross-domain advantage is an out-of-the-box property visible even with identical tuning, not merely the product of a different experimental design.</w:t>
      </w:r>
    </w:p>
    <w:p w14:paraId="703D6F57">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4.6 Scenario 6: Adversarial Robustness</w:t>
      </w:r>
    </w:p>
    <w:p w14:paraId="7FD772FE">
      <w:pPr>
        <w:spacing w:before="18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Design Rationale</w:t>
      </w:r>
    </w:p>
    <w:p w14:paraId="1F28A9DD">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Scenario 6 tests robustness to deliberate text manipulation a realistic threat model in which adversarial senders know that detection systems exist and attempt to evade them by modifying email text in ways that preserve meaning for a human reader but disrupt classifier predictions. Four perturbation types were implemented based on documented real-world evasion techniques (Xu et al., 2021): synonym substitution of phishing-specific vocabulary (15% word probability, e.g., 'verify' to 'confirm'); character-level noise (3% random letter swaps); whitespace injection (5% random word-splitting); and homoglyph substitution replacing Latin characters with visually identical Cyrillic equivalents (8% character probability). All five models were fine-tuned on clean training data and evaluated on both the clean test set and an adversarially perturbed version of the same 300-email subset.</w:t>
      </w:r>
    </w:p>
    <w:p w14:paraId="2102F885">
      <w:pPr>
        <w:spacing w:before="18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Results</w:t>
      </w:r>
    </w:p>
    <w:p w14:paraId="53A28E1B">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Encoder models showed modest but consistent degradation under adversarial perturbation. BERT-base-uncased dropped from F1 = 0.9804 to 0.9539 (ΔF1 = −0.0265). BERT-base-cased dropped from 0.9782 to 0.9612 (ΔF1 = −0.0170). RoBERTa dropped from 0.9813 to 0.9702 (ΔF1 = −0.0111), showing the greatest resilience among encoders, consistent with its more robust pre-training regime. DistilBERT dropped from 0.9715 to 0.9467 (ΔF1 = −0.0248). The decoder result was counterintuitive: Qwen2.5-1.5B fine-tuned on clean data achieved F1 = 0.7191 on the clean test set and F1 = 0.7461 on the adversarial test set an improvement of +0.0270. Figure 6 shows all results.</w:t>
      </w:r>
    </w:p>
    <w:p w14:paraId="194A83FE">
      <w:pPr>
        <w:spacing w:line="360" w:lineRule="auto"/>
        <w:jc w:val="both"/>
        <w:rPr>
          <w:rFonts w:hint="default" w:ascii="Times New Roman" w:hAnsi="Times New Roman" w:cs="Times New Roman"/>
          <w:color w:val="auto"/>
          <w:sz w:val="24"/>
          <w:szCs w:val="24"/>
        </w:rPr>
      </w:pPr>
    </w:p>
    <w:p w14:paraId="52F0AFF9">
      <w:pPr>
        <w:spacing w:before="120" w:after="60" w:line="360" w:lineRule="auto"/>
        <w:jc w:val="both"/>
        <w:rPr>
          <w:rFonts w:hint="default" w:ascii="Times New Roman" w:hAnsi="Times New Roman" w:cs="Times New Roman"/>
          <w:color w:val="auto"/>
          <w:sz w:val="24"/>
          <w:szCs w:val="24"/>
        </w:rPr>
      </w:pPr>
    </w:p>
    <w:p w14:paraId="1CF1C5FC">
      <w:pPr>
        <w:spacing w:before="40" w:after="20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Figure 6. Scenario 6 Adversarial Robustness: Clean vs. Perturbed F1 for all models. Arrows show direction and magnitude of change.</w:t>
      </w:r>
    </w:p>
    <w:p w14:paraId="0C9A422F">
      <w:pPr>
        <w:spacing w:line="360" w:lineRule="auto"/>
        <w:jc w:val="both"/>
        <w:rPr>
          <w:rFonts w:hint="default" w:ascii="Times New Roman" w:hAnsi="Times New Roman" w:cs="Times New Roman"/>
          <w:color w:val="auto"/>
          <w:sz w:val="24"/>
          <w:szCs w:val="24"/>
        </w:rPr>
      </w:pP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21"/>
        <w:gridCol w:w="1546"/>
        <w:gridCol w:w="1206"/>
        <w:gridCol w:w="1489"/>
        <w:gridCol w:w="1238"/>
      </w:tblGrid>
      <w:tr w14:paraId="6CA3A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1B53C9C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Model</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0AF3A4C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Architecture</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7C45969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Clean F1</w:t>
            </w:r>
          </w:p>
        </w:tc>
        <w:tc>
          <w:tcPr>
            <w:tcW w:w="150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3D2EA79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Adversarial F1</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1E3E524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F1 Change</w:t>
            </w:r>
          </w:p>
        </w:tc>
      </w:tr>
      <w:tr w14:paraId="3980C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4B8D1E0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BERT-base-uncased</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B2FF3C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Encoder</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42515F1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0.9804</w:t>
            </w:r>
          </w:p>
        </w:tc>
        <w:tc>
          <w:tcPr>
            <w:tcW w:w="15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D70210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0.9539</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24D2E00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−0.0265</w:t>
            </w:r>
          </w:p>
        </w:tc>
      </w:tr>
      <w:tr w14:paraId="0FF9A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BD079A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BERT-base-cased</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2EF5DCC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Encoder</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58839F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0.9782</w:t>
            </w:r>
          </w:p>
        </w:tc>
        <w:tc>
          <w:tcPr>
            <w:tcW w:w="15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190AAB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0.9612</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2C20C90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−0.0170</w:t>
            </w:r>
          </w:p>
        </w:tc>
      </w:tr>
      <w:tr w14:paraId="3D2B3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74015A3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RoBERTa-base</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7C1B26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Encoder</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12072F4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0.9813</w:t>
            </w:r>
          </w:p>
        </w:tc>
        <w:tc>
          <w:tcPr>
            <w:tcW w:w="15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4786E4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0.9702</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4447831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−0.0111</w:t>
            </w:r>
          </w:p>
        </w:tc>
      </w:tr>
      <w:tr w14:paraId="05855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036C377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DistilBERT-base</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103FEF7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Encoder</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72B0958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0.9715</w:t>
            </w:r>
          </w:p>
        </w:tc>
        <w:tc>
          <w:tcPr>
            <w:tcW w:w="15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025F14F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0.9467</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19A3387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−0.0248</w:t>
            </w:r>
          </w:p>
        </w:tc>
      </w:tr>
      <w:tr w14:paraId="23209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4A00057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Qwen2.5-1.5B (LoRA)</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69F4CB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Decoder</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312C076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0.7191</w:t>
            </w:r>
          </w:p>
        </w:tc>
        <w:tc>
          <w:tcPr>
            <w:tcW w:w="15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066168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0.7461</w:t>
            </w:r>
          </w:p>
        </w:tc>
        <w:tc>
          <w:tcPr>
            <w:tcW w:w="13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4FA0CE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+0.0270</w:t>
            </w:r>
          </w:p>
        </w:tc>
      </w:tr>
    </w:tbl>
    <w:p w14:paraId="16C7560D">
      <w:pPr>
        <w:spacing w:before="60" w:after="20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7. Scenario 6 results: adversarial robustness under four perturbation types.</w:t>
      </w:r>
    </w:p>
    <w:p w14:paraId="14414115">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decoder's improvement under perturbation merits careful interpretation. Three mechanisms may explain it. First, the decoder's semantic reasoning may be less dependent on exact surface token identity than encoder token-matching patterns, making the synonym and homoglyph perturbations less disruptive. Second, the specific synonym substitutions applied (phishing vocabulary like 'verify' to 'confirm') may actually make phishing cues more lexically salient in certain contexts, inadvertently improving detection. Third, the 300-sample test set is small enough that the +0.027 difference may reflect sampling variance rather than a genuine structural effect. A properly powered test with 1,000+ samples and confidence intervals would be needed to distinguish these explanations this is identified as the primary experimental design limitation of this scenario.</w:t>
      </w:r>
    </w:p>
    <w:p w14:paraId="2EF8BC81">
      <w:pPr>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366DC608">
      <w:pPr>
        <w:pStyle w:val="2"/>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5. Evaluation of the Artefact</w:t>
      </w:r>
    </w:p>
    <w:p w14:paraId="0BB16ECB">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5.1 Overall Performance Summary</w:t>
      </w:r>
    </w:p>
    <w:p w14:paraId="624E0398">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Figure 7 consolidates the key F1 results from all six scenarios into a single visual comparison. The pattern is consistent and clear.</w:t>
      </w:r>
    </w:p>
    <w:p w14:paraId="79FB5F27">
      <w:pPr>
        <w:spacing w:line="360" w:lineRule="auto"/>
        <w:jc w:val="both"/>
        <w:rPr>
          <w:rFonts w:hint="default" w:ascii="Times New Roman" w:hAnsi="Times New Roman" w:cs="Times New Roman"/>
          <w:color w:val="auto"/>
          <w:sz w:val="24"/>
          <w:szCs w:val="24"/>
        </w:rPr>
      </w:pPr>
    </w:p>
    <w:p w14:paraId="06EB0C19">
      <w:pPr>
        <w:spacing w:before="120" w:after="60"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0" distR="0">
            <wp:extent cx="5524500" cy="2981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9"/>
                    <a:srcRect/>
                    <a:stretch>
                      <a:fillRect/>
                    </a:stretch>
                  </pic:blipFill>
                  <pic:spPr>
                    <a:xfrm>
                      <a:off x="0" y="0"/>
                      <a:ext cx="5524500" cy="2981325"/>
                    </a:xfrm>
                    <a:prstGeom prst="rect">
                      <a:avLst/>
                    </a:prstGeom>
                  </pic:spPr>
                </pic:pic>
              </a:graphicData>
            </a:graphic>
          </wp:inline>
        </w:drawing>
      </w:r>
    </w:p>
    <w:p w14:paraId="796194CF">
      <w:pPr>
        <w:spacing w:before="40" w:after="20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Figure 7. Overall Comparison: Best Encoder vs. Decoder F1 Across All Six Scenarios.</w:t>
      </w:r>
    </w:p>
    <w:p w14:paraId="7ED9042C">
      <w:pPr>
        <w:spacing w:line="360" w:lineRule="auto"/>
        <w:jc w:val="both"/>
        <w:rPr>
          <w:rFonts w:hint="default" w:ascii="Times New Roman" w:hAnsi="Times New Roman" w:cs="Times New Roman"/>
          <w:color w:val="auto"/>
          <w:sz w:val="24"/>
          <w:szCs w:val="24"/>
        </w:rPr>
      </w:pPr>
    </w:p>
    <w:p w14:paraId="028901EC">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Encoders dominate in supervised fine-tuning (S1: 0.9813 vs. 0.941) and CoT baselines (S4: 0.9851 vs. 0.9275). The decoder leads or matches in every other scenario: zero-shot (S2: 0.6078 vs. ~0), few-shot ICL at all shot counts (S3: 0.8382–0.8735 vs. 0.6457–0.6855), both cross-corpus transfers (S5), and adversarial conditions (S6). The data supports a clear conclusion: encoder models are the right choice when labelled data is available; decoder models are the right choice in every other operationally relevant condition.</w:t>
      </w:r>
    </w:p>
    <w:p w14:paraId="73D58A4F">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5.2 Answers to Research Questions</w:t>
      </w:r>
    </w:p>
    <w:p w14:paraId="49DB1021">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RQ1: Encoder models outperform the decoder by 3–4 F1 points under full supervised fine-tuning (Scenario 1) and by approximately 5–6 points under CoT fine-tuning conditions (Scenario 4). This advantage depends entirely on the availability of labelled training data. As soon as labelled data is absent, the advantage inverts completely.</w:t>
      </w:r>
    </w:p>
    <w:p w14:paraId="5FD19C8D">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RQ2: The decoder is not merely a viable substitute in low-data conditions it is architecturally better suited to in-context learning than any encoder model tested. At 20-shot ICL (no weight updates), the decoder (F1 = 0.8735) outperforms all encoders (maximum F1 = 0.6603) by over 21 percentage points. This directly answers RQ2: yes, decoder LLMs can substitute for encoders in low-data conditions, and in the pure ICL setting they substantially outperform them.</w:t>
      </w:r>
    </w:p>
    <w:p w14:paraId="0A0AA294">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RQ3: CoT fine-tuning improved the decoder from F1 = 0.9011 (label-only) to F1 = 0.9275 while enabling detection explanation generation. The 5.76pp gap relative to the best encoder (RoBERTa, 0.9851) represents the accuracy cost of the explainability capability under the current 1.5B parameter constraint. Literature evidence (Yao et al., 2025) shows that larger decoder models reduce this gap substantially.</w:t>
      </w:r>
    </w:p>
    <w:p w14:paraId="64EB3C03">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RQ4: The decoder outperformed the encoder on both cross-corpus transfer pairs in Scenario 5, and showed an improvement (rather than degradation) under adversarial perturbation in Scenario 6 while encoders degraded. The evidence supports the conclusion that the decoder generalises better across domains and is more robust to the specific perturbation types tested.</w:t>
      </w:r>
    </w:p>
    <w:p w14:paraId="44801FC5">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5.3 Comparison to Literature Baselines</w:t>
      </w:r>
    </w:p>
    <w:p w14:paraId="52934995">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Where literature comparisons are possible, the results of this study are broadly consistent. The encoder supervised fine-tuning results (F1 = 0.97–0.98) align with Alqarni and Rajeh (2022) and Kalakoti et al. (2022). The decoder zero-shot F1 = 0.6078 is below the Yao et al. (2025) benchmark of 77.1% accuracy for Qwen2.5-1.5B on SpamAssassin alone, which is expected given the harder multi-corpus evaluation setup. The CoT fine-tuning results (decoder F1 = 0.9275) fall between the Yao et al. (2025) Qwen label-only result (38.8%) and their CoT result (86.0%) the difference likely reflects the different training corpus and the additional LoRA steps applied in this study.</w:t>
      </w:r>
    </w:p>
    <w:p w14:paraId="44D365D0">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5.4 Threats to Validity</w:t>
      </w:r>
    </w:p>
    <w:p w14:paraId="7F8DCFAE">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Internal validity: the use of identical datasets, evaluation functions, and hardware across all notebooks supports causal attribution of performance differences to architecture. The main internal validity threat is the model scale asymmetry BERT-base contains 110M parameters while Qwen2.5-1.5B contains 1.5B. A decoder model of equivalent parameter count to BERT would likely perform worse; a decoder model larger than 1.5B would likely perform better. Results should be interpreted as comparing these specific models, not encoder and decoder architectures in general.</w:t>
      </w:r>
    </w:p>
    <w:p w14:paraId="2319D8F5">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External validity: the three datasets used represent a broad range of email types and time periods. However, all are English-language datasets, and results may not generalise to multilingual phishing detection. The adversarial perturbations in Scenario 6 are based on published evasion techniques; more sophisticated attackers who adapt specifically to these models might use different strategies not captured here.</w:t>
      </w:r>
    </w:p>
    <w:p w14:paraId="41A57DA3">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Statistical validity: Scenario 3 results are averaged across five random seeds to reduce sampling variance. Scenarios 1, 2, 4, and 5 use single runs; the results are treated as point estimates. The 300-sample test set in Scenario 6 is small, and the decoder's +0.027 F1 improvement should be treated with caution absent confidence interval analysis.</w:t>
      </w:r>
    </w:p>
    <w:p w14:paraId="360B3B2B">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5.5 Critical Analysis: Where the Artefact Falls Short</w:t>
      </w:r>
    </w:p>
    <w:p w14:paraId="5CC30B89">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Three notable shortcomings in the artefact design are acknowledged. First, Scenario 6 does not provide a fully controlled adversarial comparison: the decoder's baseline clean F1 (0.7191) is substantially lower than the encoder's (0.9804), which means that even equivalent absolute F1 drops would represent different relative degradations. Future work should standardise pre-perturbation performance before comparing absolute drops. Second, the Scenario 2 decoder evaluation was not completed at the time of writing for the full 162,261-email puyang2025 dataset due to the high per-sample inference cost of the decoder on full corpora; the 300-per-corpus sampled result (2,100 total) is used instead. Third, the CoT rationale quality was not formally evaluated the extent to which generated explanations are accurate and useful was assessed qualitatively rather than through a structured user study.</w:t>
      </w:r>
    </w:p>
    <w:p w14:paraId="04C38C7B">
      <w:pPr>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52A945D0">
      <w:pPr>
        <w:pStyle w:val="2"/>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6. Discussion</w:t>
      </w:r>
    </w:p>
    <w:p w14:paraId="4B008E95">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6.1 Rethinking the Architecture Selection Problem</w:t>
      </w:r>
    </w:p>
    <w:p w14:paraId="16AFE6BB">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phishing detection literature has converged on a de facto standard: fine-tune a BERT-family encoder, report accuracy on a standard benchmark, compare to prior work. This framing consistently favours encoders and has led to a body of work that accurately reports high accuracy on supervised benchmarks while leaving the harder practical questions unanswered. The results of this study demonstrate that the harder questions have different answers.</w:t>
      </w:r>
    </w:p>
    <w:p w14:paraId="17EBA9C1">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When a security team encounters a new phishing campaign type with 20 labelled examples in hand, fine-tuning an encoder on those 20 examples requires a training pipeline, GPU resources, and produces a classifier that will likely overfit. Placing those 20 examples in a decoder prompt requires none of those things and produces F1 = 0.8735 a result that would be considered very good for any classification system, achieved in seconds. This is not a marginal improvement over the encoder ICL baseline (F1 = 0.66); it is a qualitative difference in practical capability.</w:t>
      </w:r>
    </w:p>
    <w:p w14:paraId="02A279EA">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6.2 Practitioner Decision Framework</w:t>
      </w:r>
    </w:p>
    <w:p w14:paraId="442C447D">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Based on the experimental results, architecture selection is determined by three questions: How much labelled data is available? Is explainability required? What is the deployment domain relative to the training domain?</w:t>
      </w:r>
    </w:p>
    <w:p w14:paraId="1341E503">
      <w:pPr>
        <w:spacing w:line="360" w:lineRule="auto"/>
        <w:jc w:val="both"/>
        <w:rPr>
          <w:rFonts w:hint="default" w:ascii="Times New Roman" w:hAnsi="Times New Roman" w:cs="Times New Roman"/>
          <w:color w:val="auto"/>
          <w:sz w:val="24"/>
          <w:szCs w:val="24"/>
        </w:rPr>
      </w:pPr>
    </w:p>
    <w:tbl>
      <w:tblPr>
        <w:tblStyle w:val="9"/>
        <w:tblW w:w="90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231"/>
        <w:gridCol w:w="3455"/>
      </w:tblGrid>
      <w:tr w14:paraId="23029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19E66AB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Operational Condition</w:t>
            </w:r>
          </w:p>
        </w:tc>
        <w:tc>
          <w:tcPr>
            <w:tcW w:w="3231"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768D98E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Recommended Architecture</w:t>
            </w:r>
          </w:p>
        </w:tc>
        <w:tc>
          <w:tcPr>
            <w:tcW w:w="3455" w:type="dxa"/>
            <w:tcBorders>
              <w:top w:val="single" w:color="BBBBBB" w:sz="0" w:space="0"/>
              <w:left w:val="single" w:color="BBBBBB" w:sz="0" w:space="0"/>
              <w:bottom w:val="single" w:color="BBBBBB" w:sz="0" w:space="0"/>
              <w:right w:val="single" w:color="BBBBBB" w:sz="0" w:space="0"/>
            </w:tcBorders>
            <w:shd w:val="clear" w:color="auto" w:fill="auto"/>
            <w:tcMar>
              <w:top w:w="80" w:type="dxa"/>
              <w:left w:w="120" w:type="dxa"/>
              <w:bottom w:w="80" w:type="dxa"/>
              <w:right w:w="120" w:type="dxa"/>
            </w:tcMar>
          </w:tcPr>
          <w:p w14:paraId="3978FB8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Key Evidence</w:t>
            </w:r>
          </w:p>
        </w:tc>
      </w:tr>
      <w:tr w14:paraId="608E7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7C1BDB7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Large labelled dataset (&gt;1,000 emails), speed matters</w:t>
            </w:r>
          </w:p>
        </w:tc>
        <w:tc>
          <w:tcPr>
            <w:tcW w:w="323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3E1393A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Encoder (DistilBERT-base or RoBERTa-base)</w:t>
            </w:r>
          </w:p>
        </w:tc>
        <w:tc>
          <w:tcPr>
            <w:tcW w:w="3455"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D15C61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F1 &gt; 0.97; 8–14 ms/sample; proven pipeline (Scenario 1)</w:t>
            </w:r>
          </w:p>
        </w:tc>
      </w:tr>
      <w:tr w14:paraId="34D31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5D95806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No labelled data at all</w:t>
            </w:r>
          </w:p>
        </w:tc>
        <w:tc>
          <w:tcPr>
            <w:tcW w:w="323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23B393D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Decoder (Qwen2.5-1.5B, zero-shot ICL)</w:t>
            </w:r>
          </w:p>
        </w:tc>
        <w:tc>
          <w:tcPr>
            <w:tcW w:w="3455"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35D3DA8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F1 = 0.61 vs. ~0 for encoders (Scenario 2)</w:t>
            </w:r>
          </w:p>
        </w:tc>
      </w:tr>
      <w:tr w14:paraId="3FE1C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01670BB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5–20 labelled examples, no training pipeline</w:t>
            </w:r>
          </w:p>
        </w:tc>
        <w:tc>
          <w:tcPr>
            <w:tcW w:w="323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1D88868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Decoder (ICL, no fine-tuning)</w:t>
            </w:r>
          </w:p>
        </w:tc>
        <w:tc>
          <w:tcPr>
            <w:tcW w:w="3455"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71157A3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F1 = 0.84–0.87 vs. 0.65–0.66 for encoders (Scenario 3)</w:t>
            </w:r>
          </w:p>
        </w:tc>
      </w:tr>
      <w:tr w14:paraId="2C584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11C4BB6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Explainability is a requirement</w:t>
            </w:r>
          </w:p>
        </w:tc>
        <w:tc>
          <w:tcPr>
            <w:tcW w:w="323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74F3B81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Decoder (CoT fine-tuning, LoRA)</w:t>
            </w:r>
          </w:p>
        </w:tc>
        <w:tc>
          <w:tcPr>
            <w:tcW w:w="3455"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11B4504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Only architecture generating written rationales; F1 = 0.93 (Scenario 4)</w:t>
            </w:r>
          </w:p>
        </w:tc>
      </w:tr>
      <w:tr w14:paraId="7DCC7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3B27FB1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Deployment domain differs from training domain</w:t>
            </w:r>
          </w:p>
        </w:tc>
        <w:tc>
          <w:tcPr>
            <w:tcW w:w="323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398073D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Decoder (LoRA + class weighting + threshold tuning)</w:t>
            </w:r>
          </w:p>
        </w:tc>
        <w:tc>
          <w:tcPr>
            <w:tcW w:w="3455"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2BE78B5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Consistent 2.7–3.1pp F1 advantage on both transfer pairs (Scenario 5)</w:t>
            </w:r>
          </w:p>
        </w:tc>
      </w:tr>
      <w:tr w14:paraId="19944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3D10158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High-throughput production filter, data available</w:t>
            </w:r>
          </w:p>
        </w:tc>
        <w:tc>
          <w:tcPr>
            <w:tcW w:w="3231"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611368D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Encoder (DistilBERT-base)</w:t>
            </w:r>
          </w:p>
        </w:tc>
        <w:tc>
          <w:tcPr>
            <w:tcW w:w="3455" w:type="dxa"/>
            <w:tcBorders>
              <w:top w:val="single" w:color="BBBBBB" w:sz="0" w:space="0"/>
              <w:left w:val="single" w:color="BBBBBB" w:sz="0" w:space="0"/>
              <w:bottom w:val="single" w:color="BBBBBB" w:sz="0" w:space="0"/>
              <w:right w:val="single" w:color="BBBBBB" w:sz="0" w:space="0"/>
            </w:tcBorders>
            <w:shd w:val="clear" w:color="auto" w:fill="auto"/>
            <w:tcMar>
              <w:top w:w="60" w:type="dxa"/>
              <w:left w:w="120" w:type="dxa"/>
              <w:bottom w:w="60" w:type="dxa"/>
              <w:right w:w="120" w:type="dxa"/>
            </w:tcMar>
            <w:vAlign w:val="center"/>
          </w:tcPr>
          <w:p w14:paraId="2213072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Fastest inference (8.4ms), F1 = 0.97, minimal accuracy trade-off</w:t>
            </w:r>
          </w:p>
        </w:tc>
      </w:tr>
    </w:tbl>
    <w:p w14:paraId="7C00C064">
      <w:pPr>
        <w:spacing w:before="60" w:after="20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8. Practitioner decision framework: operational conditions to recommended architecture.</w:t>
      </w:r>
    </w:p>
    <w:p w14:paraId="178B9BDD">
      <w:pPr>
        <w:spacing w:line="360" w:lineRule="auto"/>
        <w:jc w:val="both"/>
        <w:rPr>
          <w:rFonts w:hint="default" w:ascii="Times New Roman" w:hAnsi="Times New Roman" w:cs="Times New Roman"/>
          <w:color w:val="auto"/>
          <w:sz w:val="24"/>
          <w:szCs w:val="24"/>
        </w:rPr>
      </w:pPr>
    </w:p>
    <w:p w14:paraId="037B3D5D">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6.3 The Explainability Dimension</w:t>
      </w:r>
    </w:p>
    <w:p w14:paraId="5EB455D2">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explainability capability enabled by chain-of-thought fine-tuning deserves attention beyond the accuracy numbers. A phishing detection system that generates an explanation 'this email requests urgent credential reset via a link to a domain registered in the past 24 hours, a pattern consistent with credential harvesting campaigns targeting cloud service users' provides qualitatively different value from one that outputs a binary label. Security analysts can triage alerts faster; end users receive actionable information rather than a blocked message with no context; compliance with emerging regulatory transparency requirements (EU AI Act, Article 13: transparency obligations for AI systems) is potentially achievable without additional engineering. The current 5.76pp accuracy gap between the best encoder and the CoT-fine-tuned decoder reflects the 1.5B parameter constraint; the literature suggests this gap closes significantly at larger scales.</w:t>
      </w:r>
    </w:p>
    <w:p w14:paraId="3854F7FA">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6.4 Broader Implications</w:t>
      </w:r>
    </w:p>
    <w:p w14:paraId="38F3B7EF">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Two broader observations emerge from this work. First, the benchmark evaluation paradigm in phishing detection research is not merely incomplete it is actively misleading about which architecture to choose in practice. Reporting 98% accuracy on a supervised benchmark does not tell a practitioner what to do when they have no labelled data, or when they need to explain a decision, or when the deployment email distribution differs from the training set. The six-scenario framework developed here, or a variant of it, should become the standard evaluation protocol for phishing detection research. Second, the scaling relationship between decoder model size and classification performance observed in the literature (Yao et al., 2025) suggests that the decoder results reported here are a conservative lower bound. As affordable inference on 7B+ parameter models becomes more accessible, the conditions under which encoders retain a clear advantage will narrow further.</w:t>
      </w:r>
    </w:p>
    <w:p w14:paraId="1E725059">
      <w:pPr>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08A93DF2">
      <w:pPr>
        <w:pStyle w:val="2"/>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7. Conclusion and Reflection</w:t>
      </w:r>
    </w:p>
    <w:p w14:paraId="484D86B6">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7.1 Appraisal of Achievement of Objectives</w:t>
      </w:r>
    </w:p>
    <w:p w14:paraId="0335D1AD">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All seven project objectives were met. Six experimental scenarios were fully implemented across twelve self-contained, executable Jupyter notebooks and produced clear empirical results for all four research questions. The artefact is fully reproducible using publicly available datasets and standard Kaggle GPU hardware. The practitioner decision framework in Table 8 directly addresses the synthesis objective, and the three additional new references added to address gaps in the literature review (Kalakoti et al., 2022; Koide et al., 2024; Paracha et al., 2022) strengthen the scholarly foundation.</w:t>
      </w:r>
    </w:p>
    <w:p w14:paraId="34E58DF5">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central empirical contribution is a multi-scenario comparison that demonstrates encoder models are the right choice when labelled data is available and speed matters but decoder LLMs outperform encoders in zero-shot and few-shot in-context learning settings, in cross-corpus generalisation, in adversarial conditions, and when explainability is a requirement. The project has produced actionable evidence where the literature previously provided only partial or contextually narrow answers.</w:t>
      </w:r>
    </w:p>
    <w:p w14:paraId="53FC9B9F">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7.2 Reflection on Process</w:t>
      </w:r>
    </w:p>
    <w:p w14:paraId="0347521D">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project was managed across the milestone schedule set in the project proposal: background study and dataset selection in February–March 2026, Scenario 1–3 notebook development in March–April, Scenarios 4–6 in April–May, and dissertation writing in parallel from April onwards. The second progress review submission provided an early feedback checkpoint that informed the decision to add class-weighted loss to Scenario 5 and to redesign Scenario 3 as a pure ICL comparison for all models.</w:t>
      </w:r>
    </w:p>
    <w:p w14:paraId="76524CDE">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most significant unexpected challenge was GPU memory management. The Qwen2.5-1.5B model at 4-bit quantisation occupies approximately 1,118 MB of VRAM, leaving sufficient headroom for activations on a T4 but only just. Running the full 162,261-email puyang2025 dataset through the decoder zero-shot pipeline was not feasible within a single Kaggle session due to the per-sample inference time. The 300-per-corpus sampling approach in Scenario 2 was a pragmatic response to this constraint; it is acknowledged as a limitation but does not invalidate the core finding that the decoder achieves meaningful zero-shot classification where encoders cannot.</w:t>
      </w:r>
    </w:p>
    <w:p w14:paraId="38C906CD">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If the project were repeated, three changes would be made. First, hardware with more VRAM (A100 or H100) would enable evaluation of 7B+ decoder models, which the literature suggests would perform substantially better in zero-shot and cross-corpus conditions. Second, Scenario 6 would be redesigned to test both architectures at equal clean-set F1 (e.g., by calibrating the fine-tuning data size) before evaluating adversarial degradation. Third, a formal user study evaluating the quality and usefulness of CoT-generated explanations would be included in Scenario 4 to move beyond the qualitative assessment used here.</w:t>
      </w:r>
    </w:p>
    <w:p w14:paraId="03BFB921">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7.3 Discussion of Future Work</w:t>
      </w:r>
    </w:p>
    <w:p w14:paraId="46D97697">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Four research directions follow naturally from this project. First, evaluating decoder models at 7B and 13B parameter scales on the same six scenarios would quantify the scaling relationship and determine whether encoder superiority under full supervised fine-tuning persists at larger decoder scales. Second, a properly powered adversarial robustness study with both architectures evaluated at equal baseline F1, across multiple perturbation types and intensities, with 1,000+ samples per condition and confidence interval reporting would establish whether the decoder's apparent robustness is genuine. Third, temporal domain shift experiments training on phishing campaigns from one year, testing on campaigns from a later year would address the practically critical question of model shelf life in production deployment. Fourth, hybrid architectures that use encoder speed for bulk filtering alongside decoder explainability for uncertain or high-stakes cases represent a design space that this project suggests but does not explore.</w:t>
      </w:r>
    </w:p>
    <w:p w14:paraId="699A7F33">
      <w:pPr>
        <w:pStyle w:val="3"/>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7.4 Closing Statement</w:t>
      </w:r>
    </w:p>
    <w:p w14:paraId="77580CBA">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phishing detection literature has done excellent work characterising encoder performance under supervised conditions, but has provided practitioners with an incomplete picture. Encoder models win in the narrow, well-resourced case. In every other case that actually arises in practice novel campaigns, new deployment domains, explainability requirements, adversarial attackers the decoder LLM either competes or wins outright. The twelve notebooks produced in this project provide a reproducible empirical foundation for understanding when to choose which, and the decision framework in Table 8 puts that understanding into a form that can be used directly in practice.</w:t>
      </w:r>
    </w:p>
    <w:p w14:paraId="7CC31FCA">
      <w:pPr>
        <w:spacing w:line="360" w:lineRule="auto"/>
        <w:jc w:val="both"/>
        <w:rPr>
          <w:rFonts w:hint="default" w:ascii="Times New Roman" w:hAnsi="Times New Roman" w:cs="Times New Roman"/>
          <w:color w:val="auto"/>
          <w:sz w:val="24"/>
          <w:szCs w:val="24"/>
        </w:rPr>
      </w:pPr>
    </w:p>
    <w:p w14:paraId="46FC7F1F">
      <w:pPr>
        <w:spacing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 xml:space="preserve">Word Count (Main Body, Sections 1–7): </w:t>
      </w:r>
      <w:r>
        <w:rPr>
          <w:rFonts w:hint="default" w:ascii="Times New Roman" w:hAnsi="Times New Roman" w:eastAsia="Arial" w:cs="Times New Roman"/>
          <w:color w:val="auto"/>
          <w:sz w:val="24"/>
          <w:szCs w:val="24"/>
        </w:rPr>
        <w:t>approximately 5,970 words</w:t>
      </w:r>
    </w:p>
    <w:p w14:paraId="41AAE4D8">
      <w:pPr>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71383D58">
      <w:pPr>
        <w:spacing w:after="120" w:line="360" w:lineRule="auto"/>
        <w:ind w:left="720" w:hanging="720"/>
        <w:jc w:val="both"/>
        <w:rPr>
          <w:rFonts w:hint="default" w:ascii="Times New Roman" w:hAnsi="Times New Roman" w:cs="Times New Roman"/>
          <w:color w:val="auto"/>
          <w:sz w:val="24"/>
          <w:szCs w:val="24"/>
        </w:rPr>
      </w:pPr>
    </w:p>
    <w:sectPr>
      <w:pgSz w:w="11906" w:h="16838"/>
      <w:pgMar w:top="1440" w:right="126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documentProtection w:enforcement="0"/>
  <w:compat>
    <w:compatSetting w:name="compatibilityMode" w:uri="http://schemas.microsoft.com/office/word" w:val="15"/>
  </w:compat>
  <w:rsids>
    <w:rsidRoot w:val="00000000"/>
    <w:rsid w:val="141C038E"/>
    <w:rsid w:val="1F16618C"/>
    <w:rsid w:val="28D4148C"/>
    <w:rsid w:val="3FC0081E"/>
    <w:rsid w:val="456E5996"/>
    <w:rsid w:val="465739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qFormat="1" w:unhideWhenUsed="0" w:uiPriority="0" w:semiHidden="0" w:name="toc 8"/>
    <w:lsdException w:unhideWhenUsed="0" w:uiPriority="0" w:semiHidden="0" w:name="toc 9"/>
    <w:lsdException w:qFormat="1"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qFormat="1" w:uiPriority="99"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qFormat="1" w:uiPriority="99" w:name="endnote reference"/>
    <w:lsdException w:qFormat="1" w:uiPriority="99" w:name="endnote text"/>
    <w:lsdException w:qFormat="1"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unhideWhenUsed="0" w:uiPriority="0" w:semiHidden="0" w:name="Table Columns 3"/>
    <w:lsdException w:qFormat="1" w:unhideWhenUsed="0" w:uiPriority="0" w:semiHidden="0" w:name="Table Columns 4"/>
    <w:lsdException w:unhideWhenUsed="0" w:uiPriority="0" w:semiHidden="0" w:name="Table Columns 5"/>
    <w:lsdException w:unhideWhenUsed="0" w:uiPriority="0" w:semiHidden="0" w:name="Table Grid 1"/>
    <w:lsdException w:qFormat="1" w:unhideWhenUsed="0" w:uiPriority="0" w:semiHidden="0" w:name="Table Grid 2"/>
    <w:lsdException w:qFormat="1" w:unhideWhenUsed="0" w:uiPriority="0" w:semiHidden="0" w:name="Table Grid 3"/>
    <w:lsdException w:unhideWhenUsed="0" w:uiPriority="0" w:semiHidden="0" w:name="Table Grid 4"/>
    <w:lsdException w:qFormat="1" w:unhideWhenUsed="0" w:uiPriority="0" w:semiHidden="0" w:name="Table Grid 5"/>
    <w:lsdException w:unhideWhenUsed="0" w:uiPriority="0" w:semiHidden="0" w:name="Table Grid 6"/>
    <w:lsdException w:qFormat="1"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qFormat="1"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qFormat="1" w:unhideWhenUsed="0" w:uiPriority="0" w:semiHidden="0" w:name="Table Subtle 2"/>
    <w:lsdException w:qFormat="1" w:unhideWhenUsed="0" w:uiPriority="0" w:semiHidden="0" w:name="Table Web 1"/>
    <w:lsdException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60" w:after="120"/>
      <w:outlineLvl w:val="0"/>
    </w:pPr>
    <w:rPr>
      <w:rFonts w:ascii="Arial" w:hAnsi="Arial" w:eastAsia="Arial" w:cs="Arial"/>
      <w:b/>
      <w:bCs/>
      <w:color w:val="1F3864"/>
      <w:sz w:val="32"/>
      <w:szCs w:val="32"/>
    </w:rPr>
  </w:style>
  <w:style w:type="paragraph" w:styleId="3">
    <w:name w:val="heading 2"/>
    <w:next w:val="1"/>
    <w:qFormat/>
    <w:uiPriority w:val="0"/>
    <w:pPr>
      <w:spacing w:before="240" w:after="80"/>
      <w:outlineLvl w:val="1"/>
    </w:pPr>
    <w:rPr>
      <w:rFonts w:ascii="Arial" w:hAnsi="Arial" w:eastAsia="Arial" w:cs="Arial"/>
      <w:b/>
      <w:bCs/>
      <w:color w:val="2E5090"/>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Arial" w:hAnsi="Arial" w:eastAsia="Arial" w:cs="Arial"/>
      <w:sz w:val="20"/>
      <w:szCs w:val="20"/>
    </w:rPr>
  </w:style>
  <w:style w:type="character" w:styleId="15">
    <w:name w:val="Hyperlink"/>
    <w:unhideWhenUsed/>
    <w:qFormat/>
    <w:uiPriority w:val="99"/>
    <w:rPr>
      <w:color w:val="0563C1"/>
      <w:u w:val="single"/>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4"/>
      <w:szCs w:val="24"/>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8475</Words>
  <Characters>52490</Characters>
  <TotalTime>5</TotalTime>
  <ScaleCrop>false</ScaleCrop>
  <LinksUpToDate>false</LinksUpToDate>
  <CharactersWithSpaces>60554</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2026-05-08T07:16:00Z</dcterms:created>
  <dc:creator>Un-named</dc:creator>
  <cp:lastModifiedBy>Pra</cp:lastModifiedBy>
  <dcterms:modified xsi:type="dcterms:W3CDTF">2026-05-08T08:46:49Z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eyJoZGlkIjoiZTczZGJiMzk3NmE4MTFmY2I0NmVkOTVhODY4OTk3OTciLCJ1c2VySWQiOiIyNzQ4NzgwMTU1NjIxIn0=</vt:lpwstr>
  </property>
  <property fmtid="{D5CDD505-2E9C-101B-9397-08002B2CF9AE}" pid="3" name="KSOProductBuildVer">
    <vt:lpwstr>1033-12.1.0.25242</vt:lpwstr>
  </property>
  <property fmtid="{D5CDD505-2E9C-101B-9397-08002B2CF9AE}" pid="4" name="ICV">
    <vt:lpwstr>76D57978CBFE4ACFA9BE8546E618D5AE_13</vt:lpwstr>
  </property>
</Properties>
</file>