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sz w:val="24"/>
        </w:rPr>
        <w:t>Инструментальные средства разработки</w:t>
      </w:r>
    </w:p>
    <w:p>
      <w:pPr>
        <w:ind w:firstLine="709"/>
        <w:jc w:val="both"/>
      </w:pPr>
      <w:r>
        <w:t>В таблице 1 представлены основные программные и инструментальные средства, использованные при разработке WEB-приложения WMS для управления складом автозапчастей.</w:t>
      </w:r>
    </w:p>
    <w:p>
      <w:pPr>
        <w:jc w:val="left"/>
      </w:pPr>
      <w:r>
        <w:t>Таблица 1 – Инструментальные средства разработки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58"/>
        <w:gridCol w:w="1758"/>
        <w:gridCol w:w="1758"/>
        <w:gridCol w:w="1758"/>
        <w:gridCol w:w="1758"/>
      </w:tblGrid>
      <w:tr>
        <w:trPr>
          <w:tblHeader w:val="true"/>
        </w:trPr>
        <w:tc>
          <w:tcPr>
            <w:tcW w:type="dxa" w:w="454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№</w:t>
            </w:r>
          </w:p>
        </w:tc>
        <w:tc>
          <w:tcPr>
            <w:tcW w:type="dxa" w:w="1701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Тип средства</w:t>
            </w:r>
          </w:p>
        </w:tc>
        <w:tc>
          <w:tcPr>
            <w:tcW w:type="dxa" w:w="192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Название средства</w:t>
            </w:r>
          </w:p>
        </w:tc>
        <w:tc>
          <w:tcPr>
            <w:tcW w:type="dxa" w:w="1757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Версия</w:t>
            </w:r>
          </w:p>
        </w:tc>
        <w:tc>
          <w:tcPr>
            <w:tcW w:type="dxa" w:w="2948"/>
            <w:vAlign w:val="center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0"/>
              </w:rPr>
              <w:t>Назначение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1</w:t>
            </w:r>
          </w:p>
        </w:tc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Язык программирования</w:t>
            </w:r>
          </w:p>
        </w:tc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Python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3.12.4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Разработка серверной части WEB-приложения, реализация бизнес-логики и служебных команд.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2</w:t>
            </w:r>
          </w:p>
        </w:tc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WEB-фреймворк</w:t>
            </w:r>
          </w:p>
        </w:tc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Django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5.2.10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Создание WEB-приложения, обработка запросов, работа с шаблонами, формами, моделями, пользователями и правами доступа.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3</w:t>
            </w:r>
          </w:p>
        </w:tc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Система управления базами данных</w:t>
            </w:r>
          </w:p>
        </w:tc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PostgreSQL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16-alpine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Хранение данных о пользователях, товарах, складах, остатках, приемках, заказах, задачах, отчетах и журнале операций.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4</w:t>
            </w:r>
          </w:p>
        </w:tc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Драйвер подключения к БД</w:t>
            </w:r>
          </w:p>
        </w:tc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Psycopg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3.2.4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Подключение Django-приложения к PostgreSQL и выполнение операций с базой данных через ORM.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5</w:t>
            </w:r>
          </w:p>
        </w:tc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Средство разработки</w:t>
            </w:r>
          </w:p>
        </w:tc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Visual Studio Code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1.119.1.0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Написание, редактирование и отладка программного кода проекта.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6</w:t>
            </w:r>
          </w:p>
        </w:tc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Распределенная система управления версиями</w:t>
            </w:r>
          </w:p>
        </w:tc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Git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2.42.0.windows.2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Контроль версий проекта, отслеживание изменений и хранение истории разработки.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7</w:t>
            </w:r>
          </w:p>
        </w:tc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Средство контейнеризации</w:t>
            </w:r>
          </w:p>
        </w:tc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Docker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28.4.0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Развертывание приложения и связанных сервисов в изолированной среде.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8</w:t>
            </w:r>
          </w:p>
        </w:tc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Средство описания контейнеров</w:t>
            </w:r>
          </w:p>
        </w:tc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Docker Compose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2.39.4-desktop.1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Запуск связки сервисов Django, PostgreSQL, Redis и Celery по единому конфигурационному файлу.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9</w:t>
            </w:r>
          </w:p>
        </w:tc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Брокер сообщений и кэш</w:t>
            </w:r>
          </w:p>
        </w:tc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Redis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7-alpine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Использование кэша и очереди сообщений для фоновых задач приложения.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10</w:t>
            </w:r>
          </w:p>
        </w:tc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Система фоновой обработки задач</w:t>
            </w:r>
          </w:p>
        </w:tc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Celery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5.6.2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Асинхронная обработка интеграционных, служебных и фоновых задач WMS.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11</w:t>
            </w:r>
          </w:p>
        </w:tc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Средство проектирования схем</w:t>
            </w:r>
          </w:p>
        </w:tc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diagrams.net / Draw.io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WEB-версия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Создание структурных, функциональных схем, IDEF0-моделей, ER-диаграмм и схем пользовательского интерфейса.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12</w:t>
            </w:r>
          </w:p>
        </w:tc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Браузер</w:t>
            </w:r>
          </w:p>
        </w:tc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Google Chrome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147.0.7727.139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Проверка и тестирование пользовательского интерфейса WEB-приложения.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13</w:t>
            </w:r>
          </w:p>
        </w:tc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Средства тестирования</w:t>
            </w:r>
          </w:p>
        </w:tc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pytest, pytest-django, coverage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pytest 9.0.3; pytest-django 4.12.0; coverage 7.13.5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Проверка корректности работы модулей приложения и измерение покрытия программного кода тестами.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14</w:t>
            </w:r>
          </w:p>
        </w:tc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Статический анализ кода</w:t>
            </w:r>
          </w:p>
        </w:tc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Ruff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0.15.12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Поиск потенциальных ошибок, неиспользуемого кода и проблемных конструкций до запуска приложения.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15</w:t>
            </w:r>
          </w:p>
        </w:tc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Библиотека визуализации</w:t>
            </w:r>
          </w:p>
        </w:tc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Three.js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r128 / 0.128.0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Реализация интерактивного 3D-представления склада и объектов хранения.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16</w:t>
            </w:r>
          </w:p>
        </w:tc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Средство документирования API</w:t>
            </w:r>
          </w:p>
        </w:tc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OpenAPI, Swagger UI, ReDoc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OpenAPI 3.0.3; Swagger UI 5; ReDoc next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Описание и просмотр REST API приложения, структуры запросов, ответов и кодов состояния.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17</w:t>
            </w:r>
          </w:p>
        </w:tc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Библиотеки формирования документов</w:t>
            </w:r>
          </w:p>
        </w:tc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ReportLab, python-barcode, qrcode, Pillow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ReportLab 4.4.5; python-barcode 0.16.1; qrcode 8.2; Pillow 10.4.0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Формирование PDF-документов, штрихкодов, QR-кодов и обработка изображений в рамках складских операций.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18</w:t>
            </w:r>
          </w:p>
        </w:tc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Средства интеграции и обработки данных</w:t>
            </w:r>
          </w:p>
        </w:tc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Requests, Beautiful Soup, lxml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Requests 2.33.1; Beautiful Soup 4.12.2; lxml 4.9.3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Выполнение HTTP-запросов, обработка внешних данных и интеграционных сценариев.</w:t>
            </w:r>
          </w:p>
        </w:tc>
      </w:tr>
      <w:tr>
        <w:tc>
          <w:tcPr>
            <w:tcW w:type="dxa" w:w="454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center"/>
            </w:pPr>
            <w:r>
              <w:rPr>
                <w:rFonts w:ascii="Times New Roman" w:hAnsi="Times New Roman" w:eastAsia="Times New Roman"/>
                <w:sz w:val="18"/>
              </w:rPr>
              <w:t>19</w:t>
            </w:r>
          </w:p>
        </w:tc>
        <w:tc>
          <w:tcPr>
            <w:tcW w:type="dxa" w:w="1701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Средства конфигурации окружения</w:t>
            </w:r>
          </w:p>
        </w:tc>
        <w:tc>
          <w:tcPr>
            <w:tcW w:type="dxa" w:w="192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python-dotenv, dj-database-url</w:t>
            </w:r>
          </w:p>
        </w:tc>
        <w:tc>
          <w:tcPr>
            <w:tcW w:type="dxa" w:w="1757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python-dotenv 1.2.1; dj-database-url 2.3.0</w:t>
            </w:r>
          </w:p>
        </w:tc>
        <w:tc>
          <w:tcPr>
            <w:tcW w:type="dxa" w:w="2948"/>
            <w:vAlign w:val="top"/>
            <w:tcMar>
              <w:top w:w="80" w:type="dxa"/>
              <w:left w:w="80" w:type="dxa"/>
              <w:bottom w:w="80" w:type="dxa"/>
              <w:right w:w="80" w:type="dxa"/>
            </w:tcMar>
          </w:tcPr>
          <w:p>
            <w:pPr>
              <w:spacing w:after="0" w:before="0"/>
              <w:jc w:val="left"/>
            </w:pPr>
            <w:r>
              <w:rPr>
                <w:rFonts w:ascii="Times New Roman" w:hAnsi="Times New Roman" w:eastAsia="Times New Roman"/>
                <w:sz w:val="18"/>
              </w:rPr>
              <w:t>Загрузка переменных окружения и настройка подключения к базе данных через строку подключения.</w:t>
            </w:r>
          </w:p>
        </w:tc>
      </w:tr>
    </w:tbl>
    <w:p>
      <w:pPr>
        <w:spacing w:before="120"/>
        <w:ind w:firstLine="709"/>
        <w:jc w:val="both"/>
      </w:pPr>
      <w:r>
        <w:rPr>
          <w:rFonts w:ascii="Times New Roman" w:hAnsi="Times New Roman" w:eastAsia="Times New Roman"/>
          <w:sz w:val="24"/>
        </w:rPr>
        <w:t>Версии средств указаны по локальному окружению разработки, файлам зависимостей проекта и конфигурации Docker Compose.</w:t>
      </w:r>
    </w:p>
    <w:sectPr w:rsidR="00FC693F" w:rsidRPr="0006063C" w:rsidSect="00034616">
      <w:pgSz w:w="11906" w:h="16838"/>
      <w:pgMar w:top="1417" w:right="1134" w:bottom="1134" w:left="19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