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Q1 2026 Reliability Review</w:t>
      </w:r>
    </w:p>
    <w:p>
      <w:r>
        <w:t>Author: Hannah Lindqvist (VP Engineering)</w:t>
      </w:r>
    </w:p>
    <w:p>
      <w:r>
        <w:t>Date: 2026-04-06</w:t>
      </w:r>
    </w:p>
    <w:p>
      <w:pPr>
        <w:pStyle w:val="Heading2"/>
      </w:pPr>
      <w:r>
        <w:t>Incidents in Q1 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Incident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Severity</w:t>
            </w:r>
          </w:p>
        </w:tc>
        <w:tc>
          <w:tcPr>
            <w:tcW w:type="dxa" w:w="2160"/>
          </w:tcPr>
          <w:p>
            <w:r>
              <w:t>Summary</w:t>
            </w:r>
          </w:p>
        </w:tc>
      </w:tr>
      <w:tr>
        <w:tc>
          <w:tcPr>
            <w:tcW w:type="dxa" w:w="2160"/>
          </w:tcPr>
          <w:p>
            <w:r>
              <w:t>INC-2026-0217</w:t>
            </w:r>
          </w:p>
        </w:tc>
        <w:tc>
          <w:tcPr>
            <w:tcW w:type="dxa" w:w="2160"/>
          </w:tcPr>
          <w:p>
            <w:r>
              <w:t>2026-02-17</w:t>
            </w:r>
          </w:p>
        </w:tc>
        <w:tc>
          <w:tcPr>
            <w:tcW w:type="dxa" w:w="2160"/>
          </w:tcPr>
          <w:p>
            <w:r>
              <w:t>SEV-3</w:t>
            </w:r>
          </w:p>
        </w:tc>
        <w:tc>
          <w:tcPr>
            <w:tcW w:type="dxa" w:w="2160"/>
          </w:tcPr>
          <w:p>
            <w:r>
              <w:t>Slow card authorisations caused by the acquiring partner NetAcq</w:t>
            </w:r>
          </w:p>
        </w:tc>
      </w:tr>
      <w:tr>
        <w:tc>
          <w:tcPr>
            <w:tcW w:type="dxa" w:w="2160"/>
          </w:tcPr>
          <w:p>
            <w:r>
              <w:t>INC-2026-0311</w:t>
            </w:r>
          </w:p>
        </w:tc>
        <w:tc>
          <w:tcPr>
            <w:tcW w:type="dxa" w:w="2160"/>
          </w:tcPr>
          <w:p>
            <w:r>
              <w:t>2026-03-11</w:t>
            </w:r>
          </w:p>
        </w:tc>
        <w:tc>
          <w:tcPr>
            <w:tcW w:type="dxa" w:w="2160"/>
          </w:tcPr>
          <w:p>
            <w:r>
              <w:t>SEV-2</w:t>
            </w:r>
          </w:p>
        </w:tc>
        <w:tc>
          <w:tcPr>
            <w:tcW w:type="dxa" w:w="2160"/>
          </w:tcPr>
          <w:p>
            <w:r>
              <w:t>Card payment delays: fraud model v3.3 latency combined with a reduced gateway connection pool</w:t>
            </w:r>
          </w:p>
        </w:tc>
      </w:tr>
      <w:tr>
        <w:tc>
          <w:tcPr>
            <w:tcW w:type="dxa" w:w="2160"/>
          </w:tcPr>
          <w:p>
            <w:r>
              <w:t>INC-2026-0324</w:t>
            </w:r>
          </w:p>
        </w:tc>
        <w:tc>
          <w:tcPr>
            <w:tcW w:type="dxa" w:w="2160"/>
          </w:tcPr>
          <w:p>
            <w:r>
              <w:t>2026-03-24</w:t>
            </w:r>
          </w:p>
        </w:tc>
        <w:tc>
          <w:tcPr>
            <w:tcW w:type="dxa" w:w="2160"/>
          </w:tcPr>
          <w:p>
            <w:r>
              <w:t>SEV-3</w:t>
            </w:r>
          </w:p>
        </w:tc>
        <w:tc>
          <w:tcPr>
            <w:tcW w:type="dxa" w:w="2160"/>
          </w:tcPr>
          <w:p>
            <w:r>
              <w:t>Notification delays after the Kafka broker upgrade</w:t>
            </w:r>
          </w:p>
        </w:tc>
      </w:tr>
    </w:tbl>
    <w:p>
      <w:pPr>
        <w:pStyle w:val="Heading2"/>
      </w:pPr>
      <w:r>
        <w:t>INC-2026-0311 follow-up</w:t>
      </w:r>
    </w:p>
    <w:p>
      <w:r>
        <w:t>INC-2026-0311 delayed 12,400 card payments, the largest impact this quarter. The gateway connection pool was raised to 150 during the incident (CHG-2048) and has stayed at 150.</w:t>
      </w:r>
    </w:p>
    <w:p>
      <w:r>
        <w:t>Action item status as of 2026-04-06:</w:t>
      </w:r>
    </w:p>
    <w:p>
      <w:pPr>
        <w:pStyle w:val="ListBullet"/>
      </w:pPr>
      <w:r>
        <w:t>AI-1, pool saturation alert: Done.</w:t>
      </w:r>
    </w:p>
    <w:p>
      <w:pPr>
        <w:pStyle w:val="ListBullet"/>
      </w:pPr>
      <w:r>
        <w:t>AI-2, release the ledgerdb connection before calling fraud-scoring: In progress, scheduled for release as CHG-2055 on 2026-04-08.</w:t>
      </w:r>
    </w:p>
    <w:p>
      <w:pPr>
        <w:pStyle w:val="ListBullet"/>
      </w:pPr>
      <w:r>
        <w:t>AI-3, enforce the fraud model canary stage: Done on 2026-03-30.</w:t>
      </w:r>
    </w:p>
    <w:p>
      <w:pPr>
        <w:pStyle w:val="ListBullet"/>
      </w:pPr>
      <w:r>
        <w:t>AI-4, named approver for gateway configuration changes: Open.</w:t>
      </w:r>
    </w:p>
    <w:p>
      <w:pPr>
        <w:pStyle w:val="Heading2"/>
      </w:pPr>
      <w:r>
        <w:t>Availability</w:t>
      </w:r>
    </w:p>
    <w:p>
      <w:pPr>
        <w:pStyle w:val="ListBullet"/>
      </w:pPr>
      <w:r>
        <w:t>Checkout API availability in Q1 2026 was 99.93%, against a target of 99.95%.</w:t>
      </w:r>
    </w:p>
    <w:p>
      <w:pPr>
        <w:pStyle w:val="ListBullet"/>
      </w:pPr>
      <w:r>
        <w:t>Two of the three incidents were caused by internal changes.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Q1 2026 Reliability Review</dc:title>
  <dc:subject/>
  <dc:creator>Hannah Lindqvist</dc:creator>
  <cp:keywords>status: final</cp:keywords>
  <dc:description>generated by python-docx</dc:description>
  <cp:lastModifiedBy>Hannah Lindqvist</cp:lastModifiedBy>
  <cp:revision>1</cp:revision>
  <dcterms:created xsi:type="dcterms:W3CDTF">2026-04-06T00:00:00Z</dcterms:created>
  <dcterms:modified xsi:type="dcterms:W3CDTF">2026-04-06T00:00:00Z</dcterms:modified>
  <cp:category>review</cp:category>
</cp:coreProperties>
</file>