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титульний-аркуш"/>
    <w:p>
      <w:pPr>
        <w:pStyle w:val="Heading1"/>
      </w:pPr>
      <w:r>
        <w:t xml:space="preserve">Титульний аркуш</w:t>
      </w:r>
    </w:p>
    <w:p>
      <w:pPr>
        <w:pStyle w:val="FirstParagraph"/>
      </w:pPr>
      <w:r>
        <w:t xml:space="preserve">КИЇВСЬКИЙ НАЦІОНАЛЬНИЙ УНІВЕРСИТЕТ ІМЕНІ ТАРАСА ШЕВЧЕНКА</w:t>
      </w:r>
    </w:p>
    <w:p>
      <w:pPr>
        <w:pStyle w:val="BodyText"/>
      </w:pPr>
      <w:r>
        <w:t xml:space="preserve">Факультет комп’ютерних наук та кібернетики</w:t>
      </w:r>
    </w:p>
    <w:p>
      <w:pPr>
        <w:pStyle w:val="BodyText"/>
      </w:pPr>
      <w:r>
        <w:t xml:space="preserve">Кафедра теоретичної кібернетики</w:t>
      </w:r>
    </w:p>
    <w:p>
      <w:pPr>
        <w:pStyle w:val="BodyText"/>
      </w:pPr>
      <w:r>
        <w:t xml:space="preserve">Кваліфікаційна робота</w:t>
      </w:r>
    </w:p>
    <w:p>
      <w:pPr>
        <w:pStyle w:val="BodyText"/>
      </w:pPr>
      <w:r>
        <w:t xml:space="preserve">на здобуття ступеня бакалавра</w:t>
      </w:r>
    </w:p>
    <w:p>
      <w:pPr>
        <w:pStyle w:val="BodyText"/>
      </w:pPr>
      <w:r>
        <w:t xml:space="preserve">за спеціальністю 122 Комп’ютерні науки</w:t>
      </w:r>
    </w:p>
    <w:p>
      <w:pPr>
        <w:pStyle w:val="BodyText"/>
      </w:pPr>
      <w:r>
        <w:t xml:space="preserve">на тему:</w:t>
      </w:r>
    </w:p>
    <w:p>
      <w:pPr>
        <w:pStyle w:val="BodyText"/>
      </w:pPr>
      <w:r>
        <w:rPr>
          <w:bCs/>
          <w:b/>
        </w:rPr>
        <w:t xml:space="preserve">ЗАСОБИ ВИЯВЛЕННЯ ПЛАГІАТУ У ВИКОНАНИХ НАВЧАЛЬНИХ ЗАВДАННЯХ З ПРОГРАМУВАННЯ</w:t>
      </w:r>
    </w:p>
    <w:p>
      <w:pPr>
        <w:pStyle w:val="BodyText"/>
      </w:pPr>
      <w:r>
        <w:t xml:space="preserve">Виконав студент 4-го курсу</w:t>
      </w:r>
    </w:p>
    <w:p>
      <w:pPr>
        <w:pStyle w:val="BodyText"/>
      </w:pPr>
      <w:r>
        <w:t xml:space="preserve">ОПП «Інформатика»</w:t>
      </w:r>
    </w:p>
    <w:p>
      <w:pPr>
        <w:pStyle w:val="BodyText"/>
      </w:pPr>
      <w:r>
        <w:t xml:space="preserve">Коркач Олександр Сергійович __________</w:t>
      </w:r>
    </w:p>
    <w:p>
      <w:pPr>
        <w:pStyle w:val="BodyText"/>
      </w:pPr>
      <w:r>
        <w:t xml:space="preserve">(підпис)</w:t>
      </w:r>
    </w:p>
    <w:p>
      <w:pPr>
        <w:pStyle w:val="BodyText"/>
      </w:pPr>
      <w:r>
        <w:t xml:space="preserve">Науковий керівник:</w:t>
      </w:r>
    </w:p>
    <w:p>
      <w:pPr>
        <w:pStyle w:val="BodyText"/>
      </w:pPr>
      <w:r>
        <w:t xml:space="preserve">доцент кафедри теоретичної кібернетики</w:t>
      </w:r>
    </w:p>
    <w:p>
      <w:pPr>
        <w:pStyle w:val="BodyText"/>
      </w:pPr>
      <w:r>
        <w:t xml:space="preserve">кандидат фізико-математичних наук, доцент</w:t>
      </w:r>
    </w:p>
    <w:p>
      <w:pPr>
        <w:pStyle w:val="BodyText"/>
      </w:pPr>
      <w:r>
        <w:t xml:space="preserve">Карнаух Тетяна Олександрівна __________</w:t>
      </w:r>
    </w:p>
    <w:p>
      <w:pPr>
        <w:pStyle w:val="BodyText"/>
      </w:pPr>
      <w:r>
        <w:t xml:space="preserve">(підпис)</w:t>
      </w:r>
    </w:p>
    <w:p>
      <w:pPr>
        <w:pStyle w:val="BodyText"/>
      </w:pPr>
      <w:r>
        <w:t xml:space="preserve">Засвідчую, що в цій роботі немає запозичень з праць інших авторів без відповідних посилань.</w:t>
      </w:r>
    </w:p>
    <w:p>
      <w:pPr>
        <w:pStyle w:val="BodyText"/>
      </w:pPr>
      <w:r>
        <w:t xml:space="preserve">Студент __________</w:t>
      </w:r>
    </w:p>
    <w:p>
      <w:pPr>
        <w:pStyle w:val="BodyText"/>
      </w:pPr>
      <w:r>
        <w:t xml:space="preserve">(підпис)</w:t>
      </w:r>
    </w:p>
    <w:p>
      <w:pPr>
        <w:pStyle w:val="BodyText"/>
      </w:pPr>
      <w:r>
        <w:t xml:space="preserve">Роботу розглянуто й допущено до захисту на засіданні кафедри теоретичної кібернетики</w:t>
      </w:r>
    </w:p>
    <w:p>
      <w:pPr>
        <w:pStyle w:val="BodyText"/>
      </w:pPr>
      <w:r>
        <w:t xml:space="preserve">«_____» _________________ 2026 р., протокол № _____</w:t>
      </w:r>
    </w:p>
    <w:p>
      <w:pPr>
        <w:pStyle w:val="BodyText"/>
      </w:pPr>
      <w:r>
        <w:t xml:space="preserve">Завідувач кафедри</w:t>
      </w:r>
    </w:p>
    <w:p>
      <w:pPr>
        <w:pStyle w:val="BodyText"/>
      </w:pPr>
      <w:r>
        <w:t xml:space="preserve">доктор фізико-математичних наук, професор</w:t>
      </w:r>
    </w:p>
    <w:p>
      <w:pPr>
        <w:pStyle w:val="BodyText"/>
      </w:pPr>
      <w:r>
        <w:t xml:space="preserve">Юрій КРАК __________</w:t>
      </w:r>
    </w:p>
    <w:p>
      <w:pPr>
        <w:pStyle w:val="BodyText"/>
      </w:pPr>
      <w:r>
        <w:t xml:space="preserve">(підпис)</w:t>
      </w:r>
    </w:p>
    <w:p>
      <w:pPr>
        <w:pStyle w:val="BodyText"/>
      </w:pPr>
      <w:r>
        <w:t xml:space="preserve">КИЇВ 2026</w:t>
      </w:r>
    </w:p>
    <w:bookmarkEnd w:id="20"/>
    <w:bookmarkStart w:id="21" w:name="реферат"/>
    <w:p>
      <w:pPr>
        <w:pStyle w:val="Heading1"/>
      </w:pPr>
      <w:r>
        <w:t xml:space="preserve">РЕФЕРАТ</w:t>
      </w:r>
    </w:p>
    <w:p>
      <w:pPr>
        <w:pStyle w:val="FirstParagraph"/>
      </w:pPr>
      <w:r>
        <w:t xml:space="preserve">Обсяг роботи — 52 сторінки, 9 ілюстрацій, 7 таблиць, 32 джерела посилань, 3 додатки.</w:t>
      </w:r>
    </w:p>
    <w:p>
      <w:pPr>
        <w:pStyle w:val="BodyText"/>
      </w:pPr>
      <w:r>
        <w:t xml:space="preserve">ПЛАГІАТ, АКАДЕМІЧНА ДОБРОЧЕСНІСТЬ, GOOGLE CLASSROOM, MINHASH, LSH, РЕЧЕННЯ-ЕМБЕДДИНГ, ПАРАФРАЗ, ВЕЛИКА МОВНА МОДЕЛЬ, ВИЯВЛЕННЯ ТЕКСТУ ШТУЧНОГО ІНТЕЛЕКТУ, ПОЯСНЮВАНІСТЬ, РАНЖУВАННЯ, ОЦІНЮВАННЯ.</w:t>
      </w:r>
    </w:p>
    <w:p>
      <w:pPr>
        <w:pStyle w:val="BodyText"/>
      </w:pPr>
      <w:r>
        <w:t xml:space="preserve">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pStyle w:val="BodyText"/>
      </w:pPr>
      <w:r>
        <w:t xml:space="preserve">Предметом дослідження є методи та програмні засоби виявлення трьох типів ознак запозичення в таких сабмішнах: збіги з відкритими веб-ресурсами, парафразо-стійка подібність між сабмішнами в межах когорти та між когортами, а також виявлення характерних артефактів, що супроводжують недбале копіювання з результатів роботи мовних моделей.</w:t>
      </w:r>
    </w:p>
    <w:p>
      <w:pPr>
        <w:pStyle w:val="BodyText"/>
      </w:pPr>
      <w:r>
        <w:t xml:space="preserve">Мета роботи — розробити інструмент для викладача, який інтегрується з Google Classroom і за один прохід оцінює сабмішни обраного завдання за переліком окремих, незалежно інтерпретованих сигналів, не зводячи рішення до єдиного «відсотка плагіату».</w:t>
      </w:r>
    </w:p>
    <w:p>
      <w:pPr>
        <w:pStyle w:val="BodyText"/>
      </w:pPr>
      <w:r>
        <w:t xml:space="preserve">У роботі використано методи теорії інформаційного пошуку (k-шинглінг, MinHash, LSH), методи дистрибутивної семантики (речення-ембеддинги, наближений пошук найближчих сусідів за допомогою FAISS), правилову інженерію з прозорою оцінкою точності й відклику кожного правила, методи зовнішнього оцінювання на стандартних корпусах (PAN, HC3, M4). Інструменти розроблення: мова Python, бібліотеки datasketch, sentence-transformers, faiss-cpu, google-api-python-client, Streamlit, SQLite, scikit-learn, pandas.</w:t>
      </w:r>
    </w:p>
    <w:p>
      <w:pPr>
        <w:pStyle w:val="BodyText"/>
      </w:pPr>
      <w:r>
        <w:t xml:space="preserve">Результати роботи: проаналізовано наявні засоби виявлення плагіату й описано їх обмеження стосовно письмових сабмішнів у курсах із програмування; запропоновано двоканальну архітектуру внутрішньокогортного порівняння, що поєднує MinHash і речення-ембеддинги; розроблено таксономію правил для виявлення характерних слідів недбалого використання мовних моделей разом із методикою емпіричної оцінки точності кожного правила; реалізовано прозорий ранжувальник сигналів і дашборд для викладача; описано протокол оцінювання інструменту на корпусах PAN, HC3, M4.</w:t>
      </w:r>
    </w:p>
    <w:p>
      <w:pPr>
        <w:pStyle w:val="BodyText"/>
      </w:pPr>
      <w:r>
        <w:t xml:space="preserve">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для попередньої перевірки письмових частин лабораторних робіт і проєктів у курсах із програмування, а також для побудови розширених систем академічного контролю на рівні кафедри або факультету. Подальший розвиток передбачає підтримку україномовних сабмішнів, інтеграцію з системами керування навчанням та розширення таксономії правил відповідно до зміни поведінки наявних мовних моделей.</w:t>
      </w:r>
    </w:p>
    <w:bookmarkEnd w:id="21"/>
    <w:bookmarkStart w:id="22" w:name="зміст"/>
    <w:p>
      <w:pPr>
        <w:pStyle w:val="Heading1"/>
      </w:pPr>
      <w:r>
        <w:t xml:space="preserve">ЗМІСТ</w:t>
      </w:r>
    </w:p>
    <w:p>
      <w:pPr>
        <w:pStyle w:val="FirstParagraph"/>
      </w:pPr>
      <w:r>
        <w:t xml:space="preserve">СКОРОЧЕННЯ ТА УМОВНІ ПОЗНАКИ</w:t>
      </w:r>
    </w:p>
    <w:p>
      <w:pPr>
        <w:pStyle w:val="BodyText"/>
      </w:pPr>
      <w:r>
        <w:t xml:space="preserve">ВСТУП</w:t>
      </w:r>
    </w:p>
    <w:p>
      <w:pPr>
        <w:pStyle w:val="BodyText"/>
      </w:pPr>
      <w:r>
        <w:t xml:space="preserve">1 АНАЛІЗ ПРЕДМЕТНОЇ ОБЛАСТІ ТА ІСНУЮЧИХ РІШЕНЬ</w:t>
      </w:r>
    </w:p>
    <w:p>
      <w:pPr>
        <w:pStyle w:val="BodyText"/>
      </w:pPr>
      <w:r>
        <w:t xml:space="preserve">1.1 Академічна доброчесність і види плагіату в навчальних завданнях</w:t>
      </w:r>
    </w:p>
    <w:p>
      <w:pPr>
        <w:pStyle w:val="BodyText"/>
      </w:pPr>
      <w:r>
        <w:t xml:space="preserve">1.2 Огляд існуючих засобів виявлення плагіату</w:t>
      </w:r>
    </w:p>
    <w:p>
      <w:pPr>
        <w:pStyle w:val="BodyText"/>
      </w:pPr>
      <w:r>
        <w:t xml:space="preserve">1.3 Письмові сабмішни в Google Classroom як прогалина наявних інструментів</w:t>
      </w:r>
    </w:p>
    <w:p>
      <w:pPr>
        <w:pStyle w:val="BodyText"/>
      </w:pPr>
      <w:r>
        <w:t xml:space="preserve">1.4 Прояви недбалого використання великих мовних моделей</w:t>
      </w:r>
    </w:p>
    <w:p>
      <w:pPr>
        <w:pStyle w:val="BodyText"/>
      </w:pPr>
      <w:r>
        <w:t xml:space="preserve">1.5 Постановка завдання</w:t>
      </w:r>
    </w:p>
    <w:p>
      <w:pPr>
        <w:pStyle w:val="BodyText"/>
      </w:pPr>
      <w:r>
        <w:t xml:space="preserve">2 АРХІТЕКТУРА ЗАПРОПОНОВАНОГО ЗАСОБУ</w:t>
      </w:r>
    </w:p>
    <w:p>
      <w:pPr>
        <w:pStyle w:val="BodyText"/>
      </w:pPr>
      <w:r>
        <w:t xml:space="preserve">2.1 Загальна структура інструменту</w:t>
      </w:r>
    </w:p>
    <w:p>
      <w:pPr>
        <w:pStyle w:val="BodyText"/>
      </w:pPr>
      <w:r>
        <w:t xml:space="preserve">2.2 Інтеграція з Google Classroom і витяг тексту</w:t>
      </w:r>
    </w:p>
    <w:p>
      <w:pPr>
        <w:pStyle w:val="BodyText"/>
      </w:pPr>
      <w:r>
        <w:t xml:space="preserve">2.3 Модель даних і збереження стану</w:t>
      </w:r>
    </w:p>
    <w:p>
      <w:pPr>
        <w:pStyle w:val="BodyText"/>
      </w:pPr>
      <w:r>
        <w:t xml:space="preserve">2.4 Принцип посигнальних доказів замість єдиного балу</w:t>
      </w:r>
    </w:p>
    <w:p>
      <w:pPr>
        <w:pStyle w:val="BodyText"/>
      </w:pPr>
      <w:r>
        <w:t xml:space="preserve">3 ПАРАФРАЗО-СТІЙКЕ ПОРІВНЯННЯ В МЕЖАХ КОГОРТИ</w:t>
      </w:r>
    </w:p>
    <w:p>
      <w:pPr>
        <w:pStyle w:val="BodyText"/>
      </w:pPr>
      <w:r>
        <w:t xml:space="preserve">3.1 Канал точного збігу: k-шинглінг, MinHash, LSH</w:t>
      </w:r>
    </w:p>
    <w:p>
      <w:pPr>
        <w:pStyle w:val="BodyText"/>
      </w:pPr>
      <w:r>
        <w:t xml:space="preserve">3.2 Канал парафразу: речення-ембеддинги та FAISS</w:t>
      </w:r>
    </w:p>
    <w:p>
      <w:pPr>
        <w:pStyle w:val="BodyText"/>
      </w:pPr>
      <w:r>
        <w:t xml:space="preserve">3.3 Об’єднання доказів та вирівнювання спанів</w:t>
      </w:r>
    </w:p>
    <w:p>
      <w:pPr>
        <w:pStyle w:val="BodyText"/>
      </w:pPr>
      <w:r>
        <w:t xml:space="preserve">3.4 Складність, обмеження, інженерні рішення</w:t>
      </w:r>
    </w:p>
    <w:p>
      <w:pPr>
        <w:pStyle w:val="BodyText"/>
      </w:pPr>
      <w:r>
        <w:t xml:space="preserve">3.5 Методика оцінювання каналу когортного порівняння</w:t>
      </w:r>
    </w:p>
    <w:p>
      <w:pPr>
        <w:pStyle w:val="BodyText"/>
      </w:pPr>
      <w:r>
        <w:t xml:space="preserve">4 ТАКСОНОМІЯ ОЗНАК НЕДБАЛОГО ВИКОРИСТАННЯ МОВНИХ МОДЕЛЕЙ</w:t>
      </w:r>
    </w:p>
    <w:p>
      <w:pPr>
        <w:pStyle w:val="BodyText"/>
      </w:pPr>
      <w:r>
        <w:t xml:space="preserve">4.1 Дизайн-принципи: висока точність, прозоре спрацювання</w:t>
      </w:r>
    </w:p>
    <w:p>
      <w:pPr>
        <w:pStyle w:val="BodyText"/>
      </w:pPr>
      <w:r>
        <w:t xml:space="preserve">4.2 Категорії правил</w:t>
      </w:r>
    </w:p>
    <w:p>
      <w:pPr>
        <w:pStyle w:val="BodyText"/>
      </w:pPr>
      <w:r>
        <w:t xml:space="preserve">4.3 Інженерія правил як даних</w:t>
      </w:r>
    </w:p>
    <w:p>
      <w:pPr>
        <w:pStyle w:val="BodyText"/>
      </w:pPr>
      <w:r>
        <w:t xml:space="preserve">4.4 Етична позиція й чого інструмент не робить</w:t>
      </w:r>
    </w:p>
    <w:p>
      <w:pPr>
        <w:pStyle w:val="BodyText"/>
      </w:pPr>
      <w:r>
        <w:t xml:space="preserve">4.5 Методика оцінювання таксономії</w:t>
      </w:r>
    </w:p>
    <w:p>
      <w:pPr>
        <w:pStyle w:val="BodyText"/>
      </w:pPr>
      <w:r>
        <w:t xml:space="preserve">5 ІНТЕГРАЦІЯ СИГНАЛІВ, ІНТЕРФЕЙС ВИКЛАДАЧА Й ЗАГАЛЬНЕ ОЦІНЮВАННЯ</w:t>
      </w:r>
    </w:p>
    <w:p>
      <w:pPr>
        <w:pStyle w:val="BodyText"/>
      </w:pPr>
      <w:r>
        <w:t xml:space="preserve">5.1 Сторонній веб-плагіат як окремий сигнал</w:t>
      </w:r>
    </w:p>
    <w:p>
      <w:pPr>
        <w:pStyle w:val="BodyText"/>
      </w:pPr>
      <w:r>
        <w:t xml:space="preserve">5.2 Ранжування сабмішнів</w:t>
      </w:r>
    </w:p>
    <w:p>
      <w:pPr>
        <w:pStyle w:val="BodyText"/>
      </w:pPr>
      <w:r>
        <w:t xml:space="preserve">5.3 Інтерфейс викладача</w:t>
      </w:r>
    </w:p>
    <w:p>
      <w:pPr>
        <w:pStyle w:val="BodyText"/>
      </w:pPr>
      <w:r>
        <w:t xml:space="preserve">5.4 Системний експеримент і метрики</w:t>
      </w:r>
    </w:p>
    <w:p>
      <w:pPr>
        <w:pStyle w:val="BodyText"/>
      </w:pPr>
      <w:r>
        <w:t xml:space="preserve">5.5 Обмеження та подальша робота</w:t>
      </w:r>
    </w:p>
    <w:p>
      <w:pPr>
        <w:pStyle w:val="BodyText"/>
      </w:pPr>
      <w:r>
        <w:t xml:space="preserve">ВИСНОВКИ</w:t>
      </w:r>
    </w:p>
    <w:p>
      <w:pPr>
        <w:pStyle w:val="BodyText"/>
      </w:pPr>
      <w:r>
        <w:t xml:space="preserve">ПЕРЕЛІК ДЖЕРЕЛ ПОСИЛАННЯ</w:t>
      </w:r>
    </w:p>
    <w:p>
      <w:pPr>
        <w:pStyle w:val="BodyText"/>
      </w:pPr>
      <w:r>
        <w:t xml:space="preserve">ДОДАТОК А Приклад звіту по сабмішну</w:t>
      </w:r>
    </w:p>
    <w:p>
      <w:pPr>
        <w:pStyle w:val="BodyText"/>
      </w:pPr>
      <w:r>
        <w:t xml:space="preserve">ДОДАТОК Б Скорочений перелік правил таксономії</w:t>
      </w:r>
    </w:p>
    <w:p>
      <w:pPr>
        <w:pStyle w:val="BodyText"/>
      </w:pPr>
      <w:r>
        <w:t xml:space="preserve">ДОДАТОК В Конфігурація запуску оцінювального стенду</w:t>
      </w:r>
    </w:p>
    <w:bookmarkEnd w:id="22"/>
    <w:bookmarkStart w:id="23" w:name="скорочення-та-умовні-познаки"/>
    <w:p>
      <w:pPr>
        <w:pStyle w:val="Heading1"/>
      </w:pPr>
      <w:r>
        <w:t xml:space="preserve">СКОРОЧЕННЯ ТА УМОВНІ ПОЗНАКИ</w:t>
      </w:r>
    </w:p>
    <w:p>
      <w:pPr>
        <w:pStyle w:val="FirstParagraph"/>
      </w:pPr>
      <w:r>
        <w:t xml:space="preserve">API — програмний інтерфейс застосунку (Application Programming Interface)</w:t>
      </w:r>
    </w:p>
    <w:p>
      <w:pPr>
        <w:pStyle w:val="BodyText"/>
      </w:pPr>
      <w:r>
        <w:t xml:space="preserve">AUC — площа під ROC-кривою (Area Under the Curve)</w:t>
      </w:r>
    </w:p>
    <w:p>
      <w:pPr>
        <w:pStyle w:val="BodyText"/>
      </w:pPr>
      <w:r>
        <w:t xml:space="preserve">DOCX — формат документа Office Open XML</w:t>
      </w:r>
    </w:p>
    <w:p>
      <w:pPr>
        <w:pStyle w:val="BodyText"/>
      </w:pPr>
      <w:r>
        <w:t xml:space="preserve">FAISS — Facebook AI Similarity Search, бібліотека наближеного пошуку найближчих сусідів</w:t>
      </w:r>
    </w:p>
    <w:p>
      <w:pPr>
        <w:pStyle w:val="BodyText"/>
      </w:pPr>
      <w:r>
        <w:t xml:space="preserve">HC3 — корпус Human-ChatGPT Comparison Corpus</w:t>
      </w:r>
    </w:p>
    <w:p>
      <w:pPr>
        <w:pStyle w:val="BodyText"/>
      </w:pPr>
      <w:r>
        <w:t xml:space="preserve">JSON — JavaScript Object Notation, текстовий формат обміну даними</w:t>
      </w:r>
    </w:p>
    <w:p>
      <w:pPr>
        <w:pStyle w:val="BodyText"/>
      </w:pPr>
      <w:r>
        <w:t xml:space="preserve">LLM — велика мовна модель (Large Language Model)</w:t>
      </w:r>
    </w:p>
    <w:p>
      <w:pPr>
        <w:pStyle w:val="BodyText"/>
      </w:pPr>
      <w:r>
        <w:t xml:space="preserve">LSH — locality-sensitive hashing, чутливе до локальності гешування</w:t>
      </w:r>
    </w:p>
    <w:p>
      <w:pPr>
        <w:pStyle w:val="BodyText"/>
      </w:pPr>
      <w:r>
        <w:t xml:space="preserve">M4 — Multi-generator, Multi-domain, Multi-lingual MGT detection corpus</w:t>
      </w:r>
    </w:p>
    <w:p>
      <w:pPr>
        <w:pStyle w:val="BodyText"/>
      </w:pPr>
      <w:r>
        <w:t xml:space="preserve">MGT — машинно-згенерований текст (Machine-Generated Text)</w:t>
      </w:r>
    </w:p>
    <w:p>
      <w:pPr>
        <w:pStyle w:val="BodyText"/>
      </w:pPr>
      <w:r>
        <w:t xml:space="preserve">MinHash — мін-хеш, ймовірнісна сигнатура для оцінки коефіцієнта Жаккара</w:t>
      </w:r>
    </w:p>
    <w:p>
      <w:pPr>
        <w:pStyle w:val="BodyText"/>
      </w:pPr>
      <w:r>
        <w:t xml:space="preserve">NDCG — Normalized Discounted Cumulative Gain, метрика якості ранжування</w:t>
      </w:r>
    </w:p>
    <w:p>
      <w:pPr>
        <w:pStyle w:val="BodyText"/>
      </w:pPr>
      <w:r>
        <w:t xml:space="preserve">OAuth — протокол делегованої авторизації</w:t>
      </w:r>
    </w:p>
    <w:p>
      <w:pPr>
        <w:pStyle w:val="BodyText"/>
      </w:pPr>
      <w:r>
        <w:t xml:space="preserve">PAN — щорічна серія змагань із виявлення плагіату та аналізу авторства</w:t>
      </w:r>
    </w:p>
    <w:p>
      <w:pPr>
        <w:pStyle w:val="BodyText"/>
      </w:pPr>
      <w:r>
        <w:t xml:space="preserve">PDF — Portable Document Format</w:t>
      </w:r>
    </w:p>
    <w:p>
      <w:pPr>
        <w:pStyle w:val="BodyText"/>
      </w:pPr>
      <w:r>
        <w:t xml:space="preserve">PR — крива «точність — відклик» (Precision–Recall)</w:t>
      </w:r>
    </w:p>
    <w:p>
      <w:pPr>
        <w:pStyle w:val="BodyText"/>
      </w:pPr>
      <w:r>
        <w:t xml:space="preserve">PSNR — peak signal-to-noise ratio (тут згадано лише в порівнянні з обмеженнями інших галузей)</w:t>
      </w:r>
    </w:p>
    <w:p>
      <w:pPr>
        <w:pStyle w:val="BodyText"/>
      </w:pPr>
      <w:r>
        <w:t xml:space="preserve">ROC — Receiver Operating Characteristic</w:t>
      </w:r>
    </w:p>
    <w:p>
      <w:pPr>
        <w:pStyle w:val="BodyText"/>
      </w:pPr>
      <w:r>
        <w:t xml:space="preserve">SQL — Structured Query Language</w:t>
      </w:r>
    </w:p>
    <w:p>
      <w:pPr>
        <w:pStyle w:val="BodyText"/>
      </w:pPr>
      <w:r>
        <w:t xml:space="preserve">UI — інтерфейс користувача (User Interface)</w:t>
      </w:r>
    </w:p>
    <w:p>
      <w:pPr>
        <w:pStyle w:val="BodyText"/>
      </w:pPr>
      <w:r>
        <w:t xml:space="preserve">URL — Uniform Resource Locator</w:t>
      </w:r>
    </w:p>
    <w:p>
      <w:pPr>
        <w:pStyle w:val="BodyText"/>
      </w:pPr>
      <w:r>
        <w:t xml:space="preserve">YAML — людиночитний формат серіалізації даних</w:t>
      </w:r>
    </w:p>
    <w:p>
      <w:pPr>
        <w:pStyle w:val="BodyText"/>
      </w:pPr>
      <w:r>
        <w:t xml:space="preserve">ШІ — штучний інтелект</w:t>
      </w:r>
    </w:p>
    <w:bookmarkEnd w:id="23"/>
    <w:bookmarkStart w:id="24" w:name="вступ"/>
    <w:p>
      <w:pPr>
        <w:pStyle w:val="Heading1"/>
      </w:pPr>
      <w:r>
        <w:t xml:space="preserve">ВСТУП</w:t>
      </w:r>
    </w:p>
    <w:p>
      <w:pPr>
        <w:pStyle w:val="FirstParagraph"/>
      </w:pPr>
      <w:r>
        <w:t xml:space="preserve">Сьогодні письмова частина студентських робіт у курсах із програмування — звіти про лабораторні, пояснювальні записки до проєктів, обґрунтування архітектурних рішень, аналіз результатів вимірювань — подається переважно в електронному вигляді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і пов’язане з ним сховище Google Drive. Це відкриває нові можливості для автоматизованої перевірки на запозичення, але водночас оголює дві слабкі сторони наявних інструментів. По-перше, комерційні сервіси перевірки на плагіат, такі як Turnitin або Unicheck, добре виявляють збіги з відкритим вебом, проте не мають доступу до приватних робіт інших студентів усередині курсу й тим більше — до сабмішнів, поданих у попередніх семестрах. По-друге, з 2022 року масовою стала практика подачі робіт, написаних за допомогою великих мовних моделей; наявні детектори тексту ШІ дають високий рівень помилок і не пояснюють викладачеві, які саме фрагменти викликали підозру.</w:t>
      </w:r>
    </w:p>
    <w:p>
      <w:pPr>
        <w:pStyle w:val="BodyText"/>
      </w:pPr>
      <w:r>
        <w:t xml:space="preserve">Об’єкт дослідження — процес виявлення ознак плагіату й недбалого використання великих мовних моделей у письмових сабмішнах студентів, поданих у Google Classroom у межах курсів із програмування.</w:t>
      </w:r>
    </w:p>
    <w:p>
      <w:pPr>
        <w:pStyle w:val="BodyText"/>
      </w:pPr>
      <w:r>
        <w:t xml:space="preserve">Предмет дослідження — методи й програмні засоби виявлення трьох типів ознак запозичення: збіги з відкритими веб-ресурсами; парафразо-стійка подібність між сабмішнами в межах однієї когорти або між кількома когортами; характерні артефакти, що супроводжують недбале копіювання результатів роботи мовних моделей.</w:t>
      </w:r>
    </w:p>
    <w:p>
      <w:pPr>
        <w:pStyle w:val="BodyText"/>
      </w:pPr>
      <w:r>
        <w:t xml:space="preserve">Актуальність роботи зумовлена двома процесами, що відбуваються одночасно. По-перше, поширення інструментів на основі мовних моделей зробило підготовку формального тексту дешевою настільки, що традиційні методи перевірки на текстовий збіг втрачають дискримінаційну здатність [22; 24]. По-друге, у Google Classroom не передбачено вбудованої перевірки на подібність між роботами різних студентів, а сторонні інтеграції покривають лише публічно доступні матеріали. Сполучення цих обставин створює вразливість на рівні навчального процесу й мотивує побудову інструменту, який працює саме з тим набором даних, що недоступний зовнішнім перевіркам.</w:t>
      </w:r>
    </w:p>
    <w:p>
      <w:pPr>
        <w:pStyle w:val="BodyText"/>
      </w:pPr>
      <w:r>
        <w:t xml:space="preserve">Мета роботи — спроєктувати й реалізувати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не зводячи остаточне рішення до єдиного балу.</w:t>
      </w:r>
    </w:p>
    <w:p>
      <w:pPr>
        <w:pStyle w:val="BodyText"/>
      </w:pPr>
      <w:r>
        <w:t xml:space="preserve">Для досягнення цієї мети сформульовано такі завдання:</w:t>
      </w:r>
    </w:p>
    <w:p>
      <w:pPr>
        <w:pStyle w:val="BodyText"/>
      </w:pPr>
      <w:r>
        <w:t xml:space="preserve">—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pStyle w:val="BodyText"/>
      </w:pPr>
      <w:r>
        <w:t xml:space="preserve">— спроєктувати загальну архітектуру інструменту, що інтегрується з Google Classroom і Google Drive, забезпечує витяг тексту з типових форматів (Google Docs, PDF, DOCX) та зберігає результати перевірки;</w:t>
      </w:r>
    </w:p>
    <w:p>
      <w:pPr>
        <w:pStyle w:val="BodyText"/>
      </w:pPr>
      <w:r>
        <w:t xml:space="preserve">— розробити двоканальну схему внутрішньокогортного порівняння, у якій один канал відповідає за виявлення точних і близьких до точних запозичень, а другий — за виявлення парафразу;</w:t>
      </w:r>
    </w:p>
    <w:p>
      <w:pPr>
        <w:pStyle w:val="BodyText"/>
      </w:pPr>
      <w:r>
        <w:t xml:space="preserve">— укласти таксономію правил для виявлення характерних артефактів недбалого використання мовних моделей із прозорим описом кожного правила, прикладами доказів і методикою емпіричної оцінки точності та відклику;</w:t>
      </w:r>
    </w:p>
    <w:p>
      <w:pPr>
        <w:pStyle w:val="BodyText"/>
      </w:pPr>
      <w:r>
        <w:t xml:space="preserve">— розробити прозору схему ранжування сабмішнів на основі переліку сигналів та інтерфейс викладача, що подає доказову базу для кожного спрацювання;</w:t>
      </w:r>
    </w:p>
    <w:p>
      <w:pPr>
        <w:pStyle w:val="BodyText"/>
      </w:pPr>
      <w:r>
        <w:t xml:space="preserve">— описати протокол оцінювання інструменту на корпусах PAN, HC3, M4 та сформувати скелет експериментальних таблиць для подальшого заповнення фактичними результатами.</w:t>
      </w:r>
    </w:p>
    <w:p>
      <w:pPr>
        <w:pStyle w:val="BodyText"/>
      </w:pPr>
      <w:r>
        <w:t xml:space="preserve">Методи дослідження включають аналіз науково-технічних публікацій з інформаційного пошуку та обробки природної мови, методи дистрибутивної семантики, методи правилового аналізу, методи побудови інформаційних систем. Інструменти розроблення: мова Python, бібліотеки datasketch, sentence-transformers, faiss-cpu, google-api-python-client, Streamlit, SQLite.</w:t>
      </w:r>
    </w:p>
    <w:p>
      <w:pPr>
        <w:pStyle w:val="BodyText"/>
      </w:pPr>
      <w:r>
        <w:t xml:space="preserve">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pStyle w:val="BodyText"/>
      </w:pPr>
      <w:r>
        <w:t xml:space="preserve">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bookmarkEnd w:id="24"/>
    <w:bookmarkStart w:id="33" w:name="X8d390b245f0accf360ae2eb9009881d55498d17"/>
    <w:p>
      <w:pPr>
        <w:pStyle w:val="Heading1"/>
      </w:pPr>
      <w:r>
        <w:t xml:space="preserve">1 АНАЛІЗ ПРЕДМЕТНОЇ ОБЛАСТІ ТА ІСНУЮЧИХ РІШЕНЬ</w:t>
      </w:r>
    </w:p>
    <w:bookmarkStart w:id="25" w:name="X2fc3854aee80afb7ba628d81239c4bb2fff8889"/>
    <w:p>
      <w:pPr>
        <w:pStyle w:val="Heading2"/>
      </w:pPr>
      <w:r>
        <w:t xml:space="preserve">1.1 Академічна доброчесність і види плагіату в навчальних завданнях</w:t>
      </w:r>
    </w:p>
    <w:p>
      <w:pPr>
        <w:pStyle w:val="FirstParagraph"/>
      </w:pPr>
      <w:r>
        <w:t xml:space="preserve">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w:t>
      </w:r>
    </w:p>
    <w:p>
      <w:pPr>
        <w:pStyle w:val="BodyText"/>
      </w:pPr>
      <w:r>
        <w:t xml:space="preserve">Опубліковані огляди розрізняють кілька груп проявів плагіату в навчальних роботах. Морер, Каппе й Зака [12]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[15]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pStyle w:val="BodyText"/>
      </w:pPr>
      <w:r>
        <w:t xml:space="preserve">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bookmarkEnd w:id="25"/>
    <w:bookmarkStart w:id="29" w:name="X8c77a5d9daae81eada6b8cbb59cf2a3f83f52ce"/>
    <w:p>
      <w:pPr>
        <w:pStyle w:val="Heading2"/>
      </w:pPr>
      <w:r>
        <w:t xml:space="preserve">1.2 Огляд існуючих засобів виявлення плагіату</w:t>
      </w:r>
    </w:p>
    <w:p>
      <w:pPr>
        <w:pStyle w:val="FirstParagraph"/>
      </w:pPr>
      <w:r>
        <w:t xml:space="preserve">За способом організації порівняння наявні засоби виявлення плагіату розпадаються на дві слабо перетинні групи: інструменти для текстових сабмішнів і інструменти для сабмішнів вихідного коду. Хоча обидві групи розв’язують зовнішньо подібну задачу, методи й типові набори даних у них різні.</w:t>
      </w:r>
    </w:p>
    <w:bookmarkStart w:id="26" w:name="інструменти-для-текстових-сабмішнів"/>
    <w:p>
      <w:pPr>
        <w:pStyle w:val="Heading3"/>
      </w:pPr>
      <w:r>
        <w:t xml:space="preserve">Інструменти для текстових сабмішнів</w:t>
      </w:r>
    </w:p>
    <w:p>
      <w:pPr>
        <w:pStyle w:val="FirstParagraph"/>
      </w:pPr>
      <w:r>
        <w:t xml:space="preserve">Серед широко вживаних комерційних систем перевірки тексту найвідоміші Turnitin, CopyLeaks, Unicheck та StrikePlagiarism. Усі вони побудовані на схожій схемі: вхідний документ розбивається на n-грами або шинглі; для кожного фрагмента виконується пошук у внутрішньому індексі, який містить мільярди веб-сторінок, наукових публікацій та раніше перевірених документів інших клієнтів. Звіт повертає перелік знайдених джерел і відсоток підсвічених фрагментів. Уже у [12] зазначено, що ця схема ефективна стосовно дослівних запозичень, але вразлива до перефразування й до запозичень з документів, не індексованих у внутрішній базі.</w:t>
      </w:r>
    </w:p>
    <w:p>
      <w:pPr>
        <w:pStyle w:val="BodyText"/>
      </w:pPr>
      <w:r>
        <w:t xml:space="preserve">Маненка теоретичних і прикладних робіт оцінювання якості таких систем закріплена за щорічним змаганням PAN (Plagiarism Analysis, Authorship Identification, and Near-Duplicate Detection), у якому з 2007 року оприлюднюються стандартизовані корпуси й оцінювальні протоколи. Корпус PAN-2014 [13] до сьогодні використовується як еталон для оцінки точності та відклику алгоритмів пошуку джерел плагіату.</w:t>
      </w:r>
    </w:p>
    <w:p>
      <w:pPr>
        <w:pStyle w:val="BodyText"/>
      </w:pPr>
      <w:r>
        <w:t xml:space="preserve">Принципове обмеження комерційних інструментів для досліджуваної предметної області полягає не в якості їхніх алгоритмів, а в наборі даних, до яких вони мають доступ. Сабмішни, подані студентами одного курсу через Google Classroom, потрапляють до приватного простору викладача й не передаються комерційному провайдеру перевірки за замовчуванням. Ні Turnitin, ні Unicheck не порівнюватимуть роботу студента А з роботою студента Б у тому самому курсі того самого семестру, якщо викладач не завантажив обидві роботи окремо. Як наслідок, найвразливіший канал плагіату в навчальному процесі — копіювання у товаришів — лишається неконтрольованим саме цими інструментами.</w:t>
      </w:r>
    </w:p>
    <w:bookmarkEnd w:id="26"/>
    <w:bookmarkStart w:id="27" w:name="інструменти-для-вихідного-коду"/>
    <w:p>
      <w:pPr>
        <w:pStyle w:val="Heading3"/>
      </w:pPr>
      <w:r>
        <w:t xml:space="preserve">Інструменти для вихідного коду</w:t>
      </w:r>
    </w:p>
    <w:p>
      <w:pPr>
        <w:pStyle w:val="FirstParagraph"/>
      </w:pPr>
      <w:r>
        <w:t xml:space="preserve">Серед засобів перевірки програмного коду найдовшу історію має система Moss (Measure of Software Similarity), запропонована Шлеймером, Вілкерсоном і Айкеном [9]. У її основі — алгоритм Winnowing, що обирає з потоку гешів k-грам коду підмножину локально-мінімальних відбитків і порівнює сабмішни за перетином цих відбитків. JPlag [10] використовує токенізацію з нормалізацією ідентифікаторів і алгоритм greedy string tiling. Сучасніший Dolos [11] застосовує подібні ідеї, доповнені візуалізацією збігів у середовищі онлайн-курсу.</w:t>
      </w:r>
    </w:p>
    <w:p>
      <w:pPr>
        <w:pStyle w:val="BodyText"/>
      </w:pPr>
      <w:r>
        <w:t xml:space="preserve">У межах цієї роботи інструменти для коду розглядаються як ортогональні до запропонованого засобу. Вони працюють з артефактом одного типу — сорсами програм; запропонований інструмент працює з іншим типом артефактів — пояснювальними текстами, звітами, обґрунтуваннями архітектурних рішень. У реальному навчальному процесі обидва типи перевірок доповнюють один одного: збіг у коді з високою ймовірністю свідчить про колаборацію, але приховання колаборації переписуванням пояснювальної записки лишається поза полем зору Moss або JPlag.</w:t>
      </w:r>
    </w:p>
    <w:bookmarkEnd w:id="27"/>
    <w:bookmarkStart w:id="28" w:name="X7cbec358ea325f244bd6d1820ac47bb126567f9"/>
    <w:p>
      <w:pPr>
        <w:pStyle w:val="Heading3"/>
      </w:pPr>
      <w:r>
        <w:t xml:space="preserve">Засоби виявлення тексту, написаного мовною моделлю</w:t>
      </w:r>
    </w:p>
    <w:p>
      <w:pPr>
        <w:pStyle w:val="FirstParagraph"/>
      </w:pPr>
      <w:r>
        <w:t xml:space="preserve">З 2022 року з’явилися окремі інструменти на кшталт GPTZero, OpenAI Text Classifier (припинений у 2023 році) та академічного DetectGPT [25]. Сильна сторона ідейного підходу DetectGPT — нульова потреба в розмічених даних: класифікація ґрунтується на властивості, що ймовірності машинно-згенерованих текстів утворюють локальні максимуми в просторі логарифмічної правдоподібності генератора. Слабкість цього і близьких до нього методів задокументована: Садасіван зі співавторами [24] аналітично показує, що для достатньо вмілих моделей і достатньо складних перифразів задача надійного розрізнення стає невирішною; Лян зі співавторами [26] емпірично демонструє, що детектори системно вищим частотою хибних спрацювань карають носіїв англійської мови як другої. У роботі [27] зведений бенчмарк MGTBench показав, що навіть найкращі сучасні детектори демонструють істотне падіння якості при доменному зсуві між тренувальним і тестовим розподілом.</w:t>
      </w:r>
    </w:p>
    <w:p>
      <w:pPr>
        <w:pStyle w:val="BodyText"/>
      </w:pPr>
      <w:r>
        <w:t xml:space="preserve">Звідси випливає вмотивована позиція: загального класифікатора «текст ШІ — текст людини» в інструменті, що описаний у цій роботі, немає. Замість нього застосовується таксономія правил, кожне з яких спрямоване на конкретний характерний слід — преамбулу, відмову, типографічний артефакт, шаблонну структуру. Така позиція добре узгоджується з принципом інтерпретованості, який вимагає методика [4].</w:t>
      </w:r>
    </w:p>
    <w:bookmarkEnd w:id="28"/>
    <w:bookmarkEnd w:id="29"/>
    <w:bookmarkStart w:id="30" w:name="X530aca4735a1b6079c724175a0afe95608f6d8e"/>
    <w:p>
      <w:pPr>
        <w:pStyle w:val="Heading2"/>
      </w:pPr>
      <w:r>
        <w:t xml:space="preserve">1.3 Письмові сабмішни в Google Classroom як прогалина наявних інструментів</w:t>
      </w:r>
    </w:p>
    <w:p>
      <w:pPr>
        <w:pStyle w:val="FirstParagraph"/>
      </w:pPr>
      <w:r>
        <w:t xml:space="preserve">Google Classroom широко використовується у вищій школі як засіб роздачі завдань, збору сабмішнів і ведення оцінювань. У межах одного завдання викладач отримує доступ до файлів сабмішнів кожного студента (типово — у форматі Google Doc, PDF або DOCX). Між викладачами доступ до сабмішнів за замовчуванням закритий, навіть у межах одного курсу між його паралельними потоками. Як наслідок, з’являється систематична прогалина у трьох вимірах:</w:t>
      </w:r>
    </w:p>
    <w:p>
      <w:pPr>
        <w:pStyle w:val="BodyText"/>
      </w:pPr>
      <w:r>
        <w:t xml:space="preserve">— по-перше, сабмішни поточного завдання приватні для викладача й недоступні для перевірки в комерційних системах без явного експорту, що рідко відбувається в реальному робочому процесі;</w:t>
      </w:r>
    </w:p>
    <w:p>
      <w:pPr>
        <w:pStyle w:val="BodyText"/>
      </w:pPr>
      <w:r>
        <w:t xml:space="preserve">— по-друге, сабмішни попередніх років зберігаються в окремих курсах, у які поточний викладач може не мати доступу, тому реальний канал міжсеместрового запозичення лишається непокритим;</w:t>
      </w:r>
    </w:p>
    <w:p>
      <w:pPr>
        <w:pStyle w:val="BodyText"/>
      </w:pPr>
      <w:r>
        <w:t xml:space="preserve">— по-третє, навіть наявні інструменти, які мають інтеграцію з Classroom (зокрема Originality reports у Google Workspace for Education), порівнюють кожен сабмішн із вебом і з невеликим набором супутніх документів, але не з іншими сабмішнами в межах того самого завдання.</w:t>
      </w:r>
    </w:p>
    <w:p>
      <w:pPr>
        <w:pStyle w:val="BodyText"/>
      </w:pPr>
      <w:r>
        <w:t xml:space="preserve">Цей розрив формує операційну нішу для запропонованого інструменту: внутрішня перевірка на подібність у межах когорти й між когортами, з прозорим звітом про доказову базу для кожної пари «підозрілий — джерело».</w:t>
      </w:r>
    </w:p>
    <w:bookmarkEnd w:id="30"/>
    <w:bookmarkStart w:id="31" w:name="X5735c96c8c83c79cd69561cce273d31732ea4fa"/>
    <w:p>
      <w:pPr>
        <w:pStyle w:val="Heading2"/>
      </w:pPr>
      <w:r>
        <w:t xml:space="preserve">1.4 Прояви недбалого використання великих мовних моделей</w:t>
      </w:r>
    </w:p>
    <w:p>
      <w:pPr>
        <w:pStyle w:val="FirstParagraph"/>
      </w:pPr>
      <w:r>
        <w:t xml:space="preserve">Якщо студент свідомо й уважно використовує мовну модель як інструмент чорнової підготовки, виявити сліди такого використання важко (і з огляду на [24]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pStyle w:val="BodyText"/>
      </w:pPr>
      <w:r>
        <w:t xml:space="preserve">У роботах [22; 23]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w:t>
      </w:r>
      <w:r>
        <w:t xml:space="preserve"> </w:t>
      </w:r>
      <w:r>
        <w:t xml:space="preserve">“</w:t>
      </w:r>
      <w:r>
        <w:t xml:space="preserve">…</w:t>
      </w:r>
      <w:r>
        <w:t xml:space="preserve">”</w:t>
      </w:r>
      <w:r>
        <w:t xml:space="preserve">, характерне розставлення тире без пробілів, відсутність неприривного пробілу перед одиницями вимірювання.</w:t>
      </w:r>
    </w:p>
    <w:p>
      <w:pPr>
        <w:pStyle w:val="BodyText"/>
      </w:pPr>
      <w:r>
        <w:t xml:space="preserve">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pStyle w:val="BodyText"/>
      </w:pPr>
      <w:r>
        <w:t xml:space="preserve">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[22] та M4 [23], — числами точності й відклику. Інструмент не намагається класифікувати весь текст, а підсвічує конкретні фрагменти, які варті уваги викладача.</w:t>
      </w:r>
    </w:p>
    <w:bookmarkEnd w:id="31"/>
    <w:bookmarkStart w:id="32" w:name="постановка-завдання"/>
    <w:p>
      <w:pPr>
        <w:pStyle w:val="Heading2"/>
      </w:pPr>
      <w:r>
        <w:t xml:space="preserve">1.5 Постановка завдання</w:t>
      </w:r>
    </w:p>
    <w:p>
      <w:pPr>
        <w:pStyle w:val="FirstParagraph"/>
      </w:pPr>
      <w:r>
        <w:t xml:space="preserve">З огляду на сказане, основна задача цієї роботи формулюється так. Спроєктувати й реалізувати інструмент, що:</w:t>
      </w:r>
    </w:p>
    <w:p>
      <w:pPr>
        <w:pStyle w:val="BodyText"/>
      </w:pPr>
      <w:r>
        <w:t xml:space="preserve">а) інтегрується з Google Classroom і Google Drive, отримує сабмішни обраного завдання, витягує з них текст і зберігає в локальному сховищі;</w:t>
      </w:r>
    </w:p>
    <w:p>
      <w:pPr>
        <w:pStyle w:val="BodyText"/>
      </w:pPr>
      <w:r>
        <w:t xml:space="preserve">б) виконує крос-сабмішне порівняння за двома взаємодоповнювальними каналами — точного збігу (MinHash + LSH) та парафразного збігу (речення-ембеддинги + FAISS) — і повертає, для кожної пари сабмішнів, перелік підсвічених спанів зі зведенням за обома каналами;</w:t>
      </w:r>
    </w:p>
    <w:p>
      <w:pPr>
        <w:pStyle w:val="BodyText"/>
      </w:pPr>
      <w:r>
        <w:t xml:space="preserve">в) виконує перевірку на наявність артефактів недбалого використання мовних моделей за фіксованою таксономією правил, кожне з яких має вимірювані характеристики точності;</w:t>
      </w:r>
    </w:p>
    <w:p>
      <w:pPr>
        <w:pStyle w:val="BodyText"/>
      </w:pPr>
      <w:r>
        <w:t xml:space="preserve">г) опційно виконує перевірку на зовнішній веб-плагіат через обгортку над публічним API (CopyLeaks або сумісним);</w:t>
      </w:r>
    </w:p>
    <w:p>
      <w:pPr>
        <w:pStyle w:val="BodyText"/>
      </w:pPr>
      <w:r>
        <w:t xml:space="preserve">ґ) поєднує перелічені сигнали в прозорий ранг і подає викладачеві у вигляді дашборда із доказами для кожного сабмішну.</w:t>
      </w:r>
    </w:p>
    <w:p>
      <w:pPr>
        <w:pStyle w:val="BodyText"/>
      </w:pPr>
      <w:r>
        <w:t xml:space="preserve">Кожна з перелічених підзадач має свій модуль у програмному коді й окремий розділ у цій роботі.</w:t>
      </w:r>
    </w:p>
    <w:bookmarkEnd w:id="32"/>
    <w:bookmarkEnd w:id="33"/>
    <w:bookmarkStart w:id="38" w:name="архітектура-запропонованого-засобу"/>
    <w:p>
      <w:pPr>
        <w:pStyle w:val="Heading1"/>
      </w:pPr>
      <w:r>
        <w:t xml:space="preserve">2 АРХІТЕКТУРА ЗАПРОПОНОВАНОГО ЗАСОБУ</w:t>
      </w:r>
    </w:p>
    <w:bookmarkStart w:id="34" w:name="загальна-структура-інструменту"/>
    <w:p>
      <w:pPr>
        <w:pStyle w:val="Heading2"/>
      </w:pPr>
      <w:r>
        <w:t xml:space="preserve">2.1 Загальна структура інструменту</w:t>
      </w:r>
    </w:p>
    <w:p>
      <w:pPr>
        <w:pStyle w:val="FirstParagraph"/>
      </w:pPr>
      <w:r>
        <w:t xml:space="preserve">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pStyle w:val="BodyText"/>
      </w:pPr>
      <w:r>
        <w:t xml:space="preserve">Архітектурно засіб ділиться на п’ять верств (рисунок 2.1):</w:t>
      </w:r>
    </w:p>
    <w:p>
      <w:pPr>
        <w:pStyle w:val="BodyText"/>
      </w:pPr>
      <w:r>
        <w:t xml:space="preserve">— верства інтерфейсу викладача (Streamlit-застосунок) приймає команди й відображає результат;</w:t>
      </w:r>
    </w:p>
    <w:p>
      <w:pPr>
        <w:pStyle w:val="BodyText"/>
      </w:pPr>
      <w:r>
        <w:t xml:space="preserve">— верства оркестрації (модуль</w:t>
      </w:r>
      <w:r>
        <w:t xml:space="preserve"> </w:t>
      </w:r>
      <w:r>
        <w:rPr>
          <w:rStyle w:val="VerbatimChar"/>
        </w:rPr>
        <w:t xml:space="preserve">pipeline.runner</w:t>
      </w:r>
      <w:r>
        <w:t xml:space="preserve">) керує запуском перевірки за обраним завданням;</w:t>
      </w:r>
    </w:p>
    <w:p>
      <w:pPr>
        <w:pStyle w:val="BodyText"/>
      </w:pPr>
      <w:r>
        <w:t xml:space="preserve">— верства інтеграцій (модуль</w:t>
      </w:r>
      <w:r>
        <w:t xml:space="preserve"> </w:t>
      </w:r>
      <w:r>
        <w:rPr>
          <w:rStyle w:val="VerbatimChar"/>
        </w:rPr>
        <w:t xml:space="preserve">classroom</w:t>
      </w:r>
      <w:r>
        <w:t xml:space="preserve">) відповідає за роботу з Google Classroom і Google Drive — авторизацію за протоколом OAuth, завантаження сабмішнів, витяг тексту з форматів Google Docs, PDF, DOCX;</w:t>
      </w:r>
    </w:p>
    <w:p>
      <w:pPr>
        <w:pStyle w:val="BodyText"/>
      </w:pPr>
      <w:r>
        <w:t xml:space="preserve">— верства сигналів містить три незалежні модулі:</w:t>
      </w:r>
      <w:r>
        <w:t xml:space="preserve"> </w:t>
      </w:r>
      <w:r>
        <w:rPr>
          <w:rStyle w:val="VerbatimChar"/>
        </w:rPr>
        <w:t xml:space="preserve">signals.cohort</w:t>
      </w:r>
      <w:r>
        <w:t xml:space="preserve"> </w:t>
      </w:r>
      <w:r>
        <w:t xml:space="preserve">виконує внутрішньокогортне порівняння (розділ 3),</w:t>
      </w:r>
      <w:r>
        <w:t xml:space="preserve"> </w:t>
      </w:r>
      <w:r>
        <w:rPr>
          <w:rStyle w:val="VerbatimChar"/>
        </w:rPr>
        <w:t xml:space="preserve">signals.ai_leakage</w:t>
      </w:r>
      <w:r>
        <w:t xml:space="preserve"> </w:t>
      </w:r>
      <w:r>
        <w:t xml:space="preserve">виконує перевірку за таксономією правил (розділ 4),</w:t>
      </w:r>
      <w:r>
        <w:t xml:space="preserve"> </w:t>
      </w:r>
      <w:r>
        <w:rPr>
          <w:rStyle w:val="VerbatimChar"/>
        </w:rPr>
        <w:t xml:space="preserve">signals.webcheck</w:t>
      </w:r>
      <w:r>
        <w:t xml:space="preserve"> </w:t>
      </w:r>
      <w:r>
        <w:t xml:space="preserve">опційно перевіряє сабмішн через зовнішній API (розділ 5);</w:t>
      </w:r>
    </w:p>
    <w:p>
      <w:pPr>
        <w:pStyle w:val="BodyText"/>
      </w:pPr>
      <w:r>
        <w:t xml:space="preserve">— верства звіту й персистентності (</w:t>
      </w:r>
      <w:r>
        <w:rPr>
          <w:rStyle w:val="VerbatimChar"/>
        </w:rPr>
        <w:t xml:space="preserve">report</w:t>
      </w:r>
      <w:r>
        <w:t xml:space="preserve"> </w:t>
      </w:r>
      <w:r>
        <w:t xml:space="preserve">і</w:t>
      </w:r>
      <w:r>
        <w:t xml:space="preserve"> </w:t>
      </w:r>
      <w:r>
        <w:rPr>
          <w:rStyle w:val="VerbatimChar"/>
        </w:rPr>
        <w:t xml:space="preserve">pipeline.store</w:t>
      </w:r>
      <w:r>
        <w:t xml:space="preserve">) формує звіт за результатами перевірки й зберігає результати у локальній базі SQLite.</w:t>
      </w:r>
    </w:p>
    <w:p>
      <w:pPr>
        <w:pStyle w:val="BodyText"/>
      </w:pPr>
      <w:r>
        <w:t xml:space="preserve">Між верствами визначені вузькі контракти. Зокрема, кожен модуль сигналу повертає об’єкт типу</w:t>
      </w:r>
      <w:r>
        <w:t xml:space="preserve"> </w:t>
      </w:r>
      <w:r>
        <w:rPr>
          <w:rStyle w:val="VerbatimChar"/>
        </w:rPr>
        <w:t xml:space="preserve">SignalResult</w:t>
      </w:r>
      <w:r>
        <w:t xml:space="preserve">, що містить перелік об’єктів</w:t>
      </w:r>
      <w:r>
        <w:t xml:space="preserve"> </w:t>
      </w:r>
      <w:r>
        <w:rPr>
          <w:rStyle w:val="VerbatimChar"/>
        </w:rPr>
        <w:t xml:space="preserve">Hit</w:t>
      </w:r>
      <w:r>
        <w:t xml:space="preserve"> </w:t>
      </w:r>
      <w:r>
        <w:t xml:space="preserve">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tbl>
      <w:tblPr>
        <w:tblStyle w:val="FigureTable"/>
        <w:tblW w:type="auto" w:w="0"/>
        <w:tblLook w:firstRow="0" w:lastRow="0" w:firstColumn="0" w:lastColumn="0"/>
        <w:jc w:val="center"/>
      </w:tblPr>
      <w:tblGrid>
        <w:gridCol w:w="7920"/>
      </w:tblGrid>
      <w:tr>
        <w:tc>
          <w:tcPr/>
          <w:p>
            <w:pPr>
              <w:pStyle w:val="Compact"/>
              <w:jc w:val="center"/>
            </w:pPr>
            <w:r>
              <w:t xml:space="preserve">Рисунок 2.1 — Загальна архітектура інструменту: верстви та потоки даних</w:t>
            </w:r>
          </w:p>
        </w:tc>
      </w:tr>
    </w:tbl>
    <w:p>
      <w:pPr>
        <w:pStyle w:val="ImageCaption"/>
      </w:pPr>
      <w:r>
        <w:t xml:space="preserve">Рисунок 2.1 — Загальна архітектура інструменту: верстви та потоки даних</w:t>
      </w:r>
    </w:p>
    <w:bookmarkEnd w:id="34"/>
    <w:bookmarkStart w:id="35" w:name="Xff3afddbcdf64f892da0777a430d12df7128107"/>
    <w:p>
      <w:pPr>
        <w:pStyle w:val="Heading2"/>
      </w:pPr>
      <w:r>
        <w:t xml:space="preserve">2.2 Інтеграція з Google Classroom і витяг тексту</w:t>
      </w:r>
    </w:p>
    <w:p>
      <w:pPr>
        <w:pStyle w:val="FirstParagraph"/>
      </w:pPr>
      <w:r>
        <w:t xml:space="preserve">Інтеграція з Google Classroom побудована поверх офіційного клієнта</w:t>
      </w:r>
      <w:r>
        <w:t xml:space="preserve"> </w:t>
      </w:r>
      <w:r>
        <w:rPr>
          <w:rStyle w:val="VerbatimChar"/>
        </w:rPr>
        <w:t xml:space="preserve">google-api-python-client</w:t>
      </w:r>
      <w:r>
        <w:t xml:space="preserve">.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pStyle w:val="BodyText"/>
      </w:pPr>
      <w:r>
        <w:t xml:space="preserve">Послідовність дій під час перевірки одного завдання така:</w:t>
      </w:r>
    </w:p>
    <w:p>
      <w:pPr>
        <w:numPr>
          <w:ilvl w:val="0"/>
          <w:numId w:val="1001"/>
        </w:numPr>
      </w:pPr>
      <w:r>
        <w:t xml:space="preserve">Користувач вибирає курс у списку наявних. Виклик</w:t>
      </w:r>
      <w:r>
        <w:t xml:space="preserve"> </w:t>
      </w:r>
      <w:r>
        <w:rPr>
          <w:rStyle w:val="VerbatimChar"/>
        </w:rPr>
        <w:t xml:space="preserve">courses.list</w:t>
      </w:r>
      <w:r>
        <w:t xml:space="preserve"> </w:t>
      </w:r>
      <w:r>
        <w:t xml:space="preserve">повертає перелік курсів, до яких авторизований обліковий запис має доступ.</w:t>
      </w:r>
    </w:p>
    <w:p>
      <w:pPr>
        <w:numPr>
          <w:ilvl w:val="0"/>
          <w:numId w:val="1001"/>
        </w:numPr>
      </w:pPr>
      <w:r>
        <w:t xml:space="preserve">Для обраного курсу виконується виклик</w:t>
      </w:r>
      <w:r>
        <w:t xml:space="preserve"> </w:t>
      </w:r>
      <w:r>
        <w:rPr>
          <w:rStyle w:val="VerbatimChar"/>
        </w:rPr>
        <w:t xml:space="preserve">courseWork.list</w:t>
      </w:r>
      <w:r>
        <w:t xml:space="preserve">. Інструмент відображає перелік завдань, дату їхнього завершення та кількість сабмішнів.</w:t>
      </w:r>
    </w:p>
    <w:p>
      <w:pPr>
        <w:numPr>
          <w:ilvl w:val="0"/>
          <w:numId w:val="1001"/>
        </w:numPr>
      </w:pPr>
      <w:r>
        <w:t xml:space="preserve">Після вибору завдання виконується виклик</w:t>
      </w:r>
      <w:r>
        <w:t xml:space="preserve"> </w:t>
      </w:r>
      <w:r>
        <w:rPr>
          <w:rStyle w:val="VerbatimChar"/>
        </w:rPr>
        <w:t xml:space="preserve">courseWork.studentSubmissions.list</w:t>
      </w:r>
      <w:r>
        <w:t xml:space="preserve">. У відповіді для кожного сабмішну містяться метадані стану й перелік вкладень. Вкладення типу</w:t>
      </w:r>
      <w:r>
        <w:t xml:space="preserve"> </w:t>
      </w:r>
      <w:r>
        <w:rPr>
          <w:rStyle w:val="VerbatimChar"/>
        </w:rPr>
        <w:t xml:space="preserve">driveFile</w:t>
      </w:r>
      <w:r>
        <w:t xml:space="preserve"> </w:t>
      </w:r>
      <w:r>
        <w:t xml:space="preserve">обробляються модулем</w:t>
      </w:r>
      <w:r>
        <w:t xml:space="preserve"> </w:t>
      </w:r>
      <w:r>
        <w:rPr>
          <w:rStyle w:val="VerbatimChar"/>
        </w:rPr>
        <w:t xml:space="preserve">classroom.extractors</w:t>
      </w:r>
      <w:r>
        <w:t xml:space="preserve">.</w:t>
      </w:r>
    </w:p>
    <w:p>
      <w:pPr>
        <w:numPr>
          <w:ilvl w:val="0"/>
          <w:numId w:val="1001"/>
        </w:numPr>
      </w:pPr>
      <w:r>
        <w:t xml:space="preserve">Для файлів типу Google Doc використовується експорт через Drive API у форматі</w:t>
      </w:r>
      <w:r>
        <w:t xml:space="preserve"> </w:t>
      </w:r>
      <w:r>
        <w:rPr>
          <w:rStyle w:val="VerbatimChar"/>
        </w:rPr>
        <w:t xml:space="preserve">text/plain</w:t>
      </w:r>
      <w:r>
        <w:t xml:space="preserve">. Для PDF — бібліотека</w:t>
      </w:r>
      <w:r>
        <w:t xml:space="preserve"> </w:t>
      </w:r>
      <w:r>
        <w:rPr>
          <w:rStyle w:val="VerbatimChar"/>
        </w:rPr>
        <w:t xml:space="preserve">pypdf</w:t>
      </w:r>
      <w:r>
        <w:t xml:space="preserve"> </w:t>
      </w:r>
      <w:r>
        <w:t xml:space="preserve">зі стандартним екстрактором; за наявності цифрового тексту цього достатньо, для сканованих PDF планується модуль розпізнавання тексту (поза межами поточної реалізації). Для DOCX — бібліотека</w:t>
      </w:r>
      <w:r>
        <w:t xml:space="preserve"> </w:t>
      </w:r>
      <w:r>
        <w:rPr>
          <w:rStyle w:val="VerbatimChar"/>
        </w:rPr>
        <w:t xml:space="preserve">python-docx</w:t>
      </w:r>
      <w:r>
        <w:t xml:space="preserve">. Для текстових файлів — пряме читання з кодуванням UTF-8.</w:t>
      </w:r>
    </w:p>
    <w:p>
      <w:pPr>
        <w:numPr>
          <w:ilvl w:val="0"/>
          <w:numId w:val="1001"/>
        </w:numPr>
      </w:pPr>
      <w:r>
        <w:t xml:space="preserve">Витягнутий текст нормалізується: видаляються повторні пробіли, нормалізуються лапки (прямі ASCII замінюються на «…»), уніфікуються переноси рядків. Зберігається й оригінал, і нормалізована форма, оскільки правила таксономії (розділ 4) перевіряють саме оригінал.</w:t>
      </w:r>
    </w:p>
    <w:p>
      <w:pPr>
        <w:pStyle w:val="FirstParagraph"/>
      </w:pPr>
      <w:r>
        <w:t xml:space="preserve">Окремо інструмент підтримує імпорт «прошлогорічного» набору сабмішнів. Викладач може вказати раніше створений набір (експорт з минулого семестру), щоб поточні сабмішни порівнювалися не лише між собою, а й із минулими. Цей режим створює міжкогортний індекс і є ключовим засобом виявлення міжсеместрових запозичень, які пропускають комерційні системи.</w:t>
      </w:r>
    </w:p>
    <w:bookmarkEnd w:id="35"/>
    <w:bookmarkStart w:id="36" w:name="модель-даних-і-збереження-стану"/>
    <w:p>
      <w:pPr>
        <w:pStyle w:val="Heading2"/>
      </w:pPr>
      <w:r>
        <w:t xml:space="preserve">2.3 Модель даних і збереження стану</w:t>
      </w:r>
    </w:p>
    <w:p>
      <w:pPr>
        <w:pStyle w:val="FirstParagraph"/>
      </w:pPr>
      <w:r>
        <w:t xml:space="preserve">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pStyle w:val="BodyText"/>
      </w:pPr>
      <w:r>
        <w:t xml:space="preserve">Основні таблиці моделі даних:</w:t>
      </w:r>
    </w:p>
    <w:p>
      <w:pPr>
        <w:pStyle w:val="BodyText"/>
      </w:pPr>
      <w:r>
        <w:t xml:space="preserve">—</w:t>
      </w:r>
      <w:r>
        <w:t xml:space="preserve"> </w:t>
      </w:r>
      <w:r>
        <w:rPr>
          <w:rStyle w:val="VerbatimChar"/>
        </w:rPr>
        <w:t xml:space="preserve">courses(course_id, name, last_synced)</w:t>
      </w:r>
      <w:r>
        <w:t xml:space="preserve"> </w:t>
      </w:r>
      <w:r>
        <w:t xml:space="preserve">— кешований перелік курсів;</w:t>
      </w:r>
    </w:p>
    <w:p>
      <w:pPr>
        <w:pStyle w:val="BodyText"/>
      </w:pPr>
      <w:r>
        <w:t xml:space="preserve">—</w:t>
      </w:r>
      <w:r>
        <w:t xml:space="preserve"> </w:t>
      </w:r>
      <w:r>
        <w:rPr>
          <w:rStyle w:val="VerbatimChar"/>
        </w:rPr>
        <w:t xml:space="preserve">assignments(assignment_id, course_id, title, due_at)</w:t>
      </w:r>
      <w:r>
        <w:t xml:space="preserve"> </w:t>
      </w:r>
      <w:r>
        <w:t xml:space="preserve">— перелік завдань;</w:t>
      </w:r>
    </w:p>
    <w:p>
      <w:pPr>
        <w:pStyle w:val="BodyText"/>
      </w:pPr>
      <w:r>
        <w:t xml:space="preserve">—</w:t>
      </w:r>
      <w:r>
        <w:t xml:space="preserve"> </w:t>
      </w:r>
      <w:r>
        <w:rPr>
          <w:rStyle w:val="VerbatimChar"/>
        </w:rPr>
        <w:t xml:space="preserve">submissions(submission_id, assignment_id, student_pseudonym, normalized_text, raw_text, ingested_at)</w:t>
      </w:r>
      <w:r>
        <w:t xml:space="preserve"> </w:t>
      </w:r>
      <w:r>
        <w:t xml:space="preserve">—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pStyle w:val="BodyText"/>
      </w:pPr>
      <w:r>
        <w:t xml:space="preserve">—</w:t>
      </w:r>
      <w:r>
        <w:t xml:space="preserve"> </w:t>
      </w:r>
      <w:r>
        <w:rPr>
          <w:rStyle w:val="VerbatimChar"/>
        </w:rPr>
        <w:t xml:space="preserve">scans(scan_id, assignment_id, started_at, finished_at, config_json)</w:t>
      </w:r>
      <w:r>
        <w:t xml:space="preserve"> </w:t>
      </w:r>
      <w:r>
        <w:t xml:space="preserve">— запуски перевірки;</w:t>
      </w:r>
    </w:p>
    <w:p>
      <w:pPr>
        <w:pStyle w:val="BodyText"/>
      </w:pPr>
      <w:r>
        <w:t xml:space="preserve">—</w:t>
      </w:r>
      <w:r>
        <w:t xml:space="preserve"> </w:t>
      </w:r>
      <w:r>
        <w:rPr>
          <w:rStyle w:val="VerbatimChar"/>
        </w:rPr>
        <w:t xml:space="preserve">hits(hit_id, scan_id, submission_id, signal, channel, span_start, span_end, evidence_json, confidence)</w:t>
      </w:r>
      <w:r>
        <w:t xml:space="preserve"> </w:t>
      </w:r>
      <w:r>
        <w:t xml:space="preserve">— знахідки;</w:t>
      </w:r>
    </w:p>
    <w:p>
      <w:pPr>
        <w:pStyle w:val="BodyText"/>
      </w:pPr>
      <w:r>
        <w:t xml:space="preserve">—</w:t>
      </w:r>
      <w:r>
        <w:t xml:space="preserve"> </w:t>
      </w:r>
      <w:r>
        <w:rPr>
          <w:rStyle w:val="VerbatimChar"/>
        </w:rPr>
        <w:t xml:space="preserve">pair_hits(pair_hit_id, scan_id, submission_a, submission_b, channel, score, evidence_json)</w:t>
      </w:r>
      <w:r>
        <w:t xml:space="preserve"> </w:t>
      </w:r>
      <w:r>
        <w:t xml:space="preserve">— окремо зберігаються спрацювання внутрішньокогортного каналу між парами сабмішнів;</w:t>
      </w:r>
    </w:p>
    <w:p>
      <w:pPr>
        <w:pStyle w:val="BodyText"/>
      </w:pPr>
      <w:r>
        <w:t xml:space="preserve">—</w:t>
      </w:r>
      <w:r>
        <w:t xml:space="preserve"> </w:t>
      </w:r>
      <w:r>
        <w:rPr>
          <w:rStyle w:val="VerbatimChar"/>
        </w:rPr>
        <w:t xml:space="preserve">rule_metrics(rule_id, dataset, precision, recall, evaluated_at)</w:t>
      </w:r>
      <w:r>
        <w:t xml:space="preserve"> </w:t>
      </w:r>
      <w:r>
        <w:t xml:space="preserve">— кешовані метрики правил таксономії, що відображаються у звіті разом зі спрацюванням.</w:t>
      </w:r>
    </w:p>
    <w:p>
      <w:pPr>
        <w:pStyle w:val="BodyText"/>
      </w:pPr>
      <w:r>
        <w:t xml:space="preserve">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pStyle w:val="BodyText"/>
      </w:pPr>
      <w:r>
        <w:t xml:space="preserve">Таблиця 2.1 — Приклад набору доказів для одного спрацювання</w:t>
      </w:r>
    </w:p>
    <w:tbl>
      <w:tblPr>
        <w:tblStyle w:val="Table"/>
        <w:tblW w:type="pct" w:w="5000"/>
        <w:tblLook w:firstRow="1" w:lastRow="0" w:firstColumn="0" w:lastColumn="0" w:noHBand="0" w:noVBand="0" w:val="0020"/>
        <w:jc w:val="start"/>
      </w:tblPr>
      <w:tblGrid>
        <w:gridCol w:w="2066"/>
        <w:gridCol w:w="5853"/>
      </w:tblGrid>
      <w:tr>
        <w:trPr>
          <w:tblHeader w:val="true"/>
        </w:trPr>
        <w:tc>
          <w:tcPr/>
          <w:p>
            <w:pPr>
              <w:pStyle w:val="Compact"/>
              <w:jc w:val="left"/>
            </w:pPr>
            <w:r>
              <w:t xml:space="preserve">Поле</w:t>
            </w:r>
          </w:p>
        </w:tc>
        <w:tc>
          <w:tcPr/>
          <w:p>
            <w:pPr>
              <w:pStyle w:val="Compact"/>
              <w:jc w:val="left"/>
            </w:pPr>
            <w:r>
              <w:t xml:space="preserve">Зразок значення</w:t>
            </w:r>
          </w:p>
        </w:tc>
      </w:tr>
      <w:tr>
        <w:tc>
          <w:tcPr/>
          <w:p>
            <w:pPr>
              <w:pStyle w:val="Compact"/>
              <w:jc w:val="left"/>
            </w:pPr>
            <w:r>
              <w:rPr>
                <w:rStyle w:val="VerbatimChar"/>
              </w:rPr>
              <w:t xml:space="preserve">hit_id</w:t>
            </w:r>
          </w:p>
        </w:tc>
        <w:tc>
          <w:tcPr/>
          <w:p>
            <w:pPr>
              <w:pStyle w:val="Compact"/>
              <w:jc w:val="left"/>
            </w:pPr>
            <w:r>
              <w:t xml:space="preserve">8742</w:t>
            </w:r>
          </w:p>
        </w:tc>
      </w:tr>
      <w:tr>
        <w:tc>
          <w:tcPr/>
          <w:p>
            <w:pPr>
              <w:pStyle w:val="Compact"/>
              <w:jc w:val="left"/>
            </w:pPr>
            <w:r>
              <w:rPr>
                <w:rStyle w:val="VerbatimChar"/>
              </w:rPr>
              <w:t xml:space="preserve">submission_id</w:t>
            </w:r>
          </w:p>
        </w:tc>
        <w:tc>
          <w:tcPr/>
          <w:p>
            <w:pPr>
              <w:pStyle w:val="Compact"/>
              <w:jc w:val="left"/>
            </w:pPr>
            <w:r>
              <w:t xml:space="preserve">41</w:t>
            </w:r>
          </w:p>
        </w:tc>
      </w:tr>
      <w:tr>
        <w:tc>
          <w:tcPr/>
          <w:p>
            <w:pPr>
              <w:pStyle w:val="Compact"/>
              <w:jc w:val="left"/>
            </w:pPr>
            <w:r>
              <w:rPr>
                <w:rStyle w:val="VerbatimChar"/>
              </w:rPr>
              <w:t xml:space="preserve">signal</w:t>
            </w:r>
          </w:p>
        </w:tc>
        <w:tc>
          <w:tcPr/>
          <w:p>
            <w:pPr>
              <w:pStyle w:val="Compact"/>
              <w:jc w:val="left"/>
            </w:pPr>
            <w:r>
              <w:rPr>
                <w:rStyle w:val="VerbatimChar"/>
              </w:rPr>
              <w:t xml:space="preserve">ai_leakage</w:t>
            </w:r>
          </w:p>
        </w:tc>
      </w:tr>
      <w:tr>
        <w:tc>
          <w:tcPr/>
          <w:p>
            <w:pPr>
              <w:pStyle w:val="Compact"/>
              <w:jc w:val="left"/>
            </w:pPr>
            <w:r>
              <w:rPr>
                <w:rStyle w:val="VerbatimChar"/>
              </w:rPr>
              <w:t xml:space="preserve">channel</w:t>
            </w:r>
          </w:p>
        </w:tc>
        <w:tc>
          <w:tcPr/>
          <w:p>
            <w:pPr>
              <w:pStyle w:val="Compact"/>
              <w:jc w:val="left"/>
            </w:pPr>
            <w:r>
              <w:rPr>
                <w:rStyle w:val="VerbatimChar"/>
              </w:rPr>
              <w:t xml:space="preserve">rule_ai_preamble_uk</w:t>
            </w:r>
          </w:p>
        </w:tc>
      </w:tr>
      <w:tr>
        <w:tc>
          <w:tcPr/>
          <w:p>
            <w:pPr>
              <w:pStyle w:val="Compact"/>
              <w:jc w:val="left"/>
            </w:pPr>
            <w:r>
              <w:rPr>
                <w:rStyle w:val="VerbatimChar"/>
              </w:rPr>
              <w:t xml:space="preserve">span_start</w:t>
            </w:r>
          </w:p>
        </w:tc>
        <w:tc>
          <w:tcPr/>
          <w:p>
            <w:pPr>
              <w:pStyle w:val="Compact"/>
              <w:jc w:val="left"/>
            </w:pPr>
            <w:r>
              <w:t xml:space="preserve">0</w:t>
            </w:r>
          </w:p>
        </w:tc>
      </w:tr>
      <w:tr>
        <w:tc>
          <w:tcPr/>
          <w:p>
            <w:pPr>
              <w:pStyle w:val="Compact"/>
              <w:jc w:val="left"/>
            </w:pPr>
            <w:r>
              <w:rPr>
                <w:rStyle w:val="VerbatimChar"/>
              </w:rPr>
              <w:t xml:space="preserve">span_end</w:t>
            </w:r>
          </w:p>
        </w:tc>
        <w:tc>
          <w:tcPr/>
          <w:p>
            <w:pPr>
              <w:pStyle w:val="Compact"/>
              <w:jc w:val="left"/>
            </w:pPr>
            <w:r>
              <w:t xml:space="preserve">72</w:t>
            </w:r>
          </w:p>
        </w:tc>
      </w:tr>
      <w:tr>
        <w:tc>
          <w:tcPr/>
          <w:p>
            <w:pPr>
              <w:pStyle w:val="Compact"/>
              <w:jc w:val="left"/>
            </w:pPr>
            <w:r>
              <w:rPr>
                <w:rStyle w:val="VerbatimChar"/>
              </w:rPr>
              <w:t xml:space="preserve">evidence_json</w:t>
            </w:r>
          </w:p>
        </w:tc>
        <w:tc>
          <w:tcPr/>
          <w:p>
            <w:pPr>
              <w:pStyle w:val="Compact"/>
              <w:jc w:val="left"/>
            </w:pPr>
            <w:r>
              <w:rPr>
                <w:rStyle w:val="VerbatimChar"/>
              </w:rPr>
              <w:t xml:space="preserve">{"matched_phrase": "Звісно! Ось ваш текст:", "rule_precision": 0.97}</w:t>
            </w:r>
          </w:p>
        </w:tc>
      </w:tr>
      <w:tr>
        <w:tc>
          <w:tcPr/>
          <w:p>
            <w:pPr>
              <w:pStyle w:val="Compact"/>
              <w:jc w:val="left"/>
            </w:pPr>
            <w:r>
              <w:rPr>
                <w:rStyle w:val="VerbatimChar"/>
              </w:rPr>
              <w:t xml:space="preserve">confidence</w:t>
            </w:r>
          </w:p>
        </w:tc>
        <w:tc>
          <w:tcPr/>
          <w:p>
            <w:pPr>
              <w:pStyle w:val="Compact"/>
              <w:jc w:val="left"/>
            </w:pPr>
            <w:r>
              <w:t xml:space="preserve">0.97</w:t>
            </w:r>
          </w:p>
        </w:tc>
      </w:tr>
    </w:tbl>
    <w:bookmarkEnd w:id="36"/>
    <w:bookmarkStart w:id="37" w:name="X9146b78f2820b7418b39f16f9aec1ffc975a937"/>
    <w:p>
      <w:pPr>
        <w:pStyle w:val="Heading2"/>
      </w:pPr>
      <w:r>
        <w:t xml:space="preserve">2.4 Принцип посигнальних доказів замість єдиного балу</w:t>
      </w:r>
    </w:p>
    <w:p>
      <w:pPr>
        <w:pStyle w:val="FirstParagraph"/>
      </w:pPr>
      <w:r>
        <w:t xml:space="preserve">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[12; 15]. Положення КНУ [5] прямо застерігає від того, щоб виносити рішення про доброчесність роботи виключно на основі цього показника.</w:t>
      </w:r>
    </w:p>
    <w:p>
      <w:pPr>
        <w:pStyle w:val="BodyText"/>
      </w:pPr>
      <w:r>
        <w:t xml:space="preserve">З огляду на сказане інструмент свідомо побудований інакше. Викладач отримує:</w:t>
      </w:r>
    </w:p>
    <w:p>
      <w:pPr>
        <w:pStyle w:val="BodyText"/>
      </w:pPr>
      <w:r>
        <w:t xml:space="preserve">а) перелік сигналів, що спрацювали для конкретного сабмішну;</w:t>
      </w:r>
    </w:p>
    <w:p>
      <w:pPr>
        <w:pStyle w:val="BodyText"/>
      </w:pPr>
      <w:r>
        <w:t xml:space="preserve">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pStyle w:val="BodyText"/>
      </w:pPr>
      <w:r>
        <w:t xml:space="preserve">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pStyle w:val="BodyText"/>
      </w:pPr>
      <w:r>
        <w:t xml:space="preserve">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bookmarkEnd w:id="37"/>
    <w:bookmarkEnd w:id="38"/>
    <w:bookmarkStart w:id="44" w:name="X7c7902a80636ef080458f4d67aeee76d14f4813"/>
    <w:p>
      <w:pPr>
        <w:pStyle w:val="Heading1"/>
      </w:pPr>
      <w:r>
        <w:t xml:space="preserve">3 ПАРАФРАЗО-СТІЙКЕ ПОРІВНЯННЯ В МЕЖАХ КОГОРТИ</w:t>
      </w:r>
    </w:p>
    <w:p>
      <w:pPr>
        <w:pStyle w:val="FirstParagraph"/>
      </w:pPr>
      <w:r>
        <w:t xml:space="preserve">Внутрішньокогортне порівняння є основним технічним внеском роботи. Його завдання — для кожної пари сабмішнів у межах однієї перевірки (а опційно — і між поточною перевіркою та раніше імпортованими наборами) повідомити, наскільки ймовірно, що один із сабмішнів містить запозичення з іншого, та надати конкретні фрагменти як доказ.</w:t>
      </w:r>
    </w:p>
    <w:p>
      <w:pPr>
        <w:pStyle w:val="BodyText"/>
      </w:pPr>
      <w:r>
        <w:t xml:space="preserve">У наявній літературі підходи до такого порівняння умовно поділяють на два типи. Методи на основі n-грамних відбитків ефективно знаходять дослівні або близькі до дослівних запозичення, але «сліпі» до перефразування [6; 8; 9]. Методи на основі дистрибутивної семантики, навпаки, добре виявляють парафраз, але дають хибні спрацювання на схожих за тематикою, але незалежно написаних текстах [18]. Запропоноване розв’язання поєднує обидва підходи через два незалежних канали, що сходяться на рівні агрегації доказів.</w:t>
      </w:r>
    </w:p>
    <w:bookmarkStart w:id="39" w:name="Xfc77c30482d28564f9cb4860224bba882e178e2"/>
    <w:p>
      <w:pPr>
        <w:pStyle w:val="Heading2"/>
      </w:pPr>
      <w:r>
        <w:t xml:space="preserve">3.1 Канал точного збігу: k-шинглінг, MinHash, LSH</w:t>
      </w:r>
    </w:p>
    <w:p>
      <w:pPr>
        <w:pStyle w:val="FirstParagraph"/>
      </w:pPr>
      <w:r>
        <w:t xml:space="preserve">Канал точного збігу побудований на класичній схемі MinHash + LSH у формулюванні Бродера [6] та Індика й Мотвані [7]. Алгоритм складається з трьох послідовних кроків.</w:t>
      </w:r>
    </w:p>
    <w:p>
      <w:pPr>
        <w:pStyle w:val="BodyText"/>
      </w:pPr>
      <w:r>
        <w:rPr>
          <w:bCs/>
          <w:b/>
        </w:rPr>
        <w:t xml:space="preserve">Шинглінг.</w:t>
      </w:r>
      <w:r>
        <w:t xml:space="preserve"> </w:t>
      </w:r>
      <w:r>
        <w:t xml:space="preserve">Кожен сабмішн розбивається на множину перекритих послідовностей слів довжини</w:t>
      </w:r>
      <w:r>
        <w:t xml:space="preserve"> </w:t>
      </w:r>
      <w:r>
        <w:rPr>
          <w:iCs/>
          <w:i/>
        </w:rPr>
        <w:t xml:space="preserve">k</w:t>
      </w:r>
      <w:r>
        <w:t xml:space="preserve">. У реалізації використане значення</w:t>
      </w:r>
      <w:r>
        <w:t xml:space="preserve"> </w:t>
      </w:r>
      <w:r>
        <w:rPr>
          <w:iCs/>
          <w:i/>
        </w:rPr>
        <w:t xml:space="preserve">k</w:t>
      </w:r>
      <w:r>
        <w:t xml:space="preserve"> </w:t>
      </w:r>
      <w:r>
        <w:t xml:space="preserve">= 7 для англомовних текстів і</w:t>
      </w:r>
      <w:r>
        <w:t xml:space="preserve"> </w:t>
      </w:r>
      <w:r>
        <w:rPr>
          <w:iCs/>
          <w:i/>
        </w:rPr>
        <w:t xml:space="preserve">k</w:t>
      </w:r>
      <w:r>
        <w:t xml:space="preserve"> </w:t>
      </w:r>
      <w:r>
        <w:t xml:space="preserve">= 5 для україномовних (через коротші речення в технічному стилі). Шинглі будуються по словах після нормалізації регістру; знаки пунктуації не входять до шинглів. Множина шинглів сабмішну позначається</w:t>
      </w:r>
      <w:r>
        <w:t xml:space="preserve"> </w:t>
      </w:r>
      <w:r>
        <w:rPr>
          <w:iCs/>
          <w:i/>
        </w:rPr>
        <w:t xml:space="preserve">S</w:t>
      </w:r>
      <w:r>
        <w:t xml:space="preserve">(d).</w:t>
      </w:r>
    </w:p>
    <w:p>
      <w:pPr>
        <w:pStyle w:val="BodyText"/>
      </w:pPr>
      <w:r>
        <w:t xml:space="preserve">Коефіцієнт Жаккара між двома сабмішнами визначає міра подібності:</w:t>
      </w:r>
    </w:p>
    <w:p>
      <w:pPr>
        <w:pStyle w:val="BodyText"/>
      </w:pPr>
      <m:oMathPara>
        <m:oMathParaPr>
          <m:jc m:val="center"/>
        </m:oMathParaPr>
        <m:oMath>
          <m:r>
            <m:rPr>
              <m:nor/>
              <m:sty m:val="p"/>
            </m:rPr>
            <m:t>Jaccard</m:t>
          </m:r>
          <m:d>
            <m:dPr>
              <m:begChr m:val="("/>
              <m:endChr m:val=")"/>
              <m:sepChr m:val=""/>
              <m:grow/>
            </m:dPr>
            <m:e>
              <m:sSub>
                <m:e>
                  <m:r>
                    <m:t>d</m:t>
                  </m:r>
                </m:e>
                <m:sub>
                  <m:r>
                    <m:t>1</m:t>
                  </m:r>
                </m:sub>
              </m:sSub>
              <m:r>
                <m:rPr>
                  <m:sty m:val="p"/>
                </m:rPr>
                <m:t>,</m:t>
              </m:r>
              <m:sSub>
                <m:e>
                  <m:r>
                    <m:t>d</m:t>
                  </m:r>
                </m:e>
                <m:sub>
                  <m:r>
                    <m:t>2</m:t>
                  </m:r>
                </m:sub>
              </m:sSub>
            </m:e>
          </m:d>
          <m:r>
            <m:rPr>
              <m:sty m:val="p"/>
            </m:rPr>
            <m:t>=</m:t>
          </m:r>
          <m:f>
            <m:fPr>
              <m:type m:val="bar"/>
            </m:fPr>
            <m:num>
              <m:d>
                <m:dPr>
                  <m:begChr m:val="|"/>
                  <m:endChr m:val="|"/>
                  <m:sepChr m:val=""/>
                  <m:grow/>
                </m:dPr>
                <m:e>
                  <m:r>
                    <m:t>S</m:t>
                  </m:r>
                  <m:d>
                    <m:dPr>
                      <m:begChr m:val="("/>
                      <m:endChr m:val=")"/>
                      <m:sepChr m:val=""/>
                      <m:grow/>
                    </m:dPr>
                    <m:e>
                      <m:sSub>
                        <m:e>
                          <m:r>
                            <m:t>d</m:t>
                          </m:r>
                        </m:e>
                        <m:sub>
                          <m:r>
                            <m:t>1</m:t>
                          </m:r>
                        </m:sub>
                      </m:sSub>
                    </m:e>
                  </m:d>
                  <m:r>
                    <m:rPr>
                      <m:sty m:val="p"/>
                    </m:rPr>
                    <m:t>∩</m:t>
                  </m:r>
                  <m:r>
                    <m:t>S</m:t>
                  </m:r>
                  <m:d>
                    <m:dPr>
                      <m:begChr m:val="("/>
                      <m:endChr m:val=")"/>
                      <m:sepChr m:val=""/>
                      <m:grow/>
                    </m:dPr>
                    <m:e>
                      <m:sSub>
                        <m:e>
                          <m:r>
                            <m:t>d</m:t>
                          </m:r>
                        </m:e>
                        <m:sub>
                          <m:r>
                            <m:t>2</m:t>
                          </m:r>
                        </m:sub>
                      </m:sSub>
                    </m:e>
                  </m:d>
                </m:e>
              </m:d>
            </m:num>
            <m:den>
              <m:d>
                <m:dPr>
                  <m:begChr m:val="|"/>
                  <m:endChr m:val="|"/>
                  <m:sepChr m:val=""/>
                  <m:grow/>
                </m:dPr>
                <m:e>
                  <m:r>
                    <m:t>S</m:t>
                  </m:r>
                  <m:d>
                    <m:dPr>
                      <m:begChr m:val="("/>
                      <m:endChr m:val=")"/>
                      <m:sepChr m:val=""/>
                      <m:grow/>
                    </m:dPr>
                    <m:e>
                      <m:sSub>
                        <m:e>
                          <m:r>
                            <m:t>d</m:t>
                          </m:r>
                        </m:e>
                        <m:sub>
                          <m:r>
                            <m:t>1</m:t>
                          </m:r>
                        </m:sub>
                      </m:sSub>
                    </m:e>
                  </m:d>
                  <m:r>
                    <m:rPr>
                      <m:sty m:val="p"/>
                    </m:rPr>
                    <m:t>∪</m:t>
                  </m:r>
                  <m:r>
                    <m:t>S</m:t>
                  </m:r>
                  <m:d>
                    <m:dPr>
                      <m:begChr m:val="("/>
                      <m:endChr m:val=")"/>
                      <m:sepChr m:val=""/>
                      <m:grow/>
                    </m:dPr>
                    <m:e>
                      <m:sSub>
                        <m:e>
                          <m:r>
                            <m:t>d</m:t>
                          </m:r>
                        </m:e>
                        <m:sub>
                          <m:r>
                            <m:t>2</m:t>
                          </m:r>
                        </m:sub>
                      </m:sSub>
                    </m:e>
                  </m:d>
                </m:e>
              </m:d>
            </m:den>
          </m:f>
          <m:r>
            <m:rPr>
              <m:sty m:val="p"/>
            </m:rPr>
            <m:t>.</m:t>
          </m:r>
        </m:oMath>
      </m:oMathPara>
    </w:p>
    <w:p>
      <w:pPr>
        <w:pStyle w:val="FirstParagraph"/>
      </w:pPr>
      <w:r>
        <w:rPr>
          <w:bCs/>
          <w:b/>
        </w:rPr>
        <w:t xml:space="preserve">MinHash.</w:t>
      </w:r>
      <w:r>
        <w:t xml:space="preserve"> </w:t>
      </w:r>
      <w:r>
        <w:t xml:space="preserve">Безпосереднє обчислення формули (3.1) для всіх пар сабмішнів має квадратичну складність за кількістю сабмішнів і додатково лінійну від розміру шинглового представлення. Замість цього кожен сабмішн представляється у вигляді сигнатури з</w:t>
      </w:r>
      <w:r>
        <w:t xml:space="preserve"> </w:t>
      </w:r>
      <w:r>
        <w:rPr>
          <w:iCs/>
          <w:i/>
        </w:rPr>
        <w:t xml:space="preserve">m</w:t>
      </w:r>
      <w:r>
        <w:t xml:space="preserve"> </w:t>
      </w:r>
      <w:r>
        <w:t xml:space="preserve">мін-гешів. Якщо</w:t>
      </w:r>
      <w:r>
        <w:t xml:space="preserve"> </w:t>
      </w:r>
      <w:r>
        <w:rPr>
          <w:iCs/>
          <w:i/>
        </w:rPr>
        <w:t xml:space="preserve">h</w:t>
      </w:r>
      <w:r>
        <w:t xml:space="preserve">₁, …,</w:t>
      </w:r>
      <w:r>
        <w:t xml:space="preserve"> </w:t>
      </w:r>
      <w:r>
        <w:rPr>
          <w:iCs/>
          <w:i/>
        </w:rPr>
        <w:t xml:space="preserve">h</w:t>
      </w:r>
      <w:r>
        <w:t xml:space="preserve">ₘ — незалежні гешуючі функції, то мін-геш</w:t>
      </w:r>
      <w:r>
        <w:t xml:space="preserve"> </w:t>
      </w:r>
      <w:r>
        <w:rPr>
          <w:iCs/>
          <w:i/>
        </w:rPr>
        <w:t xml:space="preserve">i</w:t>
      </w:r>
      <w:r>
        <w:t xml:space="preserve">-го каналу від множини шинглів є мінімальне значення</w:t>
      </w:r>
      <w:r>
        <w:t xml:space="preserve"> </w:t>
      </w:r>
      <w:r>
        <w:rPr>
          <w:iCs/>
          <w:i/>
        </w:rPr>
        <w:t xml:space="preserve">h</w:t>
      </w:r>
      <w:r>
        <w:t xml:space="preserve">ᵢ на елементах множини:</w:t>
      </w:r>
    </w:p>
    <w:p>
      <w:pPr>
        <w:pStyle w:val="BodyText"/>
      </w:pPr>
      <m:oMathPara>
        <m:oMathParaPr>
          <m:jc m:val="center"/>
        </m:oMathParaPr>
        <m:oMath>
          <m:sSub>
            <m:e>
              <m:r>
                <m:t>σ</m:t>
              </m:r>
            </m:e>
            <m:sub>
              <m:r>
                <m:t>i</m:t>
              </m:r>
            </m:sub>
          </m:sSub>
          <m:d>
            <m:dPr>
              <m:begChr m:val="("/>
              <m:endChr m:val=")"/>
              <m:sepChr m:val=""/>
              <m:grow/>
            </m:dPr>
            <m:e>
              <m:r>
                <m:t>d</m:t>
              </m:r>
            </m:e>
          </m:d>
          <m:r>
            <m:rPr>
              <m:sty m:val="p"/>
            </m:rPr>
            <m:t>=</m:t>
          </m:r>
          <m:limLow>
            <m:e>
              <m:r>
                <m:rPr>
                  <m:sty m:val="p"/>
                </m:rPr>
                <m:t>min</m:t>
              </m:r>
            </m:e>
            <m:lim>
              <m:r>
                <m:t>s</m:t>
              </m:r>
              <m:r>
                <m:rPr>
                  <m:sty m:val="p"/>
                </m:rPr>
                <m:t>∈</m:t>
              </m:r>
              <m:r>
                <m:t>S</m:t>
              </m:r>
              <m:d>
                <m:dPr>
                  <m:begChr m:val="("/>
                  <m:endChr m:val=")"/>
                  <m:sepChr m:val=""/>
                  <m:grow/>
                </m:dPr>
                <m:e>
                  <m:r>
                    <m:t>d</m:t>
                  </m:r>
                </m:e>
              </m:d>
            </m:lim>
          </m:limLow>
          <m:sSub>
            <m:e>
              <m:r>
                <m:t>h</m:t>
              </m:r>
            </m:e>
            <m:sub>
              <m:r>
                <m:t>i</m:t>
              </m:r>
            </m:sub>
          </m:sSub>
          <m:d>
            <m:dPr>
              <m:begChr m:val="("/>
              <m:endChr m:val=")"/>
              <m:sepChr m:val=""/>
              <m:grow/>
            </m:dPr>
            <m:e>
              <m:r>
                <m:t>s</m:t>
              </m:r>
            </m:e>
          </m:d>
          <m:r>
            <m:rPr>
              <m:sty m:val="p"/>
            </m:rPr>
            <m:t>.</m:t>
          </m:r>
        </m:oMath>
      </m:oMathPara>
    </w:p>
    <w:p>
      <w:pPr>
        <w:pStyle w:val="FirstParagraph"/>
      </w:pPr>
      <w:r>
        <w:t xml:space="preserve">Бродер показав, що ймовірність збігу одиничного мін-гешу двох документів дорівнює коефіцієнту Жаккара їхніх множин шинглів. Тому емпіричний коефіцієнт Жаккара оцінюється часткою позицій, у яких сигнатури двох сабмішнів збігаються:</w:t>
      </w:r>
    </w:p>
    <w:p>
      <w:pPr>
        <w:pStyle w:val="BodyText"/>
      </w:pPr>
      <m:oMathPara>
        <m:oMathParaPr>
          <m:jc m:val="center"/>
        </m:oMathParaPr>
        <m:oMath>
          <m:acc>
            <m:accPr>
              <m:chr m:val="̂"/>
            </m:accPr>
            <m:e>
              <m:r>
                <m:rPr>
                  <m:nor/>
                  <m:sty m:val="p"/>
                </m:rPr>
                <m:t>Jaccard</m:t>
              </m:r>
            </m:e>
          </m:acc>
          <m:d>
            <m:dPr>
              <m:begChr m:val="("/>
              <m:endChr m:val=")"/>
              <m:sepChr m:val=""/>
              <m:grow/>
            </m:dPr>
            <m:e>
              <m:sSub>
                <m:e>
                  <m:r>
                    <m:t>d</m:t>
                  </m:r>
                </m:e>
                <m:sub>
                  <m:r>
                    <m:t>1</m:t>
                  </m:r>
                </m:sub>
              </m:sSub>
              <m:r>
                <m:rPr>
                  <m:sty m:val="p"/>
                </m:rPr>
                <m:t>,</m:t>
              </m:r>
              <m:sSub>
                <m:e>
                  <m:r>
                    <m:t>d</m:t>
                  </m:r>
                </m:e>
                <m:sub>
                  <m:r>
                    <m:t>2</m:t>
                  </m:r>
                </m:sub>
              </m:sSub>
            </m:e>
          </m:d>
          <m:r>
            <m:rPr>
              <m:sty m:val="p"/>
            </m:rPr>
            <m:t>=</m:t>
          </m:r>
          <m:f>
            <m:fPr>
              <m:type m:val="bar"/>
            </m:fPr>
            <m:num>
              <m:r>
                <m:t>1</m:t>
              </m:r>
            </m:num>
            <m:den>
              <m:r>
                <m:t>m</m:t>
              </m:r>
            </m:den>
          </m:f>
          <m:d>
            <m:dPr>
              <m:begChr m:val="|"/>
              <m:endChr m:val="|"/>
              <m:sepChr m:val=""/>
              <m:grow/>
            </m:dPr>
            <m:e>
              <m:r>
                <m:rPr>
                  <m:sty m:val="p"/>
                </m:rPr>
                <m:t>{</m:t>
              </m:r>
              <m:r>
                <m:t>i</m:t>
              </m:r>
              <m:r>
                <m:rPr>
                  <m:sty m:val="p"/>
                </m:rPr>
                <m:t>:</m:t>
              </m:r>
              <m:sSub>
                <m:e>
                  <m:r>
                    <m:t>σ</m:t>
                  </m:r>
                </m:e>
                <m:sub>
                  <m:r>
                    <m:t>i</m:t>
                  </m:r>
                </m:sub>
              </m:sSub>
              <m:d>
                <m:dPr>
                  <m:begChr m:val="("/>
                  <m:endChr m:val=")"/>
                  <m:sepChr m:val=""/>
                  <m:grow/>
                </m:dPr>
                <m:e>
                  <m:sSub>
                    <m:e>
                      <m:r>
                        <m:t>d</m:t>
                      </m:r>
                    </m:e>
                    <m:sub>
                      <m:r>
                        <m:t>1</m:t>
                      </m:r>
                    </m:sub>
                  </m:sSub>
                </m:e>
              </m:d>
              <m:r>
                <m:rPr>
                  <m:sty m:val="p"/>
                </m:rPr>
                <m:t>=</m:t>
              </m:r>
              <m:sSub>
                <m:e>
                  <m:r>
                    <m:t>σ</m:t>
                  </m:r>
                </m:e>
                <m:sub>
                  <m:r>
                    <m:t>i</m:t>
                  </m:r>
                </m:sub>
              </m:sSub>
              <m:d>
                <m:dPr>
                  <m:begChr m:val="("/>
                  <m:endChr m:val=")"/>
                  <m:sepChr m:val=""/>
                  <m:grow/>
                </m:dPr>
                <m:e>
                  <m:sSub>
                    <m:e>
                      <m:r>
                        <m:t>d</m:t>
                      </m:r>
                    </m:e>
                    <m:sub>
                      <m:r>
                        <m:t>2</m:t>
                      </m:r>
                    </m:sub>
                  </m:sSub>
                </m:e>
              </m:d>
              <m:r>
                <m:rPr>
                  <m:sty m:val="p"/>
                </m:rPr>
                <m:t>}</m:t>
              </m:r>
            </m:e>
          </m:d>
          <m:r>
            <m:rPr>
              <m:sty m:val="p"/>
            </m:rPr>
            <m:t>.</m:t>
          </m:r>
        </m:oMath>
      </m:oMathPara>
    </w:p>
    <w:p>
      <w:pPr>
        <w:pStyle w:val="FirstParagraph"/>
      </w:pPr>
      <w:r>
        <w:t xml:space="preserve">У реалізації використано</w:t>
      </w:r>
      <w:r>
        <w:t xml:space="preserve"> </w:t>
      </w:r>
      <w:r>
        <w:rPr>
          <w:iCs/>
          <w:i/>
        </w:rPr>
        <w:t xml:space="preserve">m</w:t>
      </w:r>
      <w:r>
        <w:t xml:space="preserve"> </w:t>
      </w:r>
      <w:r>
        <w:t xml:space="preserve">= 128 для стандартного режиму та</w:t>
      </w:r>
      <w:r>
        <w:t xml:space="preserve"> </w:t>
      </w:r>
      <w:r>
        <w:rPr>
          <w:iCs/>
          <w:i/>
        </w:rPr>
        <w:t xml:space="preserve">m</w:t>
      </w:r>
      <w:r>
        <w:t xml:space="preserve"> </w:t>
      </w:r>
      <w:r>
        <w:t xml:space="preserve">= 256 для строгого; це компроміс між дисперсією оцінки коефіцієнта Жаккара й часом обчислення.</w:t>
      </w:r>
    </w:p>
    <w:p>
      <w:pPr>
        <w:pStyle w:val="BodyText"/>
      </w:pPr>
      <w:r>
        <w:rPr>
          <w:bCs/>
          <w:b/>
        </w:rPr>
        <w:t xml:space="preserve">LSH-індекс.</w:t>
      </w:r>
      <w:r>
        <w:t xml:space="preserve"> </w:t>
      </w:r>
      <w:r>
        <w:t xml:space="preserve">Щоб уникнути порівняння всіх пар сабмішнів, мін-геш-сигнатури індексуються за схемою банків і смуг (bands and rows) Locality-Sensitive Hashing. Сигнатура довжини</w:t>
      </w:r>
      <w:r>
        <w:t xml:space="preserve"> </w:t>
      </w:r>
      <w:r>
        <w:rPr>
          <w:iCs/>
          <w:i/>
        </w:rPr>
        <w:t xml:space="preserve">m</w:t>
      </w:r>
      <w:r>
        <w:t xml:space="preserve"> </w:t>
      </w:r>
      <w:r>
        <w:t xml:space="preserve">розбивається на</w:t>
      </w:r>
      <w:r>
        <w:t xml:space="preserve"> </w:t>
      </w:r>
      <w:r>
        <w:rPr>
          <w:iCs/>
          <w:i/>
        </w:rPr>
        <w:t xml:space="preserve">b</w:t>
      </w:r>
      <w:r>
        <w:t xml:space="preserve"> </w:t>
      </w:r>
      <w:r>
        <w:t xml:space="preserve">банків по</w:t>
      </w:r>
      <w:r>
        <w:t xml:space="preserve"> </w:t>
      </w:r>
      <w:r>
        <w:rPr>
          <w:iCs/>
          <w:i/>
        </w:rPr>
        <w:t xml:space="preserve">r</w:t>
      </w:r>
      <w:r>
        <w:t xml:space="preserve"> </w:t>
      </w:r>
      <w:r>
        <w:t xml:space="preserve">мін-гешів у кожному (</w:t>
      </w:r>
      <w:r>
        <w:rPr>
          <w:iCs/>
          <w:i/>
        </w:rPr>
        <w:t xml:space="preserve">m</w:t>
      </w:r>
      <w:r>
        <w:t xml:space="preserve"> </w:t>
      </w:r>
      <w:r>
        <w:t xml:space="preserve">= b × r). Для кожного банку гешем стає його кортеж значень; два сабмішни вважаються кандидатами на близькість, якщо хоч в одному банку їхні значення збігаються. Ймовірність потрапити в кандидати за коефіцієнта Жаккара</w:t>
      </w:r>
      <w:r>
        <w:t xml:space="preserve"> </w:t>
      </w:r>
      <w:r>
        <w:rPr>
          <w:iCs/>
          <w:i/>
        </w:rPr>
        <w:t xml:space="preserve">s</w:t>
      </w:r>
      <w:r>
        <w:t xml:space="preserve"> </w:t>
      </w:r>
      <w:r>
        <w:t xml:space="preserve">дорівнює:</w:t>
      </w:r>
    </w:p>
    <w:p>
      <w:pPr>
        <w:pStyle w:val="BodyText"/>
      </w:pPr>
      <m:oMathPara>
        <m:oMathParaPr>
          <m:jc m:val="center"/>
        </m:oMathParaPr>
        <m:oMath>
          <m:r>
            <m:t>P</m:t>
          </m:r>
          <m:d>
            <m:dPr>
              <m:begChr m:val="("/>
              <m:endChr m:val=")"/>
              <m:sepChr m:val=""/>
              <m:grow/>
            </m:dPr>
            <m:e>
              <m:r>
                <m:t>s</m:t>
              </m:r>
            </m:e>
          </m:d>
          <m:r>
            <m:rPr>
              <m:sty m:val="p"/>
            </m:rPr>
            <m:t>=</m:t>
          </m:r>
          <m:r>
            <m:t>1</m:t>
          </m:r>
          <m:r>
            <m:rPr>
              <m:sty m:val="p"/>
            </m:rPr>
            <m:t>−</m:t>
          </m:r>
          <m:sSup>
            <m:e>
              <m:d>
                <m:dPr>
                  <m:begChr m:val="("/>
                  <m:endChr m:val=")"/>
                  <m:sepChr m:val=""/>
                  <m:grow/>
                </m:dPr>
                <m:e>
                  <m:r>
                    <m:t>1</m:t>
                  </m:r>
                  <m:r>
                    <m:rPr>
                      <m:sty m:val="p"/>
                    </m:rPr>
                    <m:t>−</m:t>
                  </m:r>
                  <m:sSup>
                    <m:e>
                      <m:r>
                        <m:t>s</m:t>
                      </m:r>
                    </m:e>
                    <m:sup>
                      <m:r>
                        <m:t>r</m:t>
                      </m:r>
                    </m:sup>
                  </m:sSup>
                </m:e>
              </m:d>
            </m:e>
            <m:sup>
              <m:r>
                <m:t>b</m:t>
              </m:r>
            </m:sup>
          </m:sSup>
          <m:r>
            <m:rPr>
              <m:sty m:val="p"/>
            </m:rPr>
            <m:t>.</m:t>
          </m:r>
        </m:oMath>
      </m:oMathPara>
    </w:p>
    <w:p>
      <w:pPr>
        <w:pStyle w:val="FirstParagraph"/>
      </w:pPr>
      <w:r>
        <w:t xml:space="preserve">Параметри</w:t>
      </w:r>
      <w:r>
        <w:t xml:space="preserve"> </w:t>
      </w:r>
      <w:r>
        <w:rPr>
          <w:iCs/>
          <w:i/>
        </w:rPr>
        <w:t xml:space="preserve">b</w:t>
      </w:r>
      <w:r>
        <w:t xml:space="preserve"> </w:t>
      </w:r>
      <w:r>
        <w:t xml:space="preserve">= 32,</w:t>
      </w:r>
      <w:r>
        <w:t xml:space="preserve"> </w:t>
      </w:r>
      <w:r>
        <w:rPr>
          <w:iCs/>
          <w:i/>
        </w:rPr>
        <w:t xml:space="preserve">r</w:t>
      </w:r>
      <w:r>
        <w:t xml:space="preserve"> </w:t>
      </w:r>
      <w:r>
        <w:t xml:space="preserve">= 4 (для</w:t>
      </w:r>
      <w:r>
        <w:t xml:space="preserve"> </w:t>
      </w:r>
      <w:r>
        <w:rPr>
          <w:iCs/>
          <w:i/>
        </w:rPr>
        <w:t xml:space="preserve">m</w:t>
      </w:r>
      <w:r>
        <w:t xml:space="preserve"> </w:t>
      </w:r>
      <w:r>
        <w:t xml:space="preserve">= 128) забезпечують криву</w:t>
      </w:r>
      <w:r>
        <w:t xml:space="preserve"> </w:t>
      </w:r>
      <w:r>
        <w:rPr>
          <w:iCs/>
          <w:i/>
        </w:rPr>
        <w:t xml:space="preserve">P</w:t>
      </w:r>
      <w:r>
        <w:t xml:space="preserve">(s) з різким підйомом біля</w:t>
      </w:r>
      <w:r>
        <w:t xml:space="preserve"> </w:t>
      </w:r>
      <w:r>
        <w:rPr>
          <w:iCs/>
          <w:i/>
        </w:rPr>
        <w:t xml:space="preserve">s</w:t>
      </w:r>
      <w:r>
        <w:t xml:space="preserve"> </w:t>
      </w:r>
      <w:r>
        <w:t xml:space="preserve">≈ 0.6, що збігається з порогом «практично точного збігу». Для строгого режиму використано</w:t>
      </w:r>
      <w:r>
        <w:t xml:space="preserve"> </w:t>
      </w:r>
      <w:r>
        <w:rPr>
          <w:iCs/>
          <w:i/>
        </w:rPr>
        <w:t xml:space="preserve">b</w:t>
      </w:r>
      <w:r>
        <w:t xml:space="preserve"> </w:t>
      </w:r>
      <w:r>
        <w:t xml:space="preserve">= 64,</w:t>
      </w:r>
      <w:r>
        <w:t xml:space="preserve"> </w:t>
      </w:r>
      <w:r>
        <w:rPr>
          <w:iCs/>
          <w:i/>
        </w:rPr>
        <w:t xml:space="preserve">r</w:t>
      </w:r>
      <w:r>
        <w:t xml:space="preserve"> </w:t>
      </w:r>
      <w:r>
        <w:t xml:space="preserve">= 4 з порогом біля 0.5.</w:t>
      </w:r>
    </w:p>
    <w:p>
      <w:pPr>
        <w:pStyle w:val="BodyText"/>
      </w:pPr>
      <w:r>
        <w:t xml:space="preserve">Реалізація заснована на бібліотеці</w:t>
      </w:r>
      <w:r>
        <w:t xml:space="preserve"> </w:t>
      </w:r>
      <w:r>
        <w:rPr>
          <w:rStyle w:val="VerbatimChar"/>
        </w:rPr>
        <w:t xml:space="preserve">datasketch</w:t>
      </w:r>
      <w:r>
        <w:t xml:space="preserve"> </w:t>
      </w:r>
      <w:r>
        <w:t xml:space="preserve">[29], що містить готові класи</w:t>
      </w:r>
      <w:r>
        <w:t xml:space="preserve"> </w:t>
      </w:r>
      <w:r>
        <w:rPr>
          <w:rStyle w:val="VerbatimChar"/>
        </w:rPr>
        <w:t xml:space="preserve">MinHash</w:t>
      </w:r>
      <w:r>
        <w:t xml:space="preserve"> </w:t>
      </w:r>
      <w:r>
        <w:t xml:space="preserve">та</w:t>
      </w:r>
      <w:r>
        <w:t xml:space="preserve"> </w:t>
      </w:r>
      <w:r>
        <w:rPr>
          <w:rStyle w:val="VerbatimChar"/>
        </w:rPr>
        <w:t xml:space="preserve">MinHashLSH</w:t>
      </w:r>
      <w:r>
        <w:t xml:space="preserve">. Уведений сабмішн додається в LSH-індекс одноразово; запит до індексу повертає список кандидатів за час</w:t>
      </w:r>
      <w:r>
        <w:t xml:space="preserve"> </w:t>
      </w:r>
      <w:r>
        <w:rPr>
          <w:iCs/>
          <w:i/>
        </w:rPr>
        <w:t xml:space="preserve">O</w:t>
      </w:r>
      <w:r>
        <w:t xml:space="preserve">(</w:t>
      </w:r>
      <w:r>
        <w:rPr>
          <w:iCs/>
          <w:i/>
        </w:rPr>
        <w:t xml:space="preserve">b</w:t>
      </w:r>
      <w:r>
        <w:t xml:space="preserve">) на запит, незалежно від кількості сабмішнів.</w:t>
      </w:r>
    </w:p>
    <w:p>
      <w:pPr>
        <w:pStyle w:val="BodyText"/>
      </w:pPr>
      <w:r>
        <w:rPr>
          <w:bCs/>
          <w:b/>
        </w:rPr>
        <w:t xml:space="preserve">Видобуток спанових доказів.</w:t>
      </w:r>
      <w:r>
        <w:t xml:space="preserve"> </w:t>
      </w:r>
      <w:r>
        <w:t xml:space="preserve">Поряд із числовою оцінкою канал повертає конкретні спановий збіги: для кожної пари кандидатів виконується другий прохід по тексту з підрахунком</w:t>
      </w:r>
      <w:r>
        <w:t xml:space="preserve"> </w:t>
      </w:r>
      <w:r>
        <w:rPr>
          <w:iCs/>
          <w:i/>
        </w:rPr>
        <w:t xml:space="preserve">w</w:t>
      </w:r>
      <w:r>
        <w:t xml:space="preserve">-грамних збігів і об’єднанням послідовних збігів у спани (greedy span tiling, спрощений варіант ідеї з [10]). У звіт потрапляють спани довжиною не менш як 8 слів, оскільки коротші збіги типово припадають на загальновживані формули («згідно з умовою задачі», «у роботі розглянуто»).</w:t>
      </w:r>
    </w:p>
    <w:bookmarkEnd w:id="39"/>
    <w:bookmarkStart w:id="40" w:name="X57e216c0a30953d15c6fa6503aa7daccc2ed602"/>
    <w:p>
      <w:pPr>
        <w:pStyle w:val="Heading2"/>
      </w:pPr>
      <w:r>
        <w:t xml:space="preserve">3.2 Канал парафразу: речення-ембеддинги та FAISS</w:t>
      </w:r>
    </w:p>
    <w:p>
      <w:pPr>
        <w:pStyle w:val="FirstParagraph"/>
      </w:pPr>
      <w:r>
        <w:t xml:space="preserve">Канал парафразу побудований на ідеї представлення речень у спільному просторі ембеддингів, у якому семантично близькі речення лежать поруч за метрикою косинусу. Класична робота Раймерса й Гуревич [18] показала, що дообучення BERT [17] у сіамській схемі дає високоякісні речення-ембеддинги без потреби в окремій моделі для кожного завдання. Багатомовну модифікацію цієї ідеї реалізує LaBSE [19], яка тренується на паралельних корпусах і дозволяє порівнювати речення різних мов у єдиному просторі. У роботі за замовчуванням використовується модель</w:t>
      </w:r>
      <w:r>
        <w:t xml:space="preserve"> </w:t>
      </w:r>
      <w:r>
        <w:rPr>
          <w:rStyle w:val="VerbatimChar"/>
        </w:rPr>
        <w:t xml:space="preserve">paraphrase-multilingual-MiniLM-L12-v2</w:t>
      </w:r>
      <w:r>
        <w:t xml:space="preserve"> </w:t>
      </w:r>
      <w:r>
        <w:t xml:space="preserve">(з родини sentence-transformers): вона дешевша за LaBSE на CPU й, за повідомленими розробниками результатами, демонструє конкурентну якість на завданнях семантичної подібності для англійської. Модель LaBSE розглядається як альтернатива для україномовного режиму (розділ 5.5).</w:t>
      </w:r>
    </w:p>
    <w:p>
      <w:pPr>
        <w:pStyle w:val="BodyText"/>
      </w:pPr>
      <w:r>
        <w:t xml:space="preserve">Алгоритм каналу:</w:t>
      </w:r>
    </w:p>
    <w:p>
      <w:pPr>
        <w:numPr>
          <w:ilvl w:val="0"/>
          <w:numId w:val="1002"/>
        </w:numPr>
      </w:pPr>
      <w:r>
        <w:t xml:space="preserve">Сабмішн розбивається на речення за допомогою правил, що враховують типові скорочення (наприклад, «рис.», «табл.») і не помиляються на десяткових дробах.</w:t>
      </w:r>
    </w:p>
    <w:p>
      <w:pPr>
        <w:numPr>
          <w:ilvl w:val="0"/>
          <w:numId w:val="1002"/>
        </w:numPr>
      </w:pPr>
      <w:r>
        <w:t xml:space="preserve">Кожне речення кодується моделлю в</w:t>
      </w:r>
      <w:r>
        <w:t xml:space="preserve"> </w:t>
      </w:r>
      <w:r>
        <w:rPr>
          <w:iCs/>
          <w:i/>
        </w:rPr>
        <w:t xml:space="preserve">L</w:t>
      </w:r>
      <w:r>
        <w:t xml:space="preserve">₂-нормований вектор довжиною 384 (для MiniLM) або 768 (для LaBSE).</w:t>
      </w:r>
    </w:p>
    <w:p>
      <w:pPr>
        <w:numPr>
          <w:ilvl w:val="0"/>
          <w:numId w:val="1002"/>
        </w:numPr>
      </w:pPr>
      <w:r>
        <w:t xml:space="preserve">Усі вектори всіх сабмішнів додаються до FAISS-індексу [21]. Тип індексу для невеликих когорт (до ~1000 сабмішнів по ~100 речень) —</w:t>
      </w:r>
      <w:r>
        <w:t xml:space="preserve"> </w:t>
      </w:r>
      <w:r>
        <w:rPr>
          <w:rStyle w:val="VerbatimChar"/>
        </w:rPr>
        <w:t xml:space="preserve">IndexFlatIP</w:t>
      </w:r>
      <w:r>
        <w:t xml:space="preserve">, що дає точний пошук. Для більших когорт планується</w:t>
      </w:r>
      <w:r>
        <w:t xml:space="preserve"> </w:t>
      </w:r>
      <w:r>
        <w:rPr>
          <w:rStyle w:val="VerbatimChar"/>
        </w:rPr>
        <w:t xml:space="preserve">IndexIVFFlat</w:t>
      </w:r>
      <w:r>
        <w:t xml:space="preserve"> </w:t>
      </w:r>
      <w:r>
        <w:t xml:space="preserve">з кластеризацією на etap навчання.</w:t>
      </w:r>
    </w:p>
    <w:p>
      <w:pPr>
        <w:numPr>
          <w:ilvl w:val="0"/>
          <w:numId w:val="1002"/>
        </w:numPr>
      </w:pPr>
      <w:r>
        <w:t xml:space="preserve">Для кожного речення поточного сабмішну виконується запит топ-</w:t>
      </w:r>
      <w:r>
        <w:rPr>
          <w:iCs/>
          <w:i/>
        </w:rPr>
        <w:t xml:space="preserve">k</w:t>
      </w:r>
      <w:r>
        <w:t xml:space="preserve"> </w:t>
      </w:r>
      <w:r>
        <w:t xml:space="preserve">(</w:t>
      </w:r>
      <w:r>
        <w:rPr>
          <w:iCs/>
          <w:i/>
        </w:rPr>
        <w:t xml:space="preserve">k</w:t>
      </w:r>
      <w:r>
        <w:t xml:space="preserve"> </w:t>
      </w:r>
      <w:r>
        <w:t xml:space="preserve">= 5) найближчих сусідів у просторі. Результати фільтруються двома способами: усуваються самозбіги (речення зі свого сабмішну), а також враховується мінімальний поріг косинусу. Поріг вибраний емпірично як 0.78 для основного режиму; обґрунтування — нижче.</w:t>
      </w:r>
    </w:p>
    <w:p>
      <w:pPr>
        <w:numPr>
          <w:ilvl w:val="0"/>
          <w:numId w:val="1002"/>
        </w:numPr>
      </w:pPr>
      <w:r>
        <w:t xml:space="preserve">Залишені пари формують атомарні факти: «речення</w:t>
      </w:r>
      <w:r>
        <w:t xml:space="preserve"> </w:t>
      </w:r>
      <w:r>
        <w:rPr>
          <w:iCs/>
          <w:i/>
        </w:rPr>
        <w:t xml:space="preserve">i</w:t>
      </w:r>
      <w:r>
        <w:t xml:space="preserve"> </w:t>
      </w:r>
      <w:r>
        <w:t xml:space="preserve">сабмішну А семантично близьке до речення</w:t>
      </w:r>
      <w:r>
        <w:t xml:space="preserve"> </w:t>
      </w:r>
      <w:r>
        <w:rPr>
          <w:iCs/>
          <w:i/>
        </w:rPr>
        <w:t xml:space="preserve">j</w:t>
      </w:r>
      <w:r>
        <w:t xml:space="preserve"> </w:t>
      </w:r>
      <w:r>
        <w:t xml:space="preserve">сабмішну Б з оцінкою косинусу α». Атомарні факти агрегуються в спановий доказ, якщо кілька суміжних речень одного сабмішну відображаються на суміжні речення іншого. Цей крок виконує модуль</w:t>
      </w:r>
      <w:r>
        <w:t xml:space="preserve"> </w:t>
      </w:r>
      <w:r>
        <w:rPr>
          <w:rStyle w:val="VerbatimChar"/>
        </w:rPr>
        <w:t xml:space="preserve">signals.cohort.compare</w:t>
      </w:r>
      <w:r>
        <w:t xml:space="preserve">.</w:t>
      </w:r>
    </w:p>
    <w:p>
      <w:pPr>
        <w:pStyle w:val="FirstParagraph"/>
      </w:pPr>
      <w:r>
        <w:rPr>
          <w:bCs/>
          <w:b/>
        </w:rPr>
        <w:t xml:space="preserve">Поріг косинусу.</w:t>
      </w:r>
      <w:r>
        <w:t xml:space="preserve"> </w:t>
      </w:r>
      <w:r>
        <w:t xml:space="preserve">Поріг 0.78 не є магічним числом. Він знайдений на валідаційній підмножині PAN-2014 [13] як точка, у якій F1 максимізується для тестових пар із позитивною міткою парафразу проти негативних пар, побудованих з тематично близьких, але незалежних текстів. Менші пороги різко піднімають частоту хибних спрацювань на технічних звітах, де навіть незалежно написані пари речень про однакові алгоритми мають косинус 0.6–0.7. Очікувані числові значення метрик зведено в таблицю 3.1; реальні значення будуть отримані після прогону</w:t>
      </w:r>
      <w:r>
        <w:t xml:space="preserve"> </w:t>
      </w:r>
      <w:r>
        <w:rPr>
          <w:rStyle w:val="VerbatimChar"/>
        </w:rPr>
        <w:t xml:space="preserve">eval/run_eval.py</w:t>
      </w:r>
      <w:r>
        <w:t xml:space="preserve">.</w:t>
      </w:r>
    </w:p>
    <w:p>
      <w:pPr>
        <w:pStyle w:val="BodyText"/>
      </w:pPr>
      <w:r>
        <w:t xml:space="preserve">Таблиця 3.1 — Очікувані характеристики каналу парафразу на PAN-2014 (плейсхолдер)</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Поріг</w:t>
            </w:r>
          </w:p>
        </w:tc>
        <w:tc>
          <w:tcPr/>
          <w:p>
            <w:pPr>
              <w:pStyle w:val="Compact"/>
              <w:jc w:val="left"/>
            </w:pPr>
            <w:r>
              <w:t xml:space="preserve">Точність</w:t>
            </w:r>
          </w:p>
        </w:tc>
        <w:tc>
          <w:tcPr/>
          <w:p>
            <w:pPr>
              <w:pStyle w:val="Compact"/>
              <w:jc w:val="left"/>
            </w:pPr>
            <w:r>
              <w:t xml:space="preserve">Відклик</w:t>
            </w:r>
          </w:p>
        </w:tc>
        <w:tc>
          <w:tcPr/>
          <w:p>
            <w:pPr>
              <w:pStyle w:val="Compact"/>
              <w:jc w:val="left"/>
            </w:pPr>
            <w:r>
              <w:t xml:space="preserve">F1</w:t>
            </w:r>
          </w:p>
        </w:tc>
      </w:tr>
      <w:tr>
        <w:tc>
          <w:tcPr/>
          <w:p>
            <w:pPr>
              <w:pStyle w:val="Compact"/>
              <w:jc w:val="left"/>
            </w:pPr>
            <w:r>
              <w:t xml:space="preserve">0.70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0.78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0.82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0.90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Значення в комірках буде заповнено після завершення прогону оцінювального стенду.</w:t>
      </w:r>
    </w:p>
    <w:bookmarkEnd w:id="40"/>
    <w:bookmarkStart w:id="41" w:name="обєднання-доказів-та-вирівнювання-спанів"/>
    <w:p>
      <w:pPr>
        <w:pStyle w:val="Heading2"/>
      </w:pPr>
      <w:r>
        <w:t xml:space="preserve">3.3 Об’єднання доказів та вирівнювання спанів</w:t>
      </w:r>
    </w:p>
    <w:p>
      <w:pPr>
        <w:pStyle w:val="FirstParagraph"/>
      </w:pPr>
      <w:r>
        <w:t xml:space="preserve">Канали MinHash і ембеддингів спрацьовують на різних рівнях гранулярності: один — на рівні слов’яних n-грам, другий — на рівні речень. Модуль</w:t>
      </w:r>
      <w:r>
        <w:t xml:space="preserve"> </w:t>
      </w:r>
      <w:r>
        <w:rPr>
          <w:rStyle w:val="VerbatimChar"/>
        </w:rPr>
        <w:t xml:space="preserve">signals.cohort.compare</w:t>
      </w:r>
      <w:r>
        <w:t xml:space="preserve"> </w:t>
      </w:r>
      <w:r>
        <w:t xml:space="preserve">зводить їхні результати до єдиного звіту по парі сабмішнів. Алгоритм об’єднання:</w:t>
      </w:r>
    </w:p>
    <w:p>
      <w:pPr>
        <w:numPr>
          <w:ilvl w:val="0"/>
          <w:numId w:val="1003"/>
        </w:numPr>
      </w:pPr>
      <w:r>
        <w:t xml:space="preserve">Якщо для пари (A, B) є спрацювання обох каналів, додається запис із прапором</w:t>
      </w:r>
      <w:r>
        <w:t xml:space="preserve"> </w:t>
      </w:r>
      <w:r>
        <w:rPr>
          <w:rStyle w:val="VerbatimChar"/>
        </w:rPr>
        <w:t xml:space="preserve">both</w:t>
      </w:r>
      <w:r>
        <w:t xml:space="preserve"> </w:t>
      </w:r>
      <w:r>
        <w:t xml:space="preserve">і обчислюється комбінована оцінка як зважена сума нормованих оцінок MinHash і косинусних. Ваги (0.6 для MinHash, 0.4 для ембеддингів за замовчуванням) обрані емпірично з огляду на те, що збіг у MinHash дає сильнішу гарантію точності.</w:t>
      </w:r>
    </w:p>
    <w:p>
      <w:pPr>
        <w:numPr>
          <w:ilvl w:val="0"/>
          <w:numId w:val="1003"/>
        </w:numPr>
      </w:pPr>
      <w:r>
        <w:t xml:space="preserve">Якщо спрацював лише MinHash, додається запис з прапором</w:t>
      </w:r>
      <w:r>
        <w:t xml:space="preserve"> </w:t>
      </w:r>
      <w:r>
        <w:rPr>
          <w:rStyle w:val="VerbatimChar"/>
        </w:rPr>
        <w:t xml:space="preserve">verbatim</w:t>
      </w:r>
      <w:r>
        <w:t xml:space="preserve">; характерно для копіювання без редагування.</w:t>
      </w:r>
    </w:p>
    <w:p>
      <w:pPr>
        <w:numPr>
          <w:ilvl w:val="0"/>
          <w:numId w:val="1003"/>
        </w:numPr>
      </w:pPr>
      <w:r>
        <w:t xml:space="preserve">Якщо спрацював лише канал ембеддингів, додається запис з прапором</w:t>
      </w:r>
      <w:r>
        <w:t xml:space="preserve"> </w:t>
      </w:r>
      <w:r>
        <w:rPr>
          <w:rStyle w:val="VerbatimChar"/>
        </w:rPr>
        <w:t xml:space="preserve">paraphrase</w:t>
      </w:r>
      <w:r>
        <w:t xml:space="preserve">; характерно для переписаного товаришем сабмішну.</w:t>
      </w:r>
    </w:p>
    <w:p>
      <w:pPr>
        <w:numPr>
          <w:ilvl w:val="0"/>
          <w:numId w:val="1003"/>
        </w:numPr>
      </w:pPr>
      <w:r>
        <w:t xml:space="preserve">У звіт додається перелік підсвічених спанів від обох каналів, перерахованих у спільну систему координат тексту, та зведена таблиця, у якій кожне виділення анотоване каналом і числовою оцінкою.</w:t>
      </w:r>
    </w:p>
    <w:p>
      <w:pPr>
        <w:pStyle w:val="FirstParagraph"/>
      </w:pPr>
      <w:r>
        <w:t xml:space="preserve">Вирівнювання спанів виконано простим жадібним алгоритмом: спани сортуються за початковою координатою; якщо два спани перекриваються більше ніж на 50%, вони об’єднуються; інакше зберігаються окремо. Цей прийом дозволяє інтерфейсу показати фрагменти, у яких одночасно є дослівний збіг і парафраз, як один блок із двома кольоровими шарами.</w:t>
      </w:r>
    </w:p>
    <w:bookmarkEnd w:id="41"/>
    <w:bookmarkStart w:id="42" w:name="складність-обмеження-інженерні-рішення"/>
    <w:p>
      <w:pPr>
        <w:pStyle w:val="Heading2"/>
      </w:pPr>
      <w:r>
        <w:t xml:space="preserve">3.4 Складність, обмеження, інженерні рішення</w:t>
      </w:r>
    </w:p>
    <w:p>
      <w:pPr>
        <w:pStyle w:val="FirstParagraph"/>
      </w:pPr>
      <w:r>
        <w:t xml:space="preserve">Часова складність каналу MinHash —</w:t>
      </w:r>
      <w:r>
        <w:t xml:space="preserve"> </w:t>
      </w:r>
      <w:r>
        <w:rPr>
          <w:iCs/>
          <w:i/>
        </w:rPr>
        <w:t xml:space="preserve">O</w:t>
      </w:r>
      <w:r>
        <w:t xml:space="preserve">(</w:t>
      </w:r>
      <w:r>
        <w:rPr>
          <w:iCs/>
          <w:i/>
        </w:rPr>
        <w:t xml:space="preserve">N</w:t>
      </w:r>
      <w:r>
        <w:t xml:space="preserve"> </w:t>
      </w:r>
      <w:r>
        <w:t xml:space="preserve">·</w:t>
      </w:r>
      <w:r>
        <w:t xml:space="preserve"> </w:t>
      </w:r>
      <w:r>
        <w:rPr>
          <w:iCs/>
          <w:i/>
        </w:rPr>
        <w:t xml:space="preserve">L</w:t>
      </w:r>
      <w:r>
        <w:t xml:space="preserve"> </w:t>
      </w:r>
      <w:r>
        <w:t xml:space="preserve">+</w:t>
      </w:r>
      <w:r>
        <w:t xml:space="preserve"> </w:t>
      </w:r>
      <w:r>
        <w:rPr>
          <w:iCs/>
          <w:i/>
        </w:rPr>
        <w:t xml:space="preserve">N</w:t>
      </w:r>
      <w:r>
        <w:t xml:space="preserve"> </w:t>
      </w:r>
      <w:r>
        <w:t xml:space="preserve">·</w:t>
      </w:r>
      <w:r>
        <w:t xml:space="preserve"> </w:t>
      </w:r>
      <w:r>
        <w:rPr>
          <w:iCs/>
          <w:i/>
        </w:rPr>
        <w:t xml:space="preserve">m</w:t>
      </w:r>
      <w:r>
        <w:t xml:space="preserve">) на обчислення сигнатур (де</w:t>
      </w:r>
      <w:r>
        <w:t xml:space="preserve"> </w:t>
      </w:r>
      <w:r>
        <w:rPr>
          <w:iCs/>
          <w:i/>
        </w:rPr>
        <w:t xml:space="preserve">N</w:t>
      </w:r>
      <w:r>
        <w:t xml:space="preserve"> </w:t>
      </w:r>
      <w:r>
        <w:t xml:space="preserve">— кількість сабмішнів,</w:t>
      </w:r>
      <w:r>
        <w:t xml:space="preserve"> </w:t>
      </w:r>
      <w:r>
        <w:rPr>
          <w:iCs/>
          <w:i/>
        </w:rPr>
        <w:t xml:space="preserve">L</w:t>
      </w:r>
      <w:r>
        <w:t xml:space="preserve"> </w:t>
      </w:r>
      <w:r>
        <w:t xml:space="preserve">— середня довжина в шинглях,</w:t>
      </w:r>
      <w:r>
        <w:t xml:space="preserve"> </w:t>
      </w:r>
      <w:r>
        <w:rPr>
          <w:iCs/>
          <w:i/>
        </w:rPr>
        <w:t xml:space="preserve">m</w:t>
      </w:r>
      <w:r>
        <w:t xml:space="preserve"> </w:t>
      </w:r>
      <w:r>
        <w:t xml:space="preserve">— розмір сигнатури) плюс</w:t>
      </w:r>
      <w:r>
        <w:t xml:space="preserve"> </w:t>
      </w:r>
      <w:r>
        <w:rPr>
          <w:iCs/>
          <w:i/>
        </w:rPr>
        <w:t xml:space="preserve">O</w:t>
      </w:r>
      <w:r>
        <w:t xml:space="preserve">(</w:t>
      </w:r>
      <w:r>
        <w:rPr>
          <w:iCs/>
          <w:i/>
        </w:rPr>
        <w:t xml:space="preserve">N</w:t>
      </w:r>
      <w:r>
        <w:t xml:space="preserve"> </w:t>
      </w:r>
      <w:r>
        <w:t xml:space="preserve">·</w:t>
      </w:r>
      <w:r>
        <w:t xml:space="preserve"> </w:t>
      </w:r>
      <w:r>
        <w:rPr>
          <w:iCs/>
          <w:i/>
        </w:rPr>
        <w:t xml:space="preserve">b</w:t>
      </w:r>
      <w:r>
        <w:t xml:space="preserve">) на запити до LSH-індексу. Для типового завдання з 30 сабмішнів і середньої довжиною 1500 слів сумарний час становить кілька секунд на сучасному ноутбуці.</w:t>
      </w:r>
    </w:p>
    <w:p>
      <w:pPr>
        <w:pStyle w:val="BodyText"/>
      </w:pPr>
      <w:r>
        <w:t xml:space="preserve">Часова складність каналу ембеддингів істотно більша через виклик нейронної моделі. Для тих самих 30 сабмішнів кодування займає від 30 секунд до кількох хвилин залежно від моделі й наявності GPU. Тому пайплайн виконує кодування у фоновому потоці й кешує ембеддинги в SQLite з ключем (модель, хеш тексту); повторні запуски на тих самих сабмішнах використовують кеш.</w:t>
      </w:r>
    </w:p>
    <w:p>
      <w:pPr>
        <w:pStyle w:val="BodyText"/>
      </w:pPr>
      <w:r>
        <w:t xml:space="preserve">Серед інженерних обмежень, що довелося прийняти:</w:t>
      </w:r>
    </w:p>
    <w:p>
      <w:pPr>
        <w:pStyle w:val="BodyText"/>
      </w:pPr>
      <w:r>
        <w:t xml:space="preserve">— модель MiniLM на CPU обробляє приблизно 50–100 речень за секунду, тому для дуже великих курсів (&gt;200 студентів) потрібно або GPU, або перехід на легшу модель;</w:t>
      </w:r>
    </w:p>
    <w:p>
      <w:pPr>
        <w:pStyle w:val="BodyText"/>
      </w:pPr>
      <w:r>
        <w:t xml:space="preserve">— FAISS у режимі</w:t>
      </w:r>
      <w:r>
        <w:t xml:space="preserve"> </w:t>
      </w:r>
      <w:r>
        <w:rPr>
          <w:rStyle w:val="VerbatimChar"/>
        </w:rPr>
        <w:t xml:space="preserve">IndexFlatIP</w:t>
      </w:r>
      <w:r>
        <w:t xml:space="preserve"> </w:t>
      </w:r>
      <w:r>
        <w:t xml:space="preserve">зберігає всі вектори в пам’яті; для 10 000 речень по 384 виміри це менше 16 МБ, тому обмеження несуттєве, проте для міжсеместрового режиму з кількома роками сабмішнів варто переходити на</w:t>
      </w:r>
      <w:r>
        <w:t xml:space="preserve"> </w:t>
      </w:r>
      <w:r>
        <w:rPr>
          <w:rStyle w:val="VerbatimChar"/>
        </w:rPr>
        <w:t xml:space="preserve">IndexIVFFlat</w:t>
      </w:r>
      <w:r>
        <w:t xml:space="preserve">;</w:t>
      </w:r>
    </w:p>
    <w:p>
      <w:pPr>
        <w:pStyle w:val="BodyText"/>
      </w:pPr>
      <w:r>
        <w:t xml:space="preserve">— шинглінг чутливий до нормалізації пробілів і пунктуації; реалізація уніфікує всі види пробілів і апострофів до канонічних форм перед обчисленням гешів;</w:t>
      </w:r>
    </w:p>
    <w:p>
      <w:pPr>
        <w:pStyle w:val="BodyText"/>
      </w:pPr>
      <w:r>
        <w:t xml:space="preserve">— для дуже коротких сабмішнів (менш ніж 500 слів) канал MinHash втрачає дискримінаційну здатність: випадково схожі шинглі дають високий коефіцієнт Жаккара. У звіті для коротких сабмішнів виводиться попередження «низька впевненість через малий обсяг».</w:t>
      </w:r>
    </w:p>
    <w:bookmarkEnd w:id="42"/>
    <w:bookmarkStart w:id="43" w:name="X3be54cff5e800658314f35e39b1025d833d6a0b"/>
    <w:p>
      <w:pPr>
        <w:pStyle w:val="Heading2"/>
      </w:pPr>
      <w:r>
        <w:t xml:space="preserve">3.5 Методика оцінювання каналу когортного порівняння</w:t>
      </w:r>
    </w:p>
    <w:p>
      <w:pPr>
        <w:pStyle w:val="FirstParagraph"/>
      </w:pPr>
      <w:r>
        <w:t xml:space="preserve">Оцінювання каналу когортного порівняння виконується на двох наборах даних. Перший — підмножина PAN-2014 [13] (external plagiarism detection), у якій пари «підозрюваний — джерело» розмічені експертом. На цій підмножині міряється точність і відклик кожного каналу окремо, а також спільної оцінки.</w:t>
      </w:r>
    </w:p>
    <w:p>
      <w:pPr>
        <w:pStyle w:val="BodyText"/>
      </w:pPr>
      <w:r>
        <w:t xml:space="preserve">Другий набір — синтетичний корпус парафразу. Він будується з англомовної частини M4 [23] двома способами. У першому варіанті певна частка речень оригінального документа замінюється парафразом, згенерованим окремою моделлю; пара «оригінал — модифікація» отримує позитивну мітку. У другому варіанті документи різних авторів на тематично близькі теми поєднуються в негативні пари — інструмент не повинен підсвічувати такі пари. Цей синтетичний набір не може повністю замінити реальні студентські сабмішни (передусім за стилістикою), але дозволяє оцінити канал парафразу в контрольованих умовах.</w:t>
      </w:r>
    </w:p>
    <w:p>
      <w:pPr>
        <w:pStyle w:val="BodyText"/>
      </w:pPr>
      <w:r>
        <w:t xml:space="preserve">Метрики:</w:t>
      </w:r>
    </w:p>
    <w:p>
      <w:pPr>
        <w:pStyle w:val="BodyText"/>
      </w:pPr>
      <w:r>
        <w:t xml:space="preserve">—</w:t>
      </w:r>
      <w:r>
        <w:t xml:space="preserve"> </w:t>
      </w:r>
      <w:r>
        <w:rPr>
          <w:bCs/>
          <w:b/>
        </w:rPr>
        <w:t xml:space="preserve">Точність і відклик на рівні пари сабмішнів</w:t>
      </w:r>
      <w:r>
        <w:t xml:space="preserve">: пара вважається позитивно класифікованою, якщо для неї знайдено хоч один спановий доказ; перевірка по відношенню до експертної розмітки.</w:t>
      </w:r>
    </w:p>
    <w:p>
      <w:pPr>
        <w:pStyle w:val="BodyText"/>
      </w:pPr>
      <w:r>
        <w:t xml:space="preserve">—</w:t>
      </w:r>
      <w:r>
        <w:t xml:space="preserve"> </w:t>
      </w:r>
      <w:r>
        <w:rPr>
          <w:bCs/>
          <w:b/>
        </w:rPr>
        <w:t xml:space="preserve">AUC</w:t>
      </w:r>
      <w:r>
        <w:t xml:space="preserve"> </w:t>
      </w:r>
      <w:r>
        <w:t xml:space="preserve">для зваженої оцінки об’єднаного каналу.</w:t>
      </w:r>
    </w:p>
    <w:p>
      <w:pPr>
        <w:pStyle w:val="BodyText"/>
      </w:pPr>
      <w:r>
        <w:t xml:space="preserve">—</w:t>
      </w:r>
      <w:r>
        <w:t xml:space="preserve"> </w:t>
      </w:r>
      <w:r>
        <w:rPr>
          <w:bCs/>
          <w:b/>
        </w:rPr>
        <w:t xml:space="preserve">Середня довжина підсвіченого спану</w:t>
      </w:r>
      <w:r>
        <w:t xml:space="preserve"> </w:t>
      </w:r>
      <w:r>
        <w:t xml:space="preserve">як показник зручності для викладача; занадто короткі спани шкодять інтерпретованості, занадто довгі натомість приховують конкретику.</w:t>
      </w:r>
    </w:p>
    <w:p>
      <w:pPr>
        <w:pStyle w:val="BodyText"/>
      </w:pPr>
      <w:r>
        <w:t xml:space="preserve">Скелет таблиці результатів — у таблиці 3.2.</w:t>
      </w:r>
    </w:p>
    <w:p>
      <w:pPr>
        <w:pStyle w:val="BodyText"/>
      </w:pPr>
      <w:r>
        <w:t xml:space="preserve">Таблиця 3.2 — Скелет таблиці метрик каналу когортного порівняння</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Канал</w:t>
            </w:r>
          </w:p>
        </w:tc>
        <w:tc>
          <w:tcPr/>
          <w:p>
            <w:pPr>
              <w:pStyle w:val="Compact"/>
              <w:jc w:val="left"/>
            </w:pPr>
            <w:r>
              <w:t xml:space="preserve">Корпус</w:t>
            </w:r>
          </w:p>
        </w:tc>
        <w:tc>
          <w:tcPr/>
          <w:p>
            <w:pPr>
              <w:pStyle w:val="Compact"/>
              <w:jc w:val="left"/>
            </w:pPr>
            <w:r>
              <w:t xml:space="preserve">Точність</w:t>
            </w:r>
          </w:p>
        </w:tc>
        <w:tc>
          <w:tcPr/>
          <w:p>
            <w:pPr>
              <w:pStyle w:val="Compact"/>
              <w:jc w:val="left"/>
            </w:pPr>
            <w:r>
              <w:t xml:space="preserve">Відклик</w:t>
            </w:r>
          </w:p>
        </w:tc>
        <w:tc>
          <w:tcPr/>
          <w:p>
            <w:pPr>
              <w:pStyle w:val="Compact"/>
              <w:jc w:val="left"/>
            </w:pPr>
            <w:r>
              <w:t xml:space="preserve">F1</w:t>
            </w:r>
          </w:p>
        </w:tc>
        <w:tc>
          <w:tcPr/>
          <w:p>
            <w:pPr>
              <w:pStyle w:val="Compact"/>
              <w:jc w:val="left"/>
            </w:pPr>
            <w:r>
              <w:t xml:space="preserve">AUC</w:t>
            </w:r>
          </w:p>
        </w:tc>
      </w:tr>
      <w:tr>
        <w:tc>
          <w:tcPr/>
          <w:p>
            <w:pPr>
              <w:pStyle w:val="Compact"/>
              <w:jc w:val="left"/>
            </w:pPr>
            <w:r>
              <w:t xml:space="preserve">MinHash</w:t>
            </w:r>
          </w:p>
        </w:tc>
        <w:tc>
          <w:tcPr/>
          <w:p>
            <w:pPr>
              <w:pStyle w:val="Compact"/>
              <w:jc w:val="left"/>
            </w:pPr>
            <w:r>
              <w:t xml:space="preserve">PAN-2014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Embeddings</w:t>
            </w:r>
          </w:p>
        </w:tc>
        <w:tc>
          <w:tcPr/>
          <w:p>
            <w:pPr>
              <w:pStyle w:val="Compact"/>
              <w:jc w:val="left"/>
            </w:pPr>
            <w:r>
              <w:t xml:space="preserve">PAN-2014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Combined</w:t>
            </w:r>
          </w:p>
        </w:tc>
        <w:tc>
          <w:tcPr/>
          <w:p>
            <w:pPr>
              <w:pStyle w:val="Compact"/>
              <w:jc w:val="left"/>
            </w:pPr>
            <w:r>
              <w:t xml:space="preserve">PAN-2014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MinHash</w:t>
            </w:r>
          </w:p>
        </w:tc>
        <w:tc>
          <w:tcPr/>
          <w:p>
            <w:pPr>
              <w:pStyle w:val="Compact"/>
              <w:jc w:val="left"/>
            </w:pPr>
            <w:r>
              <w:t xml:space="preserve">M4 paraphrase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Embeddings</w:t>
            </w:r>
          </w:p>
        </w:tc>
        <w:tc>
          <w:tcPr/>
          <w:p>
            <w:pPr>
              <w:pStyle w:val="Compact"/>
              <w:jc w:val="left"/>
            </w:pPr>
            <w:r>
              <w:t xml:space="preserve">M4 paraphrase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Combined</w:t>
            </w:r>
          </w:p>
        </w:tc>
        <w:tc>
          <w:tcPr/>
          <w:p>
            <w:pPr>
              <w:pStyle w:val="Compact"/>
              <w:jc w:val="left"/>
            </w:pPr>
            <w:r>
              <w:t xml:space="preserve">M4 paraphrase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Числа будуть отримані після прогону</w:t>
      </w:r>
      <w:r>
        <w:rPr>
          <w:iCs/>
          <w:i/>
        </w:rPr>
        <w:t xml:space="preserve"> </w:t>
      </w:r>
      <w:r>
        <w:rPr>
          <w:rStyle w:val="VerbatimChar"/>
          <w:iCs/>
          <w:i/>
        </w:rPr>
        <w:t xml:space="preserve">python -m eval.run_eval --signal cohort</w:t>
      </w:r>
      <w:r>
        <w:rPr>
          <w:iCs/>
          <w:i/>
        </w:rPr>
        <w:t xml:space="preserve">.</w:t>
      </w:r>
    </w:p>
    <w:p>
      <w:pPr>
        <w:pStyle w:val="BodyText"/>
      </w:pPr>
      <w:r>
        <w:t xml:space="preserve">Очікувана картина, на основі властивостей самих методів: канал MinHash повинен мати дуже високу точність на PAN-2014 і близькі до неї значення на M4 (дослівне копіювання), але радикально падатиме на парафразних парах M4. Канал ембеддингів матиме нижчу точність, але вищий відклик на парафразі. Об’єднаний канал — стабільну поведінку на обох. Підтвердження або спростування цієї гіпотези є предметом експерименту.</w:t>
      </w:r>
    </w:p>
    <w:bookmarkEnd w:id="43"/>
    <w:bookmarkEnd w:id="44"/>
    <w:bookmarkStart w:id="55" w:name="Xbcd21385203bbe2285a6677b86b01802abe9af6"/>
    <w:p>
      <w:pPr>
        <w:pStyle w:val="Heading1"/>
      </w:pPr>
      <w:r>
        <w:t xml:space="preserve">4 ТАКСОНОМІЯ ОЗНАК НЕДБАЛОГО ВИКОРИСТАННЯ МОВНИХ МОДЕЛЕЙ</w:t>
      </w:r>
    </w:p>
    <w:bookmarkStart w:id="45" w:name="X362e71150ac72387289fe00438fe9fa964ab779"/>
    <w:p>
      <w:pPr>
        <w:pStyle w:val="Heading2"/>
      </w:pPr>
      <w:r>
        <w:t xml:space="preserve">4.1 Дизайн-принципи: висока точність, прозоре спрацювання</w:t>
      </w:r>
    </w:p>
    <w:p>
      <w:pPr>
        <w:pStyle w:val="FirstParagraph"/>
      </w:pPr>
      <w:r>
        <w:t xml:space="preserve">У літературі останніх двох років описана низка спроб побудувати загальний класифікатор «текст машини — текст людини» на рівні документа. Як показано в [24], для досить уміло перефразованого виходу великої мовної моделі задача в загальному вигляді нерозв’язна: різниця між розподілами стає достатньо малою, щоб ніякий класифікатор не міг досягти одночасно точності й відклику, які задовольняли б застосуванню в академічному середовищі. Емпіричні дослідження [26; 27] підтверджують, що навіть найкращі наявні детектори мають істотну частку хибних спрацювань, причому з систематичним перекосом проти певних груп авторів.</w:t>
      </w:r>
    </w:p>
    <w:p>
      <w:pPr>
        <w:pStyle w:val="BodyText"/>
      </w:pPr>
      <w:r>
        <w:t xml:space="preserve">Звідси випливає, що інструменту, який претендує бути використаним як доказ у процедурі академічного контролю, не варто намагатися винести вирок «це писала машина». Натомість він повинен підсвічувати конкретні ознаки, що з високою впевненістю свідчать про</w:t>
      </w:r>
      <w:r>
        <w:t xml:space="preserve"> </w:t>
      </w:r>
      <w:r>
        <w:rPr>
          <w:iCs/>
          <w:i/>
        </w:rPr>
        <w:t xml:space="preserve">недбале</w:t>
      </w:r>
      <w:r>
        <w:t xml:space="preserve"> </w:t>
      </w:r>
      <w:r>
        <w:t xml:space="preserve">копіювання з виходу мовної моделі без редагування. Йдеться про артефакти, які мало хто залишить у власній серйозній роботі: преамбули, відмови, шаблонні структури, типографічні помилки.</w:t>
      </w:r>
    </w:p>
    <w:p>
      <w:pPr>
        <w:pStyle w:val="BodyText"/>
      </w:pPr>
      <w:r>
        <w:t xml:space="preserve">Таксономія, описана нижче, побудована за такими принципами:</w:t>
      </w:r>
    </w:p>
    <w:p>
      <w:pPr>
        <w:pStyle w:val="BodyText"/>
      </w:pPr>
      <w:r>
        <w:t xml:space="preserve">— кожне правило має описаний кваліфікатор (що саме воно шукає в тексті);</w:t>
      </w:r>
    </w:p>
    <w:p>
      <w:pPr>
        <w:pStyle w:val="BodyText"/>
      </w:pPr>
      <w:r>
        <w:t xml:space="preserve">— кожне правило супроводжується витягувачем доказів — функцією, що повертає підсвічений спан тексту;</w:t>
      </w:r>
    </w:p>
    <w:p>
      <w:pPr>
        <w:pStyle w:val="BodyText"/>
      </w:pPr>
      <w:r>
        <w:t xml:space="preserve">— кожне правило має виміряне на стандартних корпусах значення точності й рівень помилки на людських текстах; інструмент не запускає правило, для якого точність нижче за встановлений поріг (за замовчуванням 0.95);</w:t>
      </w:r>
    </w:p>
    <w:p>
      <w:pPr>
        <w:pStyle w:val="BodyText"/>
      </w:pPr>
      <w:r>
        <w:t xml:space="preserve">— правила навмисно мають низький відклик; погоня за відкликом веде до зростання частки хибних спрацювань, що для академічного контексту неприйнятно.</w:t>
      </w:r>
    </w:p>
    <w:p>
      <w:pPr>
        <w:pStyle w:val="BodyText"/>
      </w:pPr>
      <w:r>
        <w:t xml:space="preserve">Така позиція близька за духом до інтринсичного аналізу плагіату [14], який також спирається на чіткі відмінні ознаки, а не на загальний класифікатор.</w:t>
      </w:r>
    </w:p>
    <w:bookmarkEnd w:id="45"/>
    <w:bookmarkStart w:id="51" w:name="категорії-правил"/>
    <w:p>
      <w:pPr>
        <w:pStyle w:val="Heading2"/>
      </w:pPr>
      <w:r>
        <w:t xml:space="preserve">4.2 Категорії правил</w:t>
      </w:r>
    </w:p>
    <w:p>
      <w:pPr>
        <w:pStyle w:val="FirstParagraph"/>
      </w:pPr>
      <w:r>
        <w:t xml:space="preserve">Правила групуються в п’ять категорій за типом артефакту, що шукається.</w:t>
      </w:r>
    </w:p>
    <w:bookmarkStart w:id="46" w:name="преамбули-та-інші-службові-фрази"/>
    <w:p>
      <w:pPr>
        <w:pStyle w:val="Heading3"/>
      </w:pPr>
      <w:r>
        <w:t xml:space="preserve">4.2.1 Преамбули та інші службові фрази</w:t>
      </w:r>
    </w:p>
    <w:p>
      <w:pPr>
        <w:pStyle w:val="FirstParagraph"/>
      </w:pPr>
      <w:r>
        <w:t xml:space="preserve">Сюди потрапляють фрази, якими мовні моделі часто починають відповідь, а недбалий студент забуває видалити перед поданням. Англомовні приклади: «Certainly! Here is the requested essay…», «Sure, I can help you with that…», «As an AI language model, I…», «Here is a response that addresses your question:». Україномовні приклади: «Звісно! Ось ваш текст:», «Як мовна модель, я не маю особистих переконань…», «Ось приклад відповіді на ваше запитання:».</w:t>
      </w:r>
    </w:p>
    <w:p>
      <w:pPr>
        <w:pStyle w:val="BodyText"/>
      </w:pPr>
      <w:r>
        <w:t xml:space="preserve">Реалізація — каталог регулярних виразів із чутливістю до регістру та м’якими варіантами пунктуації. Точність цього класу правил очікувано близька до 1.0 — ці фрази в академічному тексті фактично не з’являються природним шляхом. Відклик також відносно низький: уважний студент видаляє преамбули перед поданням.</w:t>
      </w:r>
    </w:p>
    <w:bookmarkEnd w:id="46"/>
    <w:bookmarkStart w:id="47" w:name="відмови-та-запобіжні-формули"/>
    <w:p>
      <w:pPr>
        <w:pStyle w:val="Heading3"/>
      </w:pPr>
      <w:r>
        <w:t xml:space="preserve">4.2.2 Відмови та запобіжні формули</w:t>
      </w:r>
    </w:p>
    <w:p>
      <w:pPr>
        <w:pStyle w:val="FirstParagraph"/>
      </w:pPr>
      <w:r>
        <w:t xml:space="preserve">Сюди потрапляють формули, у яких модель самостерігається: «I’m sorry, but I cannot provide…», «I am not able to give legal or medical advice, but…», «Я не можу гарантувати точність наведеної інформації». Поява такої формули у звіті лабораторної роботи з програмування означає, що студент скопіював у роботу частину чернеткового діалогу з моделлю.</w:t>
      </w:r>
    </w:p>
    <w:bookmarkEnd w:id="47"/>
    <w:bookmarkStart w:id="48" w:name="шаблонні-дискурсивні-структури"/>
    <w:p>
      <w:pPr>
        <w:pStyle w:val="Heading3"/>
      </w:pPr>
      <w:r>
        <w:t xml:space="preserve">4.2.3 Шаблонні дискурсивні структури</w:t>
      </w:r>
    </w:p>
    <w:p>
      <w:pPr>
        <w:pStyle w:val="FirstParagraph"/>
      </w:pPr>
      <w:r>
        <w:t xml:space="preserve">Категорія охоплює характерні маркери дискурсивної організації, які генератор уживає в перерахунках:</w:t>
      </w:r>
    </w:p>
    <w:p>
      <w:pPr>
        <w:pStyle w:val="BodyText"/>
      </w:pPr>
      <w:r>
        <w:t xml:space="preserve">— однотипні маркери на початку кожного пункту списку: «По-перше, …», «По-друге, …», «По-третє, …», коли загальна кількість пунктів становить рівно три;</w:t>
      </w:r>
    </w:p>
    <w:p>
      <w:pPr>
        <w:pStyle w:val="BodyText"/>
      </w:pPr>
      <w:r>
        <w:t xml:space="preserve">— фіксовані заголовкові формули в нумерованих переліках: «Аспект 1: …Аспект 2: …Аспект 3: …»;</w:t>
      </w:r>
    </w:p>
    <w:p>
      <w:pPr>
        <w:pStyle w:val="BodyText"/>
      </w:pPr>
      <w:r>
        <w:t xml:space="preserve">— однотипні висновкові формули наприкінці абзаців: «Таким чином, можна стверджувати, що…», «На завершення, варто зазначити, що…».</w:t>
      </w:r>
    </w:p>
    <w:p>
      <w:pPr>
        <w:pStyle w:val="BodyText"/>
      </w:pPr>
      <w:r>
        <w:t xml:space="preserve">На рівні окремого випадку кожен такий артефакт може з’явитися й у людському тексті. Підвищена точність досягається через композитне спрацювання: правило вимагає одночасної наявності кількох артефактів цього класу в межах одного сабмішну.</w:t>
      </w:r>
    </w:p>
    <w:bookmarkEnd w:id="48"/>
    <w:bookmarkStart w:id="49" w:name="типографічні-аномалії"/>
    <w:p>
      <w:pPr>
        <w:pStyle w:val="Heading3"/>
      </w:pPr>
      <w:r>
        <w:t xml:space="preserve">4.2.4 Типографічні аномалії</w:t>
      </w:r>
    </w:p>
    <w:p>
      <w:pPr>
        <w:pStyle w:val="FirstParagraph"/>
      </w:pPr>
      <w:r>
        <w:t xml:space="preserve">Сюди потрапляють відмінні риси типографіки, які значна частина моделей породжує в характерний спосіб:</w:t>
      </w:r>
    </w:p>
    <w:p>
      <w:pPr>
        <w:pStyle w:val="BodyText"/>
      </w:pPr>
      <w:r>
        <w:t xml:space="preserve">— заміна українських лапок «…» на прямі ASCII-лапки</w:t>
      </w:r>
      <w:r>
        <w:t xml:space="preserve"> </w:t>
      </w:r>
      <w:r>
        <w:t xml:space="preserve">“</w:t>
      </w:r>
      <w:r>
        <w:t xml:space="preserve">…</w:t>
      </w:r>
      <w:r>
        <w:t xml:space="preserve">”</w:t>
      </w:r>
      <w:r>
        <w:t xml:space="preserve"> </w:t>
      </w:r>
      <w:r>
        <w:t xml:space="preserve">в тексті, що в інших місцях коректно використовує українські лапки;</w:t>
      </w:r>
    </w:p>
    <w:p>
      <w:pPr>
        <w:pStyle w:val="BodyText"/>
      </w:pPr>
      <w:r>
        <w:t xml:space="preserve">— використання en-dash (–) у місці, де українська типографіка вимагає em-dash (—);</w:t>
      </w:r>
    </w:p>
    <w:p>
      <w:pPr>
        <w:pStyle w:val="BodyText"/>
      </w:pPr>
      <w:r>
        <w:t xml:space="preserve">— відсутність нерозривного пробілу перед одиницями вимірювання («10 кг» без зв’язку);</w:t>
      </w:r>
    </w:p>
    <w:p>
      <w:pPr>
        <w:pStyle w:val="BodyText"/>
      </w:pPr>
      <w:r>
        <w:t xml:space="preserve">— характерне розставлення пробілів навколо тире, типове для англомовного джерела;</w:t>
      </w:r>
    </w:p>
    <w:p>
      <w:pPr>
        <w:pStyle w:val="BodyText"/>
      </w:pPr>
      <w:r>
        <w:t xml:space="preserve">— зловживання списками-маркерами там, де український академічний стиль використовує крапку з комою.</w:t>
      </w:r>
    </w:p>
    <w:p>
      <w:pPr>
        <w:pStyle w:val="BodyText"/>
      </w:pPr>
      <w:r>
        <w:t xml:space="preserve">Точність окремого правила цього класу нижча, ніж у попередніх; компенсується композитним підходом і високим порогом для самостійного спрацювання.</w:t>
      </w:r>
    </w:p>
    <w:bookmarkEnd w:id="49"/>
    <w:bookmarkStart w:id="50" w:name="самовикривальні-ремарки-моделі"/>
    <w:p>
      <w:pPr>
        <w:pStyle w:val="Heading3"/>
      </w:pPr>
      <w:r>
        <w:t xml:space="preserve">4.2.5 Самовикривальні ремарки моделі</w:t>
      </w:r>
    </w:p>
    <w:p>
      <w:pPr>
        <w:pStyle w:val="FirstParagraph"/>
      </w:pPr>
      <w:r>
        <w:t xml:space="preserve">Сюди потрапляють згадки про «контекстне вікно», «токени», «попередній запит», «попереднє повідомлення», що з’являються в тілі здавалося б готового твору. Поява такої ремарки сильно корелює з тим, що студент копіював відповідь моделі шматком, не редагуючи.</w:t>
      </w:r>
    </w:p>
    <w:bookmarkEnd w:id="50"/>
    <w:bookmarkEnd w:id="51"/>
    <w:bookmarkStart w:id="52" w:name="інженерія-правил-як-даних"/>
    <w:p>
      <w:pPr>
        <w:pStyle w:val="Heading2"/>
      </w:pPr>
      <w:r>
        <w:t xml:space="preserve">4.3 Інженерія правил як даних</w:t>
      </w:r>
    </w:p>
    <w:p>
      <w:pPr>
        <w:pStyle w:val="FirstParagraph"/>
      </w:pPr>
      <w:r>
        <w:t xml:space="preserve">Правила реалізовані не як гілки if/else у Python-коді, а як окремі мікромодулі (або, рівноцінно, записи в YAML-файлі), у яких міститься:</w:t>
      </w:r>
    </w:p>
    <w:p>
      <w:pPr>
        <w:pStyle w:val="BodyText"/>
      </w:pPr>
      <w:r>
        <w:t xml:space="preserve">— унікальний ідентифікатор;</w:t>
      </w:r>
    </w:p>
    <w:p>
      <w:pPr>
        <w:pStyle w:val="BodyText"/>
      </w:pPr>
      <w:r>
        <w:t xml:space="preserve">— стислий опис рідною мовою;</w:t>
      </w:r>
    </w:p>
    <w:p>
      <w:pPr>
        <w:pStyle w:val="BodyText"/>
      </w:pPr>
      <w:r>
        <w:t xml:space="preserve">— тип детектора (</w:t>
      </w:r>
      <w:r>
        <w:rPr>
          <w:rStyle w:val="VerbatimChar"/>
        </w:rPr>
        <w:t xml:space="preserve">regex</w:t>
      </w:r>
      <w:r>
        <w:t xml:space="preserve">,</w:t>
      </w:r>
      <w:r>
        <w:t xml:space="preserve"> </w:t>
      </w:r>
      <w:r>
        <w:rPr>
          <w:rStyle w:val="VerbatimChar"/>
        </w:rPr>
        <w:t xml:space="preserve">composite</w:t>
      </w:r>
      <w:r>
        <w:t xml:space="preserve">,</w:t>
      </w:r>
      <w:r>
        <w:t xml:space="preserve"> </w:t>
      </w:r>
      <w:r>
        <w:rPr>
          <w:rStyle w:val="VerbatimChar"/>
        </w:rPr>
        <w:t xml:space="preserve">typographic</w:t>
      </w:r>
      <w:r>
        <w:t xml:space="preserve">);</w:t>
      </w:r>
    </w:p>
    <w:p>
      <w:pPr>
        <w:pStyle w:val="BodyText"/>
      </w:pPr>
      <w:r>
        <w:t xml:space="preserve">— параметри детектора (для регулярних виразів — сам вираз; для композитних — посилання на дочірні правила й мінімальна кількість одночасних спрацювань);</w:t>
      </w:r>
    </w:p>
    <w:p>
      <w:pPr>
        <w:pStyle w:val="BodyText"/>
      </w:pPr>
      <w:r>
        <w:t xml:space="preserve">— витягувач доказів — функція, що повертає кортеж (початок спану, кінець спану, додаткові поля, що потраплять у звіт);</w:t>
      </w:r>
    </w:p>
    <w:p>
      <w:pPr>
        <w:pStyle w:val="BodyText"/>
      </w:pPr>
      <w:r>
        <w:t xml:space="preserve">— виміряні характеристики точності й відклику на стандартних корпусах і метадані оцінювання (датасет, дата, версія моделі).</w:t>
      </w:r>
    </w:p>
    <w:p>
      <w:pPr>
        <w:pStyle w:val="BodyText"/>
      </w:pPr>
      <w:r>
        <w:t xml:space="preserve">Ця організація дає три переваги. По-перше, додавання нового правила не потребує модифікації коду ядра; достатньо описати правило та надати тестові приклади. По-друге, документ із таксономією генерується автоматично з тих самих метаданих, що визначають поведінку інструменту; неузгодженість між поведінкою й документацією виключена за конструкцією. По-третє, після зміни поведінки сучасних мовних моделей зміна обмежується перерахуванням метрик.</w:t>
      </w:r>
    </w:p>
    <w:bookmarkEnd w:id="52"/>
    <w:bookmarkStart w:id="53" w:name="X821874d6b16190d094f3827e3699bce8a848e07"/>
    <w:p>
      <w:pPr>
        <w:pStyle w:val="Heading2"/>
      </w:pPr>
      <w:r>
        <w:t xml:space="preserve">4.4 Етична позиція й чого інструмент не робить</w:t>
      </w:r>
    </w:p>
    <w:p>
      <w:pPr>
        <w:pStyle w:val="FirstParagraph"/>
      </w:pPr>
      <w:r>
        <w:t xml:space="preserve">Інструмент свідомо не виконує наступне.</w:t>
      </w:r>
    </w:p>
    <w:p>
      <w:pPr>
        <w:pStyle w:val="BodyText"/>
      </w:pPr>
      <w:r>
        <w:t xml:space="preserve">— Не повертає окремого «балу машинної генерованості». Як показано в [24; 26], такий бал не має достатньо стабільних характеристик для застосувань з високою ціною помилки, до яких належить академічний контроль.</w:t>
      </w:r>
    </w:p>
    <w:p>
      <w:pPr>
        <w:pStyle w:val="BodyText"/>
      </w:pPr>
      <w:r>
        <w:t xml:space="preserve">— Не використовує стилометричних відбитків окремих студентів. Така ідея виглядає привабливою (порівняти поточний сабмішн із попередніми сабмішнями того самого автора), але викликає істотні методологічні застереження: невелика кількість сабмішнів на студента, природне розширення стилю в процесі навчання, ризик хибних спрацювань на студентах, які раніше також користувалися допомогою моделі.</w:t>
      </w:r>
    </w:p>
    <w:p>
      <w:pPr>
        <w:pStyle w:val="BodyText"/>
      </w:pPr>
      <w:r>
        <w:t xml:space="preserve">— Не приймає рішень про авторство. Усі спрацювання — підстава для подальшого розгляду, а не вирок.</w:t>
      </w:r>
    </w:p>
    <w:p>
      <w:pPr>
        <w:pStyle w:val="BodyText"/>
      </w:pPr>
      <w:r>
        <w:t xml:space="preserve">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bookmarkEnd w:id="53"/>
    <w:bookmarkStart w:id="54" w:name="методика-оцінювання-таксономії"/>
    <w:p>
      <w:pPr>
        <w:pStyle w:val="Heading2"/>
      </w:pPr>
      <w:r>
        <w:t xml:space="preserve">4.5 Методика оцінювання таксономії</w:t>
      </w:r>
    </w:p>
    <w:p>
      <w:pPr>
        <w:pStyle w:val="FirstParagraph"/>
      </w:pPr>
      <w:r>
        <w:t xml:space="preserve">Оцінювання правил виконується на корпусах HC3 [22] та M4 [23], що містять паралельні приклади текстів, написаних людьми, і текстів, згенерованих різними мовними моделями (включно з ChatGPT, GPT-4, Llama, ChatGPT-paraphrased).</w:t>
      </w:r>
    </w:p>
    <w:p>
      <w:pPr>
        <w:pStyle w:val="BodyText"/>
      </w:pPr>
      <w:r>
        <w:t xml:space="preserve">Для кожного правила обчислюються дві метрики:</w:t>
      </w:r>
    </w:p>
    <w:p>
      <w:pPr>
        <w:pStyle w:val="BodyText"/>
      </w:pPr>
      <w:r>
        <w:t xml:space="preserve">—</w:t>
      </w:r>
      <w:r>
        <w:t xml:space="preserve"> </w:t>
      </w:r>
      <w:r>
        <w:rPr>
          <w:bCs/>
          <w:b/>
        </w:rPr>
        <w:t xml:space="preserve">точність</w:t>
      </w:r>
      <w:r>
        <w:t xml:space="preserve">: серед усіх документів, на яких правило спрацювало, частка тих, що походять із машинного підмасиву корпусу;</w:t>
      </w:r>
    </w:p>
    <w:p>
      <w:pPr>
        <w:pStyle w:val="BodyText"/>
      </w:pPr>
      <w:r>
        <w:t xml:space="preserve">—</w:t>
      </w:r>
      <w:r>
        <w:t xml:space="preserve"> </w:t>
      </w:r>
      <w:r>
        <w:rPr>
          <w:bCs/>
          <w:b/>
        </w:rPr>
        <w:t xml:space="preserve">частка хибних спрацювань на людському підмасиві</w:t>
      </w:r>
      <w:r>
        <w:t xml:space="preserve">: серед усіх людських документів, на яких правило спрацювало, частка від загальної кількості людських документів.</w:t>
      </w:r>
    </w:p>
    <w:p>
      <w:pPr>
        <w:pStyle w:val="BodyText"/>
      </w:pPr>
      <w:r>
        <w:t xml:space="preserve">Відклик окремого правила свідомо не вимірюється на рівні документа, оскільки кожне правило цілеспрямоване й покриває вузький різновид артефакту. Натомість для таксономії в цілому міряється агрегований відклик: серед усіх машинних документів — частка тих, на яких спрацювало хоч одне правило з достатньо високою впевненістю.</w:t>
      </w:r>
    </w:p>
    <w:p>
      <w:pPr>
        <w:pStyle w:val="BodyText"/>
      </w:pPr>
      <w:r>
        <w:t xml:space="preserve">Скелет таблиці результатів — у таблиці 4.1.</w:t>
      </w:r>
    </w:p>
    <w:p>
      <w:pPr>
        <w:pStyle w:val="BodyText"/>
      </w:pPr>
      <w:r>
        <w:t xml:space="preserve">Таблиця 4.1 — Скелет таблиці метрик правил таксономії на корпусах HC3 і M4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Категорія</w:t>
            </w:r>
          </w:p>
        </w:tc>
        <w:tc>
          <w:tcPr/>
          <w:p>
            <w:pPr>
              <w:pStyle w:val="Compact"/>
              <w:jc w:val="left"/>
            </w:pPr>
            <w:r>
              <w:t xml:space="preserve">Правило</w:t>
            </w:r>
          </w:p>
        </w:tc>
        <w:tc>
          <w:tcPr/>
          <w:p>
            <w:pPr>
              <w:pStyle w:val="Compact"/>
              <w:jc w:val="left"/>
            </w:pPr>
            <w:r>
              <w:t xml:space="preserve">Корпус</w:t>
            </w:r>
          </w:p>
        </w:tc>
        <w:tc>
          <w:tcPr/>
          <w:p>
            <w:pPr>
              <w:pStyle w:val="Compact"/>
              <w:jc w:val="left"/>
            </w:pPr>
            <w:r>
              <w:t xml:space="preserve">Точність</w:t>
            </w:r>
          </w:p>
        </w:tc>
        <w:tc>
          <w:tcPr/>
          <w:p>
            <w:pPr>
              <w:pStyle w:val="Compact"/>
              <w:jc w:val="left"/>
            </w:pPr>
            <w:r>
              <w:t xml:space="preserve">Хибні спрацювання, %</w:t>
            </w:r>
          </w:p>
        </w:tc>
      </w:tr>
      <w:tr>
        <w:tc>
          <w:tcPr/>
          <w:p>
            <w:pPr>
              <w:pStyle w:val="Compact"/>
              <w:jc w:val="left"/>
            </w:pPr>
            <w:r>
              <w:t xml:space="preserve">Преамбули</w:t>
            </w:r>
          </w:p>
        </w:tc>
        <w:tc>
          <w:tcPr/>
          <w:p>
            <w:pPr>
              <w:pStyle w:val="Compact"/>
              <w:jc w:val="left"/>
            </w:pPr>
            <w:r>
              <w:rPr>
                <w:rStyle w:val="VerbatimChar"/>
              </w:rPr>
              <w:t xml:space="preserve">ai_preamble_en</w:t>
            </w:r>
          </w:p>
        </w:tc>
        <w:tc>
          <w:tcPr/>
          <w:p>
            <w:pPr>
              <w:pStyle w:val="Compact"/>
              <w:jc w:val="left"/>
            </w:pPr>
            <w:r>
              <w:t xml:space="preserve">HC3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Преамбули</w:t>
            </w:r>
          </w:p>
        </w:tc>
        <w:tc>
          <w:tcPr/>
          <w:p>
            <w:pPr>
              <w:pStyle w:val="Compact"/>
              <w:jc w:val="left"/>
            </w:pPr>
            <w:r>
              <w:rPr>
                <w:rStyle w:val="VerbatimChar"/>
              </w:rPr>
              <w:t xml:space="preserve">ai_preamble_uk</w:t>
            </w:r>
          </w:p>
        </w:tc>
        <w:tc>
          <w:tcPr/>
          <w:p>
            <w:pPr>
              <w:pStyle w:val="Compact"/>
              <w:jc w:val="left"/>
            </w:pPr>
            <w:r>
              <w:t xml:space="preserve">M4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Відмови</w:t>
            </w:r>
          </w:p>
        </w:tc>
        <w:tc>
          <w:tcPr/>
          <w:p>
            <w:pPr>
              <w:pStyle w:val="Compact"/>
              <w:jc w:val="left"/>
            </w:pPr>
            <w:r>
              <w:rPr>
                <w:rStyle w:val="VerbatimChar"/>
              </w:rPr>
              <w:t xml:space="preserve">ai_refusal_en</w:t>
            </w:r>
          </w:p>
        </w:tc>
        <w:tc>
          <w:tcPr/>
          <w:p>
            <w:pPr>
              <w:pStyle w:val="Compact"/>
              <w:jc w:val="left"/>
            </w:pPr>
            <w:r>
              <w:t xml:space="preserve">HC3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Дискурс</w:t>
            </w:r>
          </w:p>
        </w:tc>
        <w:tc>
          <w:tcPr/>
          <w:p>
            <w:pPr>
              <w:pStyle w:val="Compact"/>
              <w:jc w:val="left"/>
            </w:pPr>
            <w:r>
              <w:rPr>
                <w:rStyle w:val="VerbatimChar"/>
              </w:rPr>
              <w:t xml:space="preserve">triadic_enumeration</w:t>
            </w:r>
          </w:p>
        </w:tc>
        <w:tc>
          <w:tcPr/>
          <w:p>
            <w:pPr>
              <w:pStyle w:val="Compact"/>
              <w:jc w:val="left"/>
            </w:pPr>
            <w:r>
              <w:t xml:space="preserve">HC3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Типографія</w:t>
            </w:r>
          </w:p>
        </w:tc>
        <w:tc>
          <w:tcPr/>
          <w:p>
            <w:pPr>
              <w:pStyle w:val="Compact"/>
              <w:jc w:val="left"/>
            </w:pPr>
            <w:r>
              <w:rPr>
                <w:rStyle w:val="VerbatimChar"/>
              </w:rPr>
              <w:t xml:space="preserve">straight_quotes_in_uk</w:t>
            </w:r>
          </w:p>
        </w:tc>
        <w:tc>
          <w:tcPr/>
          <w:p>
            <w:pPr>
              <w:pStyle w:val="Compact"/>
              <w:jc w:val="left"/>
            </w:pPr>
            <w:r>
              <w:t xml:space="preserve">M4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Самовикривання</w:t>
            </w:r>
          </w:p>
        </w:tc>
        <w:tc>
          <w:tcPr/>
          <w:p>
            <w:pPr>
              <w:pStyle w:val="Compact"/>
              <w:jc w:val="left"/>
            </w:pPr>
            <w:r>
              <w:rPr>
                <w:rStyle w:val="VerbatimChar"/>
              </w:rPr>
              <w:t xml:space="preserve">self_revealing_meta</w:t>
            </w:r>
          </w:p>
        </w:tc>
        <w:tc>
          <w:tcPr/>
          <w:p>
            <w:pPr>
              <w:pStyle w:val="Compact"/>
              <w:jc w:val="left"/>
            </w:pPr>
            <w:r>
              <w:t xml:space="preserve">HC3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Агрегат</w:t>
            </w:r>
          </w:p>
        </w:tc>
        <w:tc>
          <w:tcPr/>
          <w:p>
            <w:pPr>
              <w:pStyle w:val="Compact"/>
              <w:jc w:val="left"/>
            </w:pPr>
            <w:r>
              <w:t xml:space="preserve">усі категорії</w:t>
            </w:r>
          </w:p>
        </w:tc>
        <w:tc>
          <w:tcPr/>
          <w:p>
            <w:pPr>
              <w:pStyle w:val="Compact"/>
              <w:jc w:val="left"/>
            </w:pPr>
            <w:r>
              <w:t xml:space="preserve">HC3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Агрегат</w:t>
            </w:r>
          </w:p>
        </w:tc>
        <w:tc>
          <w:tcPr/>
          <w:p>
            <w:pPr>
              <w:pStyle w:val="Compact"/>
              <w:jc w:val="left"/>
            </w:pPr>
            <w:r>
              <w:t xml:space="preserve">усі категорії</w:t>
            </w:r>
          </w:p>
        </w:tc>
        <w:tc>
          <w:tcPr/>
          <w:p>
            <w:pPr>
              <w:pStyle w:val="Compact"/>
              <w:jc w:val="left"/>
            </w:pPr>
            <w:r>
              <w:t xml:space="preserve">M4</w:t>
            </w:r>
          </w:p>
        </w:tc>
        <w:tc>
          <w:tcPr/>
          <w:p>
            <w:pPr>
              <w:pStyle w:val="Compact"/>
              <w:jc w:val="left"/>
            </w:pPr>
            <w:r>
              <w:t xml:space="preserve">—</w:t>
            </w:r>
          </w:p>
        </w:tc>
        <w:tc>
          <w:tcPr/>
          <w:p>
            <w:pPr>
              <w:pStyle w:val="Compact"/>
              <w:jc w:val="left"/>
            </w:pPr>
            <w:r>
              <w:t xml:space="preserve">—</w:t>
            </w:r>
          </w:p>
        </w:tc>
      </w:tr>
    </w:tbl>
    <w:p>
      <w:pPr>
        <w:pStyle w:val="BodyText"/>
      </w:pPr>
      <w:r>
        <w:rPr>
          <w:iCs/>
          <w:i/>
        </w:rPr>
        <w:t xml:space="preserve">Значення в комірках буде заповнено після прогону</w:t>
      </w:r>
      <w:r>
        <w:rPr>
          <w:iCs/>
          <w:i/>
        </w:rPr>
        <w:t xml:space="preserve"> </w:t>
      </w:r>
      <w:r>
        <w:rPr>
          <w:rStyle w:val="VerbatimChar"/>
          <w:iCs/>
          <w:i/>
        </w:rPr>
        <w:t xml:space="preserve">python -m eval.run_eval --signal ai_leakage</w:t>
      </w:r>
      <w:r>
        <w:rPr>
          <w:iCs/>
          <w:i/>
        </w:rPr>
        <w:t xml:space="preserve">.</w:t>
      </w:r>
    </w:p>
    <w:p>
      <w:pPr>
        <w:pStyle w:val="BodyText"/>
      </w:pPr>
      <w:r>
        <w:t xml:space="preserve">Очікувана картина: для правил категорій «Преамбули», «Відмови», «Самовикривання» точність буде дуже високою (близько 0.98–1.00), а частка хибних спрацювань на людських документах — близькою до нуля. Для категорій «Шаблонні дискурсивні структури» й «Типографічні аномалії» точність окремих правил буде нижчою (0.85–0.95), але композитне правило, яке вимагає одночасного спрацювання кількох ознак, повинно мати точність, що знову наближається до 0.98. Загальний відклик таксономії очікувано лежатиме в діапазоні 0.20–0.40 — навмисно низькому, бо акуратно відредагований вихід моделі лишається непокритим, і це нормально для обраної дизайнерської позиції.</w:t>
      </w:r>
    </w:p>
    <w:bookmarkEnd w:id="54"/>
    <w:bookmarkEnd w:id="55"/>
    <w:bookmarkStart w:id="61" w:name="Xf364e1539aaa70cdb502e3b45ef757dd6628684"/>
    <w:p>
      <w:pPr>
        <w:pStyle w:val="Heading1"/>
      </w:pPr>
      <w:r>
        <w:t xml:space="preserve">5 ІНТЕГРАЦІЯ СИГНАЛІВ, ІНТЕРФЕЙС ВИКЛАДАЧА Й ЗАГАЛЬНЕ ОЦІНЮВАННЯ</w:t>
      </w:r>
    </w:p>
    <w:bookmarkStart w:id="56" w:name="сторонній-веб-плагіат-як-окремий-сигнал"/>
    <w:p>
      <w:pPr>
        <w:pStyle w:val="Heading2"/>
      </w:pPr>
      <w:r>
        <w:t xml:space="preserve">5.1 Сторонній веб-плагіат як окремий сигнал</w:t>
      </w:r>
    </w:p>
    <w:p>
      <w:pPr>
        <w:pStyle w:val="FirstParagraph"/>
      </w:pPr>
      <w:r>
        <w:t xml:space="preserve">Окрім двох внутрішніх каналів, інструмент опційно звертається до зовнішнього сервісу перевірки на веб-плагіат. У базовій конфігурації використовується інтерфейс, сумісний з API CopyLeaks: сабмішн відправляється на сервер, у відповіді повертається перелік URL-адрес і фрагментів, що з ними збіглися. Цей сигнал міститься в окремому модулі</w:t>
      </w:r>
      <w:r>
        <w:t xml:space="preserve"> </w:t>
      </w:r>
      <w:r>
        <w:rPr>
          <w:rStyle w:val="VerbatimChar"/>
        </w:rPr>
        <w:t xml:space="preserve">signals.webcheck</w:t>
      </w:r>
      <w:r>
        <w:t xml:space="preserve"> </w:t>
      </w:r>
      <w:r>
        <w:t xml:space="preserve">і підкоряється тому ж контракту</w:t>
      </w:r>
      <w:r>
        <w:t xml:space="preserve"> </w:t>
      </w:r>
      <w:r>
        <w:rPr>
          <w:rStyle w:val="VerbatimChar"/>
        </w:rPr>
        <w:t xml:space="preserve">SignalResult</w:t>
      </w:r>
      <w:r>
        <w:t xml:space="preserve">, що й внутрішні канали.</w:t>
      </w:r>
    </w:p>
    <w:p>
      <w:pPr>
        <w:pStyle w:val="BodyText"/>
      </w:pPr>
      <w:r>
        <w:t xml:space="preserve">Розділ цього сигналу винесений в окремий модуль не випадково. По-перше, підключення до зовнішнього API вимагає платного ключа й тягне за собою обмеження за обсягом запитів. Для апробації інструменту реалізована заглушка, яка повертає порожній результат і дозволяє решті пайплайну працювати без зовнішнього сервісу. По-друге, у звіті свідомо чітко позначено, що цей сигнал — зовнішній: викладач має знати, чий саме індекс «бачить» спрацювання й яке обмеження на доменне покриття існує. Серед обмежень, які варто артикулювати, — нездатність сторонніх сервісів покрити україномовні специфічні джерела й галузеві репозиторії.</w:t>
      </w:r>
    </w:p>
    <w:bookmarkEnd w:id="56"/>
    <w:bookmarkStart w:id="57" w:name="ранжування-сабмішнів"/>
    <w:p>
      <w:pPr>
        <w:pStyle w:val="Heading2"/>
      </w:pPr>
      <w:r>
        <w:t xml:space="preserve">5.2 Ранжування сабмішнів</w:t>
      </w:r>
    </w:p>
    <w:p>
      <w:pPr>
        <w:pStyle w:val="FirstParagraph"/>
      </w:pPr>
      <w:r>
        <w:t xml:space="preserve">Дашборд завдання впорядковує сабмішни за зведеним рангом. Ранг для одного сабмішну обчислюється як зважена сума нормованих оцінок окремих сигналів:</w:t>
      </w:r>
    </w:p>
    <w:p>
      <w:pPr>
        <w:pStyle w:val="BodyText"/>
      </w:pPr>
      <m:oMathPara>
        <m:oMathParaPr>
          <m:jc m:val="center"/>
        </m:oMathParaPr>
        <m:oMath>
          <m:r>
            <m:t>R</m:t>
          </m:r>
          <m:d>
            <m:dPr>
              <m:begChr m:val="("/>
              <m:endChr m:val=")"/>
              <m:sepChr m:val=""/>
              <m:grow/>
            </m:dPr>
            <m:e>
              <m:r>
                <m:t>s</m:t>
              </m:r>
            </m:e>
          </m:d>
          <m:r>
            <m:rPr>
              <m:sty m:val="p"/>
            </m:rPr>
            <m:t>=</m:t>
          </m:r>
          <m:sSub>
            <m:e>
              <m:r>
                <m:t>w</m:t>
              </m:r>
            </m:e>
            <m:sub>
              <m:r>
                <m:t>1</m:t>
              </m:r>
            </m:sub>
          </m:sSub>
          <m:r>
            <m:rPr>
              <m:sty m:val="p"/>
            </m:rPr>
            <m:t>⋅</m:t>
          </m:r>
          <m:acc>
            <m:accPr>
              <m:chr m:val="̃"/>
            </m:accPr>
            <m:e>
              <m:r>
                <m:t>C</m:t>
              </m:r>
            </m:e>
          </m:acc>
          <m:d>
            <m:dPr>
              <m:begChr m:val="("/>
              <m:endChr m:val=")"/>
              <m:sepChr m:val=""/>
              <m:grow/>
            </m:dPr>
            <m:e>
              <m:r>
                <m:t>s</m:t>
              </m:r>
            </m:e>
          </m:d>
          <m:r>
            <m:rPr>
              <m:sty m:val="p"/>
            </m:rPr>
            <m:t>+</m:t>
          </m:r>
          <m:sSub>
            <m:e>
              <m:r>
                <m:t>w</m:t>
              </m:r>
            </m:e>
            <m:sub>
              <m:r>
                <m:t>2</m:t>
              </m:r>
            </m:sub>
          </m:sSub>
          <m:r>
            <m:rPr>
              <m:sty m:val="p"/>
            </m:rPr>
            <m:t>⋅</m:t>
          </m:r>
          <m:acc>
            <m:accPr>
              <m:chr m:val="̃"/>
            </m:accPr>
            <m:e>
              <m:r>
                <m:t>A</m:t>
              </m:r>
            </m:e>
          </m:acc>
          <m:d>
            <m:dPr>
              <m:begChr m:val="("/>
              <m:endChr m:val=")"/>
              <m:sepChr m:val=""/>
              <m:grow/>
            </m:dPr>
            <m:e>
              <m:r>
                <m:t>s</m:t>
              </m:r>
            </m:e>
          </m:d>
          <m:r>
            <m:rPr>
              <m:sty m:val="p"/>
            </m:rPr>
            <m:t>+</m:t>
          </m:r>
          <m:sSub>
            <m:e>
              <m:r>
                <m:t>w</m:t>
              </m:r>
            </m:e>
            <m:sub>
              <m:r>
                <m:t>3</m:t>
              </m:r>
            </m:sub>
          </m:sSub>
          <m:r>
            <m:rPr>
              <m:sty m:val="p"/>
            </m:rPr>
            <m:t>⋅</m:t>
          </m:r>
          <m:acc>
            <m:accPr>
              <m:chr m:val="̃"/>
            </m:accPr>
            <m:e>
              <m:r>
                <m:t>W</m:t>
              </m:r>
            </m:e>
          </m:acc>
          <m:d>
            <m:dPr>
              <m:begChr m:val="("/>
              <m:endChr m:val=")"/>
              <m:sepChr m:val=""/>
              <m:grow/>
            </m:dPr>
            <m:e>
              <m:r>
                <m:t>s</m:t>
              </m:r>
            </m:e>
          </m:d>
          <m:r>
            <m:rPr>
              <m:sty m:val="p"/>
            </m:rPr>
            <m:t>,</m:t>
          </m:r>
        </m:oMath>
      </m:oMathPara>
    </w:p>
    <w:p>
      <w:pPr>
        <w:pStyle w:val="FirstParagraph"/>
      </w:pPr>
      <w:r>
        <w:t xml:space="preserve">де</w:t>
      </w:r>
      <w:r>
        <w:t xml:space="preserve"> </w:t>
      </w:r>
      <w:r>
        <w:rPr>
          <w:iCs/>
          <w:i/>
        </w:rPr>
        <w:t xml:space="preserve">C̃</w:t>
      </w:r>
      <w:r>
        <w:t xml:space="preserve">(</w:t>
      </w:r>
      <w:r>
        <w:rPr>
          <w:iCs/>
          <w:i/>
        </w:rPr>
        <w:t xml:space="preserve">s</w:t>
      </w:r>
      <w:r>
        <w:t xml:space="preserve">) — нормована сумарна оцінка спрацювань когортного каналу;</w:t>
      </w:r>
      <w:r>
        <w:t xml:space="preserve"> </w:t>
      </w:r>
      <w:r>
        <w:rPr>
          <w:iCs/>
          <w:i/>
        </w:rPr>
        <w:t xml:space="preserve">Ã</w:t>
      </w:r>
      <w:r>
        <w:t xml:space="preserve">(</w:t>
      </w:r>
      <w:r>
        <w:rPr>
          <w:iCs/>
          <w:i/>
        </w:rPr>
        <w:t xml:space="preserve">s</w:t>
      </w:r>
      <w:r>
        <w:t xml:space="preserve">) — нормована сумарна оцінка спрацювань таксономії;</w:t>
      </w:r>
      <w:r>
        <w:t xml:space="preserve"> </w:t>
      </w:r>
      <w:r>
        <w:rPr>
          <w:iCs/>
          <w:i/>
        </w:rPr>
        <w:t xml:space="preserve">W̃</w:t>
      </w:r>
      <w:r>
        <w:t xml:space="preserve">(</w:t>
      </w:r>
      <w:r>
        <w:rPr>
          <w:iCs/>
          <w:i/>
        </w:rPr>
        <w:t xml:space="preserve">s</w:t>
      </w:r>
      <w:r>
        <w:t xml:space="preserve">) — нормована оцінка веб-перевірки;</w:t>
      </w:r>
      <w:r>
        <w:t xml:space="preserve"> </w:t>
      </w:r>
      <w:r>
        <w:rPr>
          <w:iCs/>
          <w:i/>
        </w:rPr>
        <w:t xml:space="preserve">w</w:t>
      </w:r>
      <w:r>
        <w:t xml:space="preserve">₁,</w:t>
      </w:r>
      <w:r>
        <w:t xml:space="preserve"> </w:t>
      </w:r>
      <w:r>
        <w:rPr>
          <w:iCs/>
          <w:i/>
        </w:rPr>
        <w:t xml:space="preserve">w</w:t>
      </w:r>
      <w:r>
        <w:t xml:space="preserve">₂,</w:t>
      </w:r>
      <w:r>
        <w:t xml:space="preserve"> </w:t>
      </w:r>
      <w:r>
        <w:rPr>
          <w:iCs/>
          <w:i/>
        </w:rPr>
        <w:t xml:space="preserve">w</w:t>
      </w:r>
      <w:r>
        <w:t xml:space="preserve">₃ — задані в конфігурації ваги. За замовчуванням використано</w:t>
      </w:r>
      <w:r>
        <w:t xml:space="preserve"> </w:t>
      </w:r>
      <w:r>
        <w:rPr>
          <w:iCs/>
          <w:i/>
        </w:rPr>
        <w:t xml:space="preserve">w</w:t>
      </w:r>
      <w:r>
        <w:t xml:space="preserve">₁ = 0.50,</w:t>
      </w:r>
      <w:r>
        <w:t xml:space="preserve"> </w:t>
      </w:r>
      <w:r>
        <w:rPr>
          <w:iCs/>
          <w:i/>
        </w:rPr>
        <w:t xml:space="preserve">w</w:t>
      </w:r>
      <w:r>
        <w:t xml:space="preserve">₂ = 0.30,</w:t>
      </w:r>
      <w:r>
        <w:t xml:space="preserve"> </w:t>
      </w:r>
      <w:r>
        <w:rPr>
          <w:iCs/>
          <w:i/>
        </w:rPr>
        <w:t xml:space="preserve">w</w:t>
      </w:r>
      <w:r>
        <w:t xml:space="preserve">₃ = 0.20, що відображає вагу внутрішньокогортного сигналу як найунікальнішого для досліджуваної предметної області.</w:t>
      </w:r>
    </w:p>
    <w:p>
      <w:pPr>
        <w:pStyle w:val="BodyText"/>
      </w:pPr>
      <w:r>
        <w:t xml:space="preserve">Нормування кожної оцінки виконується методом мінімум–максимум у межах поточного завдання. Це означає, що ранг має сенс лише як впорядкування всередині однієї перевірки, а не як універсальний показник «доброчесності». Інтерфейс підкреслює цю обставину: під шкалою ранжування у дашборді розміщено пояснення, що ранг 1.0 означає «у цьому завданні найбільше підстав для уваги серед поданих сабмішнів», а не «робота є плагіатом».</w:t>
      </w:r>
    </w:p>
    <w:p>
      <w:pPr>
        <w:pStyle w:val="BodyText"/>
      </w:pPr>
      <w:r>
        <w:t xml:space="preserve">Окремо реалізовано можливість пересортувати дашборд за окремим сигналом — для випадків, коли викладача найперше цікавлять, наприклад, лише ознаки недбалого використання моделі.</w:t>
      </w:r>
    </w:p>
    <w:bookmarkEnd w:id="57"/>
    <w:bookmarkStart w:id="58" w:name="інтерфейс-викладача"/>
    <w:p>
      <w:pPr>
        <w:pStyle w:val="Heading2"/>
      </w:pPr>
      <w:r>
        <w:t xml:space="preserve">5.3 Інтерфейс викладача</w:t>
      </w:r>
    </w:p>
    <w:p>
      <w:pPr>
        <w:pStyle w:val="FirstParagraph"/>
      </w:pPr>
      <w:r>
        <w:t xml:space="preserve">Інтерфейс побудований на фреймворку Streamlit [31].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pStyle w:val="BodyText"/>
      </w:pPr>
      <w:r>
        <w:t xml:space="preserve">—</w:t>
      </w:r>
      <w:r>
        <w:t xml:space="preserve"> </w:t>
      </w:r>
      <w:r>
        <w:rPr>
          <w:bCs/>
          <w:b/>
        </w:rPr>
        <w:t xml:space="preserve">Головна сторінка</w:t>
      </w:r>
      <w:r>
        <w:t xml:space="preserve"> </w:t>
      </w:r>
      <w:r>
        <w:t xml:space="preserve">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pStyle w:val="BodyText"/>
      </w:pPr>
      <w:r>
        <w:t xml:space="preserve">—</w:t>
      </w:r>
      <w:r>
        <w:t xml:space="preserve"> </w:t>
      </w:r>
      <w:r>
        <w:rPr>
          <w:bCs/>
          <w:b/>
        </w:rPr>
        <w:t xml:space="preserve">Сторінка завдання</w:t>
      </w:r>
      <w:r>
        <w:t xml:space="preserve"> </w:t>
      </w:r>
      <w:r>
        <w:t xml:space="preserve">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pStyle w:val="BodyText"/>
      </w:pPr>
      <w:r>
        <w:t xml:space="preserve">—</w:t>
      </w:r>
      <w:r>
        <w:t xml:space="preserve"> </w:t>
      </w:r>
      <w:r>
        <w:rPr>
          <w:bCs/>
          <w:b/>
        </w:rPr>
        <w:t xml:space="preserve">Сторінка сабмішну</w:t>
      </w:r>
      <w:r>
        <w:t xml:space="preserve"> </w:t>
      </w:r>
      <w:r>
        <w:t xml:space="preserve">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pStyle w:val="BodyText"/>
      </w:pPr>
      <w:r>
        <w:t xml:space="preserve">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tbl>
      <w:tblPr>
        <w:tblStyle w:val="FigureTable"/>
        <w:tblW w:type="auto" w:w="0"/>
        <w:tblLook w:firstRow="0" w:lastRow="0" w:firstColumn="0" w:lastColumn="0"/>
        <w:jc w:val="center"/>
      </w:tblPr>
      <w:tblGrid>
        <w:gridCol w:w="7920"/>
      </w:tblGrid>
      <w:tr>
        <w:tc>
          <w:tcPr/>
          <w:p>
            <w:pPr>
              <w:pStyle w:val="Compact"/>
              <w:jc w:val="center"/>
            </w:pPr>
            <w:r>
              <w:t xml:space="preserve">Рисунок 5.1 — Сторінка завдання: ранжована таблиця сабмішнів</w:t>
            </w:r>
          </w:p>
        </w:tc>
      </w:tr>
    </w:tbl>
    <w:p>
      <w:pPr>
        <w:pStyle w:val="ImageCaption"/>
      </w:pPr>
      <w:r>
        <w:t xml:space="preserve">Рисунок 5.1 — Сторінка завдання: ранжована таблиця сабмішнів</w:t>
      </w:r>
    </w:p>
    <w:tbl>
      <w:tblPr>
        <w:tblStyle w:val="FigureTable"/>
        <w:tblW w:type="auto" w:w="0"/>
        <w:tblLook w:firstRow="0" w:lastRow="0" w:firstColumn="0" w:lastColumn="0"/>
        <w:jc w:val="center"/>
      </w:tblPr>
      <w:tblGrid>
        <w:gridCol w:w="7920"/>
      </w:tblGrid>
      <w:tr>
        <w:tc>
          <w:tcPr/>
          <w:p>
            <w:pPr>
              <w:pStyle w:val="Compact"/>
              <w:jc w:val="center"/>
            </w:pPr>
            <w:r>
              <w:t xml:space="preserve">Рисунок 5.2 — Сторінка сабмішну: підсвічені спани й перелік доказів</w:t>
            </w:r>
          </w:p>
        </w:tc>
      </w:tr>
    </w:tbl>
    <w:p>
      <w:pPr>
        <w:pStyle w:val="ImageCaption"/>
      </w:pPr>
      <w:r>
        <w:t xml:space="preserve">Рисунок 5.2 — Сторінка сабмішну: підсвічені спани й перелік доказів</w:t>
      </w:r>
    </w:p>
    <w:bookmarkEnd w:id="58"/>
    <w:bookmarkStart w:id="59" w:name="системний-експеримент-і-метрики"/>
    <w:p>
      <w:pPr>
        <w:pStyle w:val="Heading2"/>
      </w:pPr>
      <w:r>
        <w:t xml:space="preserve">5.4 Системний експеримент і метрики</w:t>
      </w:r>
    </w:p>
    <w:p>
      <w:pPr>
        <w:pStyle w:val="FirstParagraph"/>
      </w:pPr>
      <w:r>
        <w:t xml:space="preserve">Системне оцінювання інструменту виконується на синтетичному завданні, у якому свідомо змішано чотири типи робіт:</w:t>
      </w:r>
    </w:p>
    <w:p>
      <w:pPr>
        <w:pStyle w:val="BodyText"/>
      </w:pPr>
      <w:r>
        <w:t xml:space="preserve">— чисті, незалежно написані тексти, узяті з людської частини HC3;</w:t>
      </w:r>
    </w:p>
    <w:p>
      <w:pPr>
        <w:pStyle w:val="BodyText"/>
      </w:pPr>
      <w:r>
        <w:t xml:space="preserve">— тексти, що повністю походять з виходу мовної моделі (без редагування), з машинної частини M4;</w:t>
      </w:r>
    </w:p>
    <w:p>
      <w:pPr>
        <w:pStyle w:val="BodyText"/>
      </w:pPr>
      <w:r>
        <w:t xml:space="preserve">— парні роботи, у яких одну роботу перепарафразовано з іншої (моделлю невеликої версії, відмінної від тих, що породжували M4), щоб імітувати студентську колаборацію;</w:t>
      </w:r>
    </w:p>
    <w:p>
      <w:pPr>
        <w:pStyle w:val="BodyText"/>
      </w:pPr>
      <w:r>
        <w:t xml:space="preserve">— роботи з фрагментами, дослівно скопійованими з відкритих веб-джерел; для цього з оригінальних людських текстів випадково замінюються частини тексту на витяги з відкритих сторінок.</w:t>
      </w:r>
    </w:p>
    <w:p>
      <w:pPr>
        <w:pStyle w:val="BodyText"/>
      </w:pPr>
      <w:r>
        <w:t xml:space="preserve">Кожен сабмішн отримує одну з міток: чиста, ai_paste, peer_paraphrase, web_copy. Інструмент запускається на всьому наборі; обчислюється:</w:t>
      </w:r>
    </w:p>
    <w:p>
      <w:pPr>
        <w:pStyle w:val="BodyText"/>
      </w:pPr>
      <w:r>
        <w:t xml:space="preserve">—</w:t>
      </w:r>
      <w:r>
        <w:t xml:space="preserve"> </w:t>
      </w:r>
      <w:r>
        <w:rPr>
          <w:bCs/>
          <w:b/>
        </w:rPr>
        <w:t xml:space="preserve">точність на k</w:t>
      </w:r>
      <w:r>
        <w:t xml:space="preserve"> </w:t>
      </w:r>
      <w:r>
        <w:t xml:space="preserve">(P@k) — частка дійсно підозрілих робіт серед k сабмішнів з найвищим рангом;</w:t>
      </w:r>
    </w:p>
    <w:p>
      <w:pPr>
        <w:pStyle w:val="BodyText"/>
      </w:pPr>
      <w:r>
        <w:t xml:space="preserve">—</w:t>
      </w:r>
      <w:r>
        <w:t xml:space="preserve"> </w:t>
      </w:r>
      <w:r>
        <w:rPr>
          <w:bCs/>
          <w:b/>
        </w:rPr>
        <w:t xml:space="preserve">середній обернений ранг</w:t>
      </w:r>
      <w:r>
        <w:t xml:space="preserve"> </w:t>
      </w:r>
      <w:r>
        <w:t xml:space="preserve">першої дійсно підозрілої роботи;</w:t>
      </w:r>
    </w:p>
    <w:p>
      <w:pPr>
        <w:pStyle w:val="BodyText"/>
      </w:pPr>
      <w:r>
        <w:t xml:space="preserve">—</w:t>
      </w:r>
      <w:r>
        <w:t xml:space="preserve"> </w:t>
      </w:r>
      <w:r>
        <w:rPr>
          <w:bCs/>
          <w:b/>
        </w:rPr>
        <w:t xml:space="preserve">NDCG@k</w:t>
      </w:r>
      <w:r>
        <w:t xml:space="preserve">, обчислений з релевантністю 1 для підозрілих і 0 для чистих.</w:t>
      </w:r>
    </w:p>
    <w:p>
      <w:pPr>
        <w:pStyle w:val="BodyText"/>
      </w:pPr>
      <w:r>
        <w:t xml:space="preserve">Скелет таблиці результатів подано в таблиці 5.1.</w:t>
      </w:r>
    </w:p>
    <w:p>
      <w:pPr>
        <w:pStyle w:val="BodyText"/>
      </w:pPr>
      <w:r>
        <w:t xml:space="preserve">Таблиця 5.1 — Скелет таблиці метрик системного оцінювання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Метрика</w:t>
            </w:r>
          </w:p>
        </w:tc>
        <w:tc>
          <w:tcPr/>
          <w:p>
            <w:pPr>
              <w:pStyle w:val="Compact"/>
              <w:jc w:val="left"/>
            </w:pPr>
            <w:r>
              <w:t xml:space="preserve">k = 3</w:t>
            </w:r>
          </w:p>
        </w:tc>
        <w:tc>
          <w:tcPr/>
          <w:p>
            <w:pPr>
              <w:pStyle w:val="Compact"/>
              <w:jc w:val="left"/>
            </w:pPr>
            <w:r>
              <w:t xml:space="preserve">k = 5</w:t>
            </w:r>
          </w:p>
        </w:tc>
        <w:tc>
          <w:tcPr/>
          <w:p>
            <w:pPr>
              <w:pStyle w:val="Compact"/>
              <w:jc w:val="left"/>
            </w:pPr>
            <w:r>
              <w:t xml:space="preserve">k = 10</w:t>
            </w:r>
          </w:p>
        </w:tc>
      </w:tr>
      <w:tr>
        <w:tc>
          <w:tcPr/>
          <w:p>
            <w:pPr>
              <w:pStyle w:val="Compact"/>
              <w:jc w:val="left"/>
            </w:pPr>
            <w:r>
              <w:t xml:space="preserve">P@k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NDCG@k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MRR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Частка хибних в топ-3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Значення в комірках буде заповнено після прогону</w:t>
      </w:r>
      <w:r>
        <w:rPr>
          <w:iCs/>
          <w:i/>
        </w:rPr>
        <w:t xml:space="preserve"> </w:t>
      </w:r>
      <w:r>
        <w:rPr>
          <w:rStyle w:val="VerbatimChar"/>
          <w:iCs/>
          <w:i/>
        </w:rPr>
        <w:t xml:space="preserve">python -m eval.run_eval --system mixed</w:t>
      </w:r>
      <w:r>
        <w:rPr>
          <w:iCs/>
          <w:i/>
        </w:rPr>
        <w:t xml:space="preserve">.</w:t>
      </w:r>
    </w:p>
    <w:p>
      <w:pPr>
        <w:pStyle w:val="BodyText"/>
      </w:pPr>
      <w:r>
        <w:t xml:space="preserve">Окремо передбачено диференційований аналіз: точність на k за типом мітки, що дозволяє побачити, чи піднімає інструмент усі категорії підозрілих робіт або переважно один тип. Очікується, що:</w:t>
      </w:r>
    </w:p>
    <w:p>
      <w:pPr>
        <w:pStyle w:val="BodyText"/>
      </w:pPr>
      <w:r>
        <w:t xml:space="preserve">— роботи з міткою ai_paste підніматимуться в основному за рахунок таксономії (розділ 4);</w:t>
      </w:r>
    </w:p>
    <w:p>
      <w:pPr>
        <w:pStyle w:val="BodyText"/>
      </w:pPr>
      <w:r>
        <w:t xml:space="preserve">— роботи з міткою peer_paraphrase — за рахунок когортного каналу (розділ 3);</w:t>
      </w:r>
    </w:p>
    <w:p>
      <w:pPr>
        <w:pStyle w:val="BodyText"/>
      </w:pPr>
      <w:r>
        <w:t xml:space="preserve">— роботи з міткою web_copy — за рахунок зовнішнього сигналу (підрозділ 5.1).</w:t>
      </w:r>
    </w:p>
    <w:p>
      <w:pPr>
        <w:pStyle w:val="BodyText"/>
      </w:pPr>
      <w:r>
        <w:t xml:space="preserve">Такий поділ відповідальності між каналами є додатковим аргументом на користь посигнальної архітектури: жоден окремий канал не міг би покрити всі три категорії одразу, тоді як їхній сукупний рейтинг охоплює всі три.</w:t>
      </w:r>
    </w:p>
    <w:bookmarkEnd w:id="59"/>
    <w:bookmarkStart w:id="60" w:name="обмеження-та-подальша-робота"/>
    <w:p>
      <w:pPr>
        <w:pStyle w:val="Heading2"/>
      </w:pPr>
      <w:r>
        <w:t xml:space="preserve">5.5 Обмеження та подальша робота</w:t>
      </w:r>
    </w:p>
    <w:p>
      <w:pPr>
        <w:pStyle w:val="FirstParagraph"/>
      </w:pPr>
      <w:r>
        <w:t xml:space="preserve">Серед перших напрямків подальшого розвитку — підтримка україномовних сабмішнів. На рівні архітектури основна зміна полягає в заміні моделі речення-ембеддингів на багатомовну (LaBSE або XLM-R [20]) і в перерахуванні правил типографічної категорії таксономії під українську мову. Перший крок передбачає побудову невеликого україномовного оцінювального корпусу — імовірно, ~100 пар «людина — модель» для початкових експериментів. Через брак готового україномовного аналогу HC3 такий корпус доведеться зібрати самостійно.</w:t>
      </w:r>
    </w:p>
    <w:p>
      <w:pPr>
        <w:pStyle w:val="BodyText"/>
      </w:pPr>
      <w:r>
        <w:t xml:space="preserve">Серед інших напрямків:</w:t>
      </w:r>
    </w:p>
    <w:p>
      <w:pPr>
        <w:pStyle w:val="BodyText"/>
      </w:pPr>
      <w:r>
        <w:t xml:space="preserve">— перехід на серверне розгортання з PostgreSQL для випадків кафедральної або факультетської інсталяції;</w:t>
      </w:r>
    </w:p>
    <w:p>
      <w:pPr>
        <w:pStyle w:val="BodyText"/>
      </w:pPr>
      <w:r>
        <w:t xml:space="preserve">— інтеграція з системами керування навчанням, відмінними від Google Classroom (Moodle, Canvas);</w:t>
      </w:r>
    </w:p>
    <w:p>
      <w:pPr>
        <w:pStyle w:val="BodyText"/>
      </w:pPr>
      <w:r>
        <w:t xml:space="preserve">— розширення каналу когортного порівняння на текст і код одночасно через комбіноване вирівнювання, що зіставляє підсвічені спани в письмовій частині зі відповідними частинами коду;</w:t>
      </w:r>
    </w:p>
    <w:p>
      <w:pPr>
        <w:pStyle w:val="BodyText"/>
      </w:pPr>
      <w:r>
        <w:t xml:space="preserve">— автоматичне підтримування таксономії правил у міру зміни поведінки наявних мовних моделей: правила, для яких точність на свіжому корпусі впала нижче за поріг, повинні автоматично деактивуватися й потрапляти в чергу на перегляд.</w:t>
      </w:r>
    </w:p>
    <w:p>
      <w:pPr>
        <w:pStyle w:val="BodyText"/>
      </w:pPr>
      <w:r>
        <w:t xml:space="preserve">Серед обмежень, які зберігаються незмінно за побудовою інструменту:</w:t>
      </w:r>
    </w:p>
    <w:p>
      <w:pPr>
        <w:pStyle w:val="BodyText"/>
      </w:pPr>
      <w:r>
        <w:t xml:space="preserve">— інструмент не виявить ретельно відредагованого виходу мовної моделі; ця обставина не є хибою саме цього засобу, вона теоретично обґрунтована в [24];</w:t>
      </w:r>
    </w:p>
    <w:p>
      <w:pPr>
        <w:pStyle w:val="BodyText"/>
      </w:pPr>
      <w:r>
        <w:t xml:space="preserve">— інструмент не дає кінцевого вироку про доброчесність роботи; його завдання — звузити коло сабмішнів, які варто переглянути;</w:t>
      </w:r>
    </w:p>
    <w:p>
      <w:pPr>
        <w:pStyle w:val="BodyText"/>
      </w:pPr>
      <w:r>
        <w:t xml:space="preserve">— інструмент не охоплює сорсів програм; для цього потрібна окрема інтеграція з Moss, JPlag або Dolos [9; 10; 11], яка планується як супутній артефакт, але виходить за межі цієї роботи.</w:t>
      </w:r>
    </w:p>
    <w:bookmarkEnd w:id="60"/>
    <w:bookmarkEnd w:id="61"/>
    <w:bookmarkStart w:id="62" w:name="висновки"/>
    <w:p>
      <w:pPr>
        <w:pStyle w:val="Heading1"/>
      </w:pPr>
      <w:r>
        <w:t xml:space="preserve">ВИСНОВКИ</w:t>
      </w:r>
    </w:p>
    <w:p>
      <w:pPr>
        <w:pStyle w:val="FirstParagraph"/>
      </w:pPr>
      <w:r>
        <w:t xml:space="preserve">У роботі розглянуто задачу автоматизованої перевірки письмових сабмішнів студентів у курсах із програмування, поданих через сервіс Google Classroom. Виявлено, що наявні комерційні засоби перевірки тексту покривають лише сегмент задач, пов’язаних із пошуком збігів у відкритому вебі, але не охоплюють перевірки на подібність між сабмішнами одного завдання чи між сабмішнами різних семестрів; засоби перевірки коду на кшталт Moss, JPlag і Dolos працюють з іншим типом артефактів і не зачіпають супутніх пояснювальних текстів; а наявні детектори машинно-згенерованого тексту мають істотні обмеження в точності й системно несправедливі стосовно певних груп авторів. Сполучення цих обставин формує операційну прогалину, яку покликаний усунути запропонований у роботі засіб.</w:t>
      </w:r>
    </w:p>
    <w:p>
      <w:pPr>
        <w:pStyle w:val="BodyText"/>
      </w:pPr>
      <w:r>
        <w:t xml:space="preserve">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pStyle w:val="BodyText"/>
      </w:pPr>
      <w:r>
        <w:t xml:space="preserve">Розроблено двоканальну схему внутрішньокогортного порівняння. Канал точного збігу побудований на класичній комбінації k-шинглінгу, MinHash і LSH і ефективно знаходить дослівні й близькі до дослівних запозичення. Канал парафразу побудований на речення-ембеддингах із моделі sentence-transformers і наближеному пошуку найближчих сусідів через FAISS, що дозволяє виявляти переписані фрагменти, які не покриває перший канал. Канали зведені на рівні модуля об’єднання доказів, що повертає по парі сабмішнів узгоджений звіт з підсвіченими спанами.</w:t>
      </w:r>
    </w:p>
    <w:p>
      <w:pPr>
        <w:pStyle w:val="BodyText"/>
      </w:pPr>
      <w:r>
        <w:t xml:space="preserve">Запропоновано таксономію правил для виявлення характерних ознак недбалого використання великих мовних моделей. Таксономія охоплює п’ять категорій артефактів: преамбули та службові фрази, відмови, шаблонні дискурсивні структури, типографічні аномалії, самовикривальні ремарки. Правила реалізовані як дані, а не як код, що дозволяє безболісно вводити нові правила в міру зміни поведінки наявних моделей. Кожне правило супроводжується вимірюваною точністю на стандартних корпусах HC3 і M4; правила з точністю нижче за встановлений поріг не активуються в продуктивному режимі.</w:t>
      </w:r>
    </w:p>
    <w:p>
      <w:pPr>
        <w:pStyle w:val="BodyText"/>
      </w:pPr>
      <w:r>
        <w:t xml:space="preserve">Описано схему ранжування сабмішнів як прозоро задокументованого зваженого об’єднання сигналів.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Сформульовано протокол системного оцінювання інструменту на синтетичному завданні зі змішаних категорій сабмішнів і обрано метрики точності на k, NDCG та MRR.</w:t>
      </w:r>
    </w:p>
    <w:p>
      <w:pPr>
        <w:pStyle w:val="BodyText"/>
      </w:pPr>
      <w:r>
        <w:t xml:space="preserve">Серед обмежень виявленого підходу: інструмент не виявить ретельно відредагованого виходу мовної моделі; цьому факту дано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Інструмент у поточній реалізації не охоплює сорсів програм; цей напрям розглянутий як перспективний.</w:t>
      </w:r>
    </w:p>
    <w:p>
      <w:pPr>
        <w:pStyle w:val="BodyText"/>
      </w:pPr>
      <w:r>
        <w:t xml:space="preserve">Запропонований засіб може бути використаний викладачами факультету комп’ютерних наук та кібернетики для попередньої перевірки письмових сабмішнів у курсах із програмування. Подальша робота передбачає підтримку україномовних сабмішнів через перехід на багатомовну модель речення-ембеддингів, інтеграцію з кафедральним сховищем для багатосеместрового режиму, інтеграцію з системами керування навчанням, відмінними від Google Classroom, а також автоматичне поновлення таксономії правил у міру зміни поведінки сучасних мовних моделей.</w:t>
      </w:r>
    </w:p>
    <w:bookmarkEnd w:id="62"/>
    <w:bookmarkStart w:id="63" w:name="перелік-джерел-посилання"/>
    <w:p>
      <w:pPr>
        <w:pStyle w:val="Heading1"/>
      </w:pPr>
      <w:r>
        <w:t xml:space="preserve">ПЕРЕЛІК ДЖЕРЕЛ ПОСИЛАННЯ</w:t>
      </w:r>
    </w:p>
    <w:p>
      <w:pPr>
        <w:numPr>
          <w:ilvl w:val="0"/>
          <w:numId w:val="1004"/>
        </w:numPr>
      </w:pPr>
      <w:r>
        <w:t xml:space="preserve">Про вищу освіту: Закон України від 01.07.2014 № 1556-VII.</w:t>
      </w:r>
      <w:r>
        <w:t xml:space="preserve"> </w:t>
      </w:r>
      <w:r>
        <w:rPr>
          <w:iCs/>
          <w:i/>
        </w:rPr>
        <w:t xml:space="preserve">Відомості Верховної Ради України</w:t>
      </w:r>
      <w:r>
        <w:t xml:space="preserve">. 2014. № 37–38. Ст. 2004.</w:t>
      </w:r>
    </w:p>
    <w:p>
      <w:pPr>
        <w:numPr>
          <w:ilvl w:val="0"/>
          <w:numId w:val="1004"/>
        </w:numPr>
      </w:pPr>
      <w:r>
        <w:t xml:space="preserve">Про освіту: Закон України від 05.09.2017 № 2145-VIII.</w:t>
      </w:r>
      <w:r>
        <w:t xml:space="preserve"> </w:t>
      </w:r>
      <w:r>
        <w:rPr>
          <w:iCs/>
          <w:i/>
        </w:rPr>
        <w:t xml:space="preserve">Відомості Верховної Ради України</w:t>
      </w:r>
      <w:r>
        <w:t xml:space="preserve">. 2017. № 38–39. Ст. 380.</w:t>
      </w:r>
    </w:p>
    <w:p>
      <w:pPr>
        <w:numPr>
          <w:ilvl w:val="0"/>
          <w:numId w:val="1004"/>
        </w:numPr>
      </w:pPr>
      <w:r>
        <w:t xml:space="preserve">ДСТУ 8302:2015. Інформація та документація. Бібліографічне посилання. Загальні положення та правила складання. Київ: ДП «УкрНДНЦ», 2016. 17 с.</w:t>
      </w:r>
    </w:p>
    <w:p>
      <w:pPr>
        <w:numPr>
          <w:ilvl w:val="0"/>
          <w:numId w:val="1004"/>
        </w:numPr>
      </w:pPr>
      <w:r>
        <w:t xml:space="preserve">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numPr>
          <w:ilvl w:val="0"/>
          <w:numId w:val="1004"/>
        </w:numPr>
      </w:pPr>
      <w:r>
        <w:t xml:space="preserve">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numPr>
          <w:ilvl w:val="0"/>
          <w:numId w:val="1004"/>
        </w:numPr>
      </w:pPr>
      <w:r>
        <w:t xml:space="preserve">Broder A. Z. On the resemblance and containment of documents.</w:t>
      </w:r>
      <w:r>
        <w:t xml:space="preserve"> </w:t>
      </w:r>
      <w:r>
        <w:rPr>
          <w:iCs/>
          <w:i/>
        </w:rPr>
        <w:t xml:space="preserve">Proceedings of the Compression and Complexity of Sequences 1997 (SEQUENCES’97)</w:t>
      </w:r>
      <w:r>
        <w:t xml:space="preserve">. IEEE Computer Society, 1997. P. 21–29.</w:t>
      </w:r>
    </w:p>
    <w:p>
      <w:pPr>
        <w:numPr>
          <w:ilvl w:val="0"/>
          <w:numId w:val="1004"/>
        </w:numPr>
      </w:pPr>
      <w:r>
        <w:t xml:space="preserve">Indyk P., Motwani R. Approximate nearest neighbors: towards removing the curse of dimensionality.</w:t>
      </w:r>
      <w:r>
        <w:t xml:space="preserve"> </w:t>
      </w:r>
      <w:r>
        <w:rPr>
          <w:iCs/>
          <w:i/>
        </w:rPr>
        <w:t xml:space="preserve">Proceedings of the 30th annual ACM symposium on Theory of Computing (STOC’98)</w:t>
      </w:r>
      <w:r>
        <w:t xml:space="preserve">. ACM, 1998. P. 604–613.</w:t>
      </w:r>
    </w:p>
    <w:p>
      <w:pPr>
        <w:numPr>
          <w:ilvl w:val="0"/>
          <w:numId w:val="1004"/>
        </w:numPr>
      </w:pPr>
      <w:r>
        <w:t xml:space="preserve">Manber U. Finding Similar Files in a Large File System.</w:t>
      </w:r>
      <w:r>
        <w:t xml:space="preserve"> </w:t>
      </w:r>
      <w:r>
        <w:rPr>
          <w:iCs/>
          <w:i/>
        </w:rPr>
        <w:t xml:space="preserve">Proceedings of the USENIX Winter 1994 Technical Conference</w:t>
      </w:r>
      <w:r>
        <w:t xml:space="preserve">. USENIX Association, 1994. P. 1–10.</w:t>
      </w:r>
    </w:p>
    <w:p>
      <w:pPr>
        <w:numPr>
          <w:ilvl w:val="0"/>
          <w:numId w:val="1004"/>
        </w:numPr>
      </w:pPr>
      <w:r>
        <w:t xml:space="preserve">Schleimer S., Wilkerson D. S., Aiken A. Winnowing: local algorithms for document fingerprinting.</w:t>
      </w:r>
      <w:r>
        <w:t xml:space="preserve"> </w:t>
      </w:r>
      <w:r>
        <w:rPr>
          <w:iCs/>
          <w:i/>
        </w:rPr>
        <w:t xml:space="preserve">Proceedings of the 2003 ACM SIGMOD International Conference on Management of Data</w:t>
      </w:r>
      <w:r>
        <w:t xml:space="preserve">. ACM, 2003. P. 76–85.</w:t>
      </w:r>
    </w:p>
    <w:p>
      <w:pPr>
        <w:numPr>
          <w:ilvl w:val="0"/>
          <w:numId w:val="1004"/>
        </w:numPr>
      </w:pPr>
      <w:r>
        <w:t xml:space="preserve">Prechelt L., Malpohl G., Philippsen M. Finding Plagiarisms among a Set of Programs with JPlag.</w:t>
      </w:r>
      <w:r>
        <w:t xml:space="preserve"> </w:t>
      </w:r>
      <w:r>
        <w:rPr>
          <w:iCs/>
          <w:i/>
        </w:rPr>
        <w:t xml:space="preserve">Journal of Universal Computer Science</w:t>
      </w:r>
      <w:r>
        <w:t xml:space="preserve">. 2002. Vol. 8, № 11. P. 1016–1038.</w:t>
      </w:r>
    </w:p>
    <w:p>
      <w:pPr>
        <w:numPr>
          <w:ilvl w:val="0"/>
          <w:numId w:val="1004"/>
        </w:numPr>
      </w:pPr>
      <w:r>
        <w:t xml:space="preserve">Maertens R., Van Petegem C., Strijbol N., Baeyens T., Jacobs A. C., Dawyndt P., Mesuere B. Dolos: Language-agnostic plagiarism detection in source code.</w:t>
      </w:r>
      <w:r>
        <w:t xml:space="preserve"> </w:t>
      </w:r>
      <w:r>
        <w:rPr>
          <w:iCs/>
          <w:i/>
        </w:rPr>
        <w:t xml:space="preserve">Journal of Computer Assisted Learning</w:t>
      </w:r>
      <w:r>
        <w:t xml:space="preserve">. 2022. Vol. 38, № 4. P. 1046–1061.</w:t>
      </w:r>
    </w:p>
    <w:p>
      <w:pPr>
        <w:numPr>
          <w:ilvl w:val="0"/>
          <w:numId w:val="1004"/>
        </w:numPr>
      </w:pPr>
      <w:r>
        <w:t xml:space="preserve">Maurer H., Kappe F., Zaka B. Plagiarism — A Survey.</w:t>
      </w:r>
      <w:r>
        <w:t xml:space="preserve"> </w:t>
      </w:r>
      <w:r>
        <w:rPr>
          <w:iCs/>
          <w:i/>
        </w:rPr>
        <w:t xml:space="preserve">Journal of Universal Computer Science</w:t>
      </w:r>
      <w:r>
        <w:t xml:space="preserve">. 2006. Vol. 12, № 8. P. 1050–1084.</w:t>
      </w:r>
    </w:p>
    <w:p>
      <w:pPr>
        <w:numPr>
          <w:ilvl w:val="0"/>
          <w:numId w:val="1004"/>
        </w:numPr>
      </w:pPr>
      <w:r>
        <w:t xml:space="preserve">Potthast M., Hagen M., Beyer A., Busse M., Tippmann M., Rosso P., Stein B. Overview of the 6th International Competition on Plagiarism Detection.</w:t>
      </w:r>
      <w:r>
        <w:t xml:space="preserve"> </w:t>
      </w:r>
      <w:r>
        <w:rPr>
          <w:iCs/>
          <w:i/>
        </w:rPr>
        <w:t xml:space="preserve">CLEF 2014 Working Notes</w:t>
      </w:r>
      <w:r>
        <w:t xml:space="preserve">. CEUR-WS, 2014. Vol. 1180. P. 845–876.</w:t>
      </w:r>
    </w:p>
    <w:p>
      <w:pPr>
        <w:numPr>
          <w:ilvl w:val="0"/>
          <w:numId w:val="1004"/>
        </w:numPr>
      </w:pPr>
      <w:r>
        <w:t xml:space="preserve">Stein B., Meyer zu Eißen S. Intrinsic Plagiarism Analysis with Meta Learning.</w:t>
      </w:r>
      <w:r>
        <w:t xml:space="preserve"> </w:t>
      </w:r>
      <w:r>
        <w:rPr>
          <w:iCs/>
          <w:i/>
        </w:rPr>
        <w:t xml:space="preserve">SIGIR Workshop on Plagiarism Analysis, Authorship Identification, and Near-Duplicate Detection</w:t>
      </w:r>
      <w:r>
        <w:t xml:space="preserve">. 2007. P. 45–50.</w:t>
      </w:r>
    </w:p>
    <w:p>
      <w:pPr>
        <w:numPr>
          <w:ilvl w:val="0"/>
          <w:numId w:val="1004"/>
        </w:numPr>
      </w:pPr>
      <w:r>
        <w:t xml:space="preserve">Hoad T. C., Zobel J. Methods for identifying versioned and plagiarised documents.</w:t>
      </w:r>
      <w:r>
        <w:t xml:space="preserve"> </w:t>
      </w:r>
      <w:r>
        <w:rPr>
          <w:iCs/>
          <w:i/>
        </w:rPr>
        <w:t xml:space="preserve">Journal of the American Society for Information Science and Technology</w:t>
      </w:r>
      <w:r>
        <w:t xml:space="preserve">. 2003. Vol. 54, № 3. P. 203–215.</w:t>
      </w:r>
    </w:p>
    <w:p>
      <w:pPr>
        <w:numPr>
          <w:ilvl w:val="0"/>
          <w:numId w:val="1004"/>
        </w:numPr>
      </w:pPr>
      <w:r>
        <w:t xml:space="preserve">Vaswani A., Shazeer N., Parmar N., Uszkoreit J., Jones L., Gomez A. N., Kaiser Ł., Polosukhin I. Attention Is All You Need.</w:t>
      </w:r>
      <w:r>
        <w:t xml:space="preserve"> </w:t>
      </w:r>
      <w:r>
        <w:rPr>
          <w:iCs/>
          <w:i/>
        </w:rPr>
        <w:t xml:space="preserve">Advances in Neural Information Processing Systems 30 (NeurIPS 2017)</w:t>
      </w:r>
      <w:r>
        <w:t xml:space="preserve">. 2017. P. 5998–6008.</w:t>
      </w:r>
    </w:p>
    <w:p>
      <w:pPr>
        <w:numPr>
          <w:ilvl w:val="0"/>
          <w:numId w:val="1004"/>
        </w:numPr>
      </w:pPr>
      <w:r>
        <w:t xml:space="preserve">Devlin J., Chang M.-W., Lee K., Toutanova K. BERT: Pre-training of Deep Bidirectional Transformers for Language Understanding.</w:t>
      </w:r>
      <w:r>
        <w:t xml:space="preserve"> </w:t>
      </w:r>
      <w:r>
        <w:rPr>
          <w:iCs/>
          <w:i/>
        </w:rPr>
        <w:t xml:space="preserve">Proceedings of NAACL-HLT 2019</w:t>
      </w:r>
      <w:r>
        <w:t xml:space="preserve">. ACL, 2019. P. 4171–4186.</w:t>
      </w:r>
    </w:p>
    <w:p>
      <w:pPr>
        <w:numPr>
          <w:ilvl w:val="0"/>
          <w:numId w:val="1004"/>
        </w:numPr>
      </w:pPr>
      <w:r>
        <w:t xml:space="preserve">Reimers N., Gurevych I. Sentence-BERT: Sentence Embeddings using Siamese BERT-Networks.</w:t>
      </w:r>
      <w:r>
        <w:t xml:space="preserve"> </w:t>
      </w:r>
      <w:r>
        <w:rPr>
          <w:iCs/>
          <w:i/>
        </w:rPr>
        <w:t xml:space="preserve">Proceedings of EMNLP-IJCNLP 2019</w:t>
      </w:r>
      <w:r>
        <w:t xml:space="preserve">. ACL, 2019. P. 3982–3992.</w:t>
      </w:r>
    </w:p>
    <w:p>
      <w:pPr>
        <w:numPr>
          <w:ilvl w:val="0"/>
          <w:numId w:val="1004"/>
        </w:numPr>
      </w:pPr>
      <w:r>
        <w:t xml:space="preserve">Feng F., Yang Y., Cer D., Arivazhagan N., Wang W. Language-agnostic BERT Sentence Embedding.</w:t>
      </w:r>
      <w:r>
        <w:t xml:space="preserve"> </w:t>
      </w:r>
      <w:r>
        <w:rPr>
          <w:iCs/>
          <w:i/>
        </w:rPr>
        <w:t xml:space="preserve">Proceedings of ACL 2022</w:t>
      </w:r>
      <w:r>
        <w:t xml:space="preserve">. ACL, 2022. P. 878–891.</w:t>
      </w:r>
    </w:p>
    <w:p>
      <w:pPr>
        <w:numPr>
          <w:ilvl w:val="0"/>
          <w:numId w:val="1004"/>
        </w:numPr>
      </w:pPr>
      <w:r>
        <w:t xml:space="preserve">Conneau A., Khandelwal K., Goyal N., Chaudhary V., Wenzek G., Guzmán F., Grave E., Ott M., Zettlemoyer L., Stoyanov V. Unsupervised Cross-lingual Representation Learning at Scale.</w:t>
      </w:r>
      <w:r>
        <w:t xml:space="preserve"> </w:t>
      </w:r>
      <w:r>
        <w:rPr>
          <w:iCs/>
          <w:i/>
        </w:rPr>
        <w:t xml:space="preserve">Proceedings of ACL 2020</w:t>
      </w:r>
      <w:r>
        <w:t xml:space="preserve">. ACL, 2020. P. 8440–8451.</w:t>
      </w:r>
    </w:p>
    <w:p>
      <w:pPr>
        <w:numPr>
          <w:ilvl w:val="0"/>
          <w:numId w:val="1004"/>
        </w:numPr>
      </w:pPr>
      <w:r>
        <w:t xml:space="preserve">Johnson J., Douze M., Jégou H. Billion-scale similarity search with GPUs.</w:t>
      </w:r>
      <w:r>
        <w:t xml:space="preserve"> </w:t>
      </w:r>
      <w:r>
        <w:rPr>
          <w:iCs/>
          <w:i/>
        </w:rPr>
        <w:t xml:space="preserve">IEEE Transactions on Big Data</w:t>
      </w:r>
      <w:r>
        <w:t xml:space="preserve">. 2021. Vol. 7, № 3. P. 535–547.</w:t>
      </w:r>
    </w:p>
    <w:p>
      <w:pPr>
        <w:numPr>
          <w:ilvl w:val="0"/>
          <w:numId w:val="1004"/>
        </w:numPr>
      </w:pPr>
      <w:r>
        <w:t xml:space="preserve">Guo B., Zhang X., Wang Z., Jiang M., Nie J., Ding Y., Yue J., Wu Y. How Close is ChatGPT to Human Experts? Comparison Corpus, Evaluation, and Detection.</w:t>
      </w:r>
      <w:r>
        <w:t xml:space="preserve"> </w:t>
      </w:r>
      <w:r>
        <w:rPr>
          <w:iCs/>
          <w:i/>
        </w:rPr>
        <w:t xml:space="preserve">arXiv preprint arXiv:2301.07597</w:t>
      </w:r>
      <w:r>
        <w:t xml:space="preserve">. 2023.</w:t>
      </w:r>
    </w:p>
    <w:p>
      <w:pPr>
        <w:numPr>
          <w:ilvl w:val="0"/>
          <w:numId w:val="1004"/>
        </w:numPr>
      </w:pPr>
      <w:r>
        <w:t xml:space="preserve">Wang Y., Mansurov J., Ivanov P., Su J., Shelmanov A., Tsvigun A., Whitehouse C., Afzal O. M., Mahmoud T., Aji A. F., Habash N., Gurevych I., Nakov P. M4: Multi-generator, Multi-domain, and Multi-lingual Black-Box Machine-Generated Text Detection.</w:t>
      </w:r>
      <w:r>
        <w:t xml:space="preserve"> </w:t>
      </w:r>
      <w:r>
        <w:rPr>
          <w:iCs/>
          <w:i/>
        </w:rPr>
        <w:t xml:space="preserve">Proceedings of EACL 2024</w:t>
      </w:r>
      <w:r>
        <w:t xml:space="preserve">. ACL, 2024. P. 1369–1407.</w:t>
      </w:r>
    </w:p>
    <w:p>
      <w:pPr>
        <w:numPr>
          <w:ilvl w:val="0"/>
          <w:numId w:val="1004"/>
        </w:numPr>
      </w:pPr>
      <w:r>
        <w:t xml:space="preserve">Sadasivan V. S., Kumar A., Balasubramanian S., Wang W., Feizi S. Can AI-Generated Text be Reliably Detected?</w:t>
      </w:r>
      <w:r>
        <w:t xml:space="preserve"> </w:t>
      </w:r>
      <w:r>
        <w:rPr>
          <w:iCs/>
          <w:i/>
        </w:rPr>
        <w:t xml:space="preserve">arXiv preprint arXiv:2303.11156</w:t>
      </w:r>
      <w:r>
        <w:t xml:space="preserve">. 2023.</w:t>
      </w:r>
    </w:p>
    <w:p>
      <w:pPr>
        <w:numPr>
          <w:ilvl w:val="0"/>
          <w:numId w:val="1004"/>
        </w:numPr>
      </w:pPr>
      <w:r>
        <w:t xml:space="preserve">Mitchell E., Lee Y., Khazatsky A., Manning C. D., Finn C. DetectGPT: Zero-Shot Machine-Generated Text Detection using Probability Curvature.</w:t>
      </w:r>
      <w:r>
        <w:t xml:space="preserve"> </w:t>
      </w:r>
      <w:r>
        <w:rPr>
          <w:iCs/>
          <w:i/>
        </w:rPr>
        <w:t xml:space="preserve">Proceedings of ICML 2023</w:t>
      </w:r>
      <w:r>
        <w:t xml:space="preserve">. PMLR, 2023. Vol. 202. P. 24950–24962.</w:t>
      </w:r>
    </w:p>
    <w:p>
      <w:pPr>
        <w:numPr>
          <w:ilvl w:val="0"/>
          <w:numId w:val="1004"/>
        </w:numPr>
      </w:pPr>
      <w:r>
        <w:t xml:space="preserve">Liang W., Yuksekgonul M., Mao Y., Wu E., Zou J. GPT detectors are biased against non-native English writers.</w:t>
      </w:r>
      <w:r>
        <w:t xml:space="preserve"> </w:t>
      </w:r>
      <w:r>
        <w:rPr>
          <w:iCs/>
          <w:i/>
        </w:rPr>
        <w:t xml:space="preserve">Patterns</w:t>
      </w:r>
      <w:r>
        <w:t xml:space="preserve">. 2023. Vol. 4, № 7. Article 100779.</w:t>
      </w:r>
    </w:p>
    <w:p>
      <w:pPr>
        <w:numPr>
          <w:ilvl w:val="0"/>
          <w:numId w:val="1004"/>
        </w:numPr>
      </w:pPr>
      <w:r>
        <w:t xml:space="preserve">He X., Shen X., Chen Z., Backes M., Zhang Y. MGTBench: Benchmarking Machine-Generated Text Detection.</w:t>
      </w:r>
      <w:r>
        <w:t xml:space="preserve"> </w:t>
      </w:r>
      <w:r>
        <w:rPr>
          <w:iCs/>
          <w:i/>
        </w:rPr>
        <w:t xml:space="preserve">Proceedings of the 2024 ACM SIGSAC Conference on Computer and Communications Security (CCS ’24)</w:t>
      </w:r>
      <w:r>
        <w:t xml:space="preserve">. ACM, 2024.</w:t>
      </w:r>
    </w:p>
    <w:p>
      <w:pPr>
        <w:numPr>
          <w:ilvl w:val="0"/>
          <w:numId w:val="1004"/>
        </w:numPr>
      </w:pPr>
      <w:r>
        <w:t xml:space="preserve">Bevendorff J., Wiegmann M., Karlgren J., Dürlich L., Gylling E., Hagen M., Holub M., Hou Y., Jussila M., Kiesel J., Korencic D., Mayerl M., Mohtaj S., Petras V., Rosso P., Smirnova A., Stamatatos E., Stein B., Wang Z., Wolska M., Zangerle E., Potthast M. Overview of PAN 2024.</w:t>
      </w:r>
      <w:r>
        <w:t xml:space="preserve"> </w:t>
      </w:r>
      <w:r>
        <w:rPr>
          <w:iCs/>
          <w:i/>
        </w:rPr>
        <w:t xml:space="preserve">CLEF 2024 Working Notes</w:t>
      </w:r>
      <w:r>
        <w:t xml:space="preserve">. CEUR-WS, 2024.</w:t>
      </w:r>
    </w:p>
    <w:p>
      <w:pPr>
        <w:numPr>
          <w:ilvl w:val="0"/>
          <w:numId w:val="1004"/>
        </w:numPr>
      </w:pPr>
      <w:r>
        <w:t xml:space="preserve">Zhu E. Datasketch: Big Data Looks Small. URL: https://ekzhu.com/datasketch/ (дата звернення: 06.06.2026).</w:t>
      </w:r>
    </w:p>
    <w:p>
      <w:pPr>
        <w:numPr>
          <w:ilvl w:val="0"/>
          <w:numId w:val="1004"/>
        </w:numPr>
      </w:pPr>
      <w:r>
        <w:t xml:space="preserve">Google Developers. Classroom API Reference. URL: https://developers.google.com/classroom/reference/rest (дата звернення: 06.06.2026).</w:t>
      </w:r>
    </w:p>
    <w:p>
      <w:pPr>
        <w:numPr>
          <w:ilvl w:val="0"/>
          <w:numId w:val="1004"/>
        </w:numPr>
      </w:pPr>
      <w:r>
        <w:t xml:space="preserve">Streamlit Inc. Streamlit Documentation. URL: https://docs.streamlit.io (дата звернення: 06.06.2026).</w:t>
      </w:r>
    </w:p>
    <w:p>
      <w:pPr>
        <w:numPr>
          <w:ilvl w:val="0"/>
          <w:numId w:val="1004"/>
        </w:numPr>
      </w:pPr>
      <w:r>
        <w:t xml:space="preserve">Hugging Face. sentence-transformers documentation. URL: https://www.sbert.net (дата звернення: 06.06.2026).</w:t>
      </w:r>
    </w:p>
    <w:bookmarkEnd w:id="63"/>
    <w:bookmarkStart w:id="64" w:name="додаток-а"/>
    <w:p>
      <w:pPr>
        <w:pStyle w:val="Heading1"/>
      </w:pPr>
      <w:r>
        <w:t xml:space="preserve">ДОДАТОК А</w:t>
      </w:r>
    </w:p>
    <w:bookmarkEnd w:id="64"/>
    <w:bookmarkStart w:id="65" w:name="приклад-звіту-по-сабмішну"/>
    <w:p>
      <w:pPr>
        <w:pStyle w:val="Heading1"/>
      </w:pPr>
      <w:r>
        <w:t xml:space="preserve">Приклад звіту по сабмішну</w:t>
      </w:r>
    </w:p>
    <w:p>
      <w:pPr>
        <w:pStyle w:val="FirstParagraph"/>
      </w:pPr>
      <w:r>
        <w:t xml:space="preserve">Нижче наведено фрагмент згенерованого інструментом звіту для одного сабмішну з демонстраційного набору. Інтерфейс відображає його у вигляді HTML; для друкованого варіанта роботи звіт зведено в текстове представлення.</w:t>
      </w:r>
    </w:p>
    <w:p>
      <w:pPr>
        <w:pStyle w:val="BodyText"/>
      </w:pPr>
      <w:r>
        <w:rPr>
          <w:bCs/>
          <w:b/>
        </w:rPr>
        <w:t xml:space="preserve">Сабмішн:</w:t>
      </w:r>
      <w:r>
        <w:t xml:space="preserve"> </w:t>
      </w:r>
      <w:r>
        <w:t xml:space="preserve">id 41 (студент: псевдонім st_b2f9)</w:t>
      </w:r>
    </w:p>
    <w:p>
      <w:pPr>
        <w:pStyle w:val="BodyText"/>
      </w:pPr>
      <w:r>
        <w:rPr>
          <w:bCs/>
          <w:b/>
        </w:rPr>
        <w:t xml:space="preserve">Завдання:</w:t>
      </w:r>
      <w:r>
        <w:t xml:space="preserve"> </w:t>
      </w:r>
      <w:r>
        <w:t xml:space="preserve">Лабораторна 3, аналіз результатів вимірювань</w:t>
      </w:r>
    </w:p>
    <w:p>
      <w:pPr>
        <w:pStyle w:val="BodyText"/>
      </w:pPr>
      <w:r>
        <w:rPr>
          <w:bCs/>
          <w:b/>
        </w:rPr>
        <w:t xml:space="preserve">Загальний ранг:</w:t>
      </w:r>
      <w:r>
        <w:t xml:space="preserve"> </w:t>
      </w:r>
      <w:r>
        <w:t xml:space="preserve">0.74 (3-те місце з 28 у завданні)</w:t>
      </w:r>
    </w:p>
    <w:p>
      <w:pPr>
        <w:pStyle w:val="BodyText"/>
      </w:pPr>
      <w:r>
        <w:rPr>
          <w:bCs/>
          <w:b/>
        </w:rPr>
        <w:t xml:space="preserve">Спрацювання по сигналах:</w:t>
      </w:r>
    </w:p>
    <w:p>
      <w:pPr>
        <w:numPr>
          <w:ilvl w:val="0"/>
          <w:numId w:val="1005"/>
        </w:numPr>
        <w:pStyle w:val="Compact"/>
      </w:pPr>
      <w:r>
        <w:t xml:space="preserve">Когортний канал, пара (st_b2f9, st_4d11):</w:t>
      </w:r>
    </w:p>
    <w:p>
      <w:pPr>
        <w:numPr>
          <w:ilvl w:val="1"/>
          <w:numId w:val="1006"/>
        </w:numPr>
        <w:pStyle w:val="Compact"/>
      </w:pPr>
      <w:r>
        <w:t xml:space="preserve">Канал MinHash: коефіцієнт Жаккара = 0.62 (поріг 0.5);</w:t>
      </w:r>
    </w:p>
    <w:p>
      <w:pPr>
        <w:numPr>
          <w:ilvl w:val="1"/>
          <w:numId w:val="1006"/>
        </w:numPr>
        <w:pStyle w:val="Compact"/>
      </w:pPr>
      <w:r>
        <w:t xml:space="preserve">Канал ембеддингів: 12 пар речень з косинусом &gt; 0.78;</w:t>
      </w:r>
    </w:p>
    <w:p>
      <w:pPr>
        <w:numPr>
          <w:ilvl w:val="1"/>
          <w:numId w:val="1006"/>
        </w:numPr>
        <w:pStyle w:val="Compact"/>
      </w:pPr>
      <w:r>
        <w:t xml:space="preserve">Спан, підсвічений двома каналами: позиція 320..512 у тексті st_b2f9, відповідні позиції 280..470 у st_4d11; уривок: «Для оцінки якості алгоритму ми використовуємо коефіцієнт точності та коефіцієнт відклику…»;</w:t>
      </w:r>
    </w:p>
    <w:p>
      <w:pPr>
        <w:numPr>
          <w:ilvl w:val="1"/>
          <w:numId w:val="1006"/>
        </w:numPr>
        <w:pStyle w:val="Compact"/>
      </w:pPr>
      <w:r>
        <w:t xml:space="preserve">Спан, підсвічений лише каналом ембеддингів: позиція 1230..1380 у st_b2f9.</w:t>
      </w:r>
    </w:p>
    <w:p>
      <w:pPr>
        <w:numPr>
          <w:ilvl w:val="0"/>
          <w:numId w:val="1005"/>
        </w:numPr>
        <w:pStyle w:val="Compact"/>
      </w:pPr>
      <w:r>
        <w:t xml:space="preserve">Таксономія, правило</w:t>
      </w:r>
      <w:r>
        <w:t xml:space="preserve"> </w:t>
      </w:r>
      <w:r>
        <w:rPr>
          <w:rStyle w:val="VerbatimChar"/>
        </w:rPr>
        <w:t xml:space="preserve">triadic_enumeration</w:t>
      </w:r>
      <w:r>
        <w:t xml:space="preserve"> </w:t>
      </w:r>
      <w:r>
        <w:t xml:space="preserve">(точність на HC3: —, заповнюється після прогону):</w:t>
      </w:r>
    </w:p>
    <w:p>
      <w:pPr>
        <w:numPr>
          <w:ilvl w:val="1"/>
          <w:numId w:val="1007"/>
        </w:numPr>
        <w:pStyle w:val="Compact"/>
      </w:pPr>
      <w:r>
        <w:t xml:space="preserve">Позиція 980..1110: «По-перше, … По-друге, … По-третє, …»;</w:t>
      </w:r>
    </w:p>
    <w:p>
      <w:pPr>
        <w:numPr>
          <w:ilvl w:val="0"/>
          <w:numId w:val="1005"/>
        </w:numPr>
        <w:pStyle w:val="Compact"/>
      </w:pPr>
      <w:r>
        <w:t xml:space="preserve">Таксономія, правило</w:t>
      </w:r>
      <w:r>
        <w:t xml:space="preserve"> </w:t>
      </w:r>
      <w:r>
        <w:rPr>
          <w:rStyle w:val="VerbatimChar"/>
        </w:rPr>
        <w:t xml:space="preserve">straight_quotes_in_uk</w:t>
      </w:r>
      <w:r>
        <w:t xml:space="preserve"> </w:t>
      </w:r>
      <w:r>
        <w:t xml:space="preserve">(точність на M4: —):</w:t>
      </w:r>
    </w:p>
    <w:p>
      <w:pPr>
        <w:numPr>
          <w:ilvl w:val="1"/>
          <w:numId w:val="1008"/>
        </w:numPr>
        <w:pStyle w:val="Compact"/>
      </w:pPr>
      <w:r>
        <w:t xml:space="preserve">Спрацьовує тричі на сторінці 2 сабмішну: ASCII-лапки в оточенні українського тексту;</w:t>
      </w:r>
    </w:p>
    <w:p>
      <w:pPr>
        <w:numPr>
          <w:ilvl w:val="0"/>
          <w:numId w:val="1005"/>
        </w:numPr>
        <w:pStyle w:val="Compact"/>
      </w:pPr>
      <w:r>
        <w:t xml:space="preserve">Веб-канал: спрацювань немає.</w:t>
      </w:r>
    </w:p>
    <w:bookmarkEnd w:id="65"/>
    <w:bookmarkStart w:id="66" w:name="додаток-б"/>
    <w:p>
      <w:pPr>
        <w:pStyle w:val="Heading1"/>
      </w:pPr>
      <w:r>
        <w:t xml:space="preserve">ДОДАТОК Б</w:t>
      </w:r>
    </w:p>
    <w:bookmarkEnd w:id="66"/>
    <w:bookmarkStart w:id="67" w:name="скорочений-перелік-правил-таксономії"/>
    <w:p>
      <w:pPr>
        <w:pStyle w:val="Heading1"/>
      </w:pPr>
      <w:r>
        <w:t xml:space="preserve">Скорочений перелік правил таксономії</w:t>
      </w:r>
    </w:p>
    <w:p>
      <w:pPr>
        <w:pStyle w:val="FirstParagraph"/>
      </w:pPr>
      <w:r>
        <w:t xml:space="preserve">Повна таксономія міститься в файлі</w:t>
      </w:r>
      <w:r>
        <w:t xml:space="preserve"> </w:t>
      </w:r>
      <w:r>
        <w:rPr>
          <w:rStyle w:val="VerbatimChar"/>
        </w:rPr>
        <w:t xml:space="preserve">signals/ai_leakage/taxonomy.md</w:t>
      </w:r>
      <w:r>
        <w:t xml:space="preserve">, який генерується автоматично з метаданих правил. У цьому додатку наведено перелік з ідентифікаторів, опису та категорії; точність кожного правила відображається в інструменті в момент спрацювання.</w:t>
      </w:r>
    </w:p>
    <w:tbl>
      <w:tblPr>
        <w:tblStyle w:val="Table"/>
        <w:tblW w:type="pct" w:w="5000"/>
        <w:tblLook w:firstRow="1" w:lastRow="0" w:firstColumn="0" w:lastColumn="0" w:noHBand="0" w:noVBand="0" w:val="0020"/>
        <w:jc w:val="start"/>
      </w:tblPr>
      <w:tblGrid>
        <w:gridCol w:w="3017"/>
        <w:gridCol w:w="2074"/>
        <w:gridCol w:w="2828"/>
      </w:tblGrid>
      <w:tr>
        <w:trPr>
          <w:tblHeader w:val="true"/>
        </w:trPr>
        <w:tc>
          <w:tcPr/>
          <w:p>
            <w:pPr>
              <w:pStyle w:val="Compact"/>
              <w:jc w:val="left"/>
            </w:pPr>
            <w:r>
              <w:t xml:space="preserve">Ідентифікатор</w:t>
            </w:r>
          </w:p>
        </w:tc>
        <w:tc>
          <w:tcPr/>
          <w:p>
            <w:pPr>
              <w:pStyle w:val="Compact"/>
              <w:jc w:val="left"/>
            </w:pPr>
            <w:r>
              <w:t xml:space="preserve">Категорія</w:t>
            </w:r>
          </w:p>
        </w:tc>
        <w:tc>
          <w:tcPr/>
          <w:p>
            <w:pPr>
              <w:pStyle w:val="Compact"/>
              <w:jc w:val="left"/>
            </w:pPr>
            <w:r>
              <w:t xml:space="preserve">Стислий опис</w:t>
            </w:r>
          </w:p>
        </w:tc>
      </w:tr>
      <w:tr>
        <w:tc>
          <w:tcPr/>
          <w:p>
            <w:pPr>
              <w:pStyle w:val="Compact"/>
              <w:jc w:val="left"/>
            </w:pPr>
            <w:r>
              <w:rPr>
                <w:rStyle w:val="VerbatimChar"/>
              </w:rPr>
              <w:t xml:space="preserve">ai_preamble_en</w:t>
            </w:r>
          </w:p>
        </w:tc>
        <w:tc>
          <w:tcPr/>
          <w:p>
            <w:pPr>
              <w:pStyle w:val="Compact"/>
              <w:jc w:val="left"/>
            </w:pPr>
            <w:r>
              <w:t xml:space="preserve">Преамбули</w:t>
            </w:r>
          </w:p>
        </w:tc>
        <w:tc>
          <w:tcPr/>
          <w:p>
            <w:pPr>
              <w:pStyle w:val="Compact"/>
              <w:jc w:val="left"/>
            </w:pPr>
            <w:r>
              <w:t xml:space="preserve">Англомовні преамбули типу «Certainly! Here is…»</w:t>
            </w:r>
          </w:p>
        </w:tc>
      </w:tr>
      <w:tr>
        <w:tc>
          <w:tcPr/>
          <w:p>
            <w:pPr>
              <w:pStyle w:val="Compact"/>
              <w:jc w:val="left"/>
            </w:pPr>
            <w:r>
              <w:rPr>
                <w:rStyle w:val="VerbatimChar"/>
              </w:rPr>
              <w:t xml:space="preserve">ai_preamble_uk</w:t>
            </w:r>
          </w:p>
        </w:tc>
        <w:tc>
          <w:tcPr/>
          <w:p>
            <w:pPr>
              <w:pStyle w:val="Compact"/>
              <w:jc w:val="left"/>
            </w:pPr>
            <w:r>
              <w:t xml:space="preserve">Преамбули</w:t>
            </w:r>
          </w:p>
        </w:tc>
        <w:tc>
          <w:tcPr/>
          <w:p>
            <w:pPr>
              <w:pStyle w:val="Compact"/>
              <w:jc w:val="left"/>
            </w:pPr>
            <w:r>
              <w:t xml:space="preserve">Україномовні преамбули типу «Звісно! Ось…»</w:t>
            </w:r>
          </w:p>
        </w:tc>
      </w:tr>
      <w:tr>
        <w:tc>
          <w:tcPr/>
          <w:p>
            <w:pPr>
              <w:pStyle w:val="Compact"/>
              <w:jc w:val="left"/>
            </w:pPr>
            <w:r>
              <w:rPr>
                <w:rStyle w:val="VerbatimChar"/>
              </w:rPr>
              <w:t xml:space="preserve">ai_refusal_en</w:t>
            </w:r>
          </w:p>
        </w:tc>
        <w:tc>
          <w:tcPr/>
          <w:p>
            <w:pPr>
              <w:pStyle w:val="Compact"/>
              <w:jc w:val="left"/>
            </w:pPr>
            <w:r>
              <w:t xml:space="preserve">Відмови</w:t>
            </w:r>
          </w:p>
        </w:tc>
        <w:tc>
          <w:tcPr/>
          <w:p>
            <w:pPr>
              <w:pStyle w:val="Compact"/>
              <w:jc w:val="left"/>
            </w:pPr>
            <w:r>
              <w:t xml:space="preserve">Самовідмовні формули «As an AI language model, I…»</w:t>
            </w:r>
          </w:p>
        </w:tc>
      </w:tr>
      <w:tr>
        <w:tc>
          <w:tcPr/>
          <w:p>
            <w:pPr>
              <w:pStyle w:val="Compact"/>
              <w:jc w:val="left"/>
            </w:pPr>
            <w:r>
              <w:rPr>
                <w:rStyle w:val="VerbatimChar"/>
              </w:rPr>
              <w:t xml:space="preserve">ai_refusal_uk</w:t>
            </w:r>
          </w:p>
        </w:tc>
        <w:tc>
          <w:tcPr/>
          <w:p>
            <w:pPr>
              <w:pStyle w:val="Compact"/>
              <w:jc w:val="left"/>
            </w:pPr>
            <w:r>
              <w:t xml:space="preserve">Відмови</w:t>
            </w:r>
          </w:p>
        </w:tc>
        <w:tc>
          <w:tcPr/>
          <w:p>
            <w:pPr>
              <w:pStyle w:val="Compact"/>
              <w:jc w:val="left"/>
            </w:pPr>
            <w:r>
              <w:t xml:space="preserve">Україномовні самовідмовні формули</w:t>
            </w:r>
          </w:p>
        </w:tc>
      </w:tr>
      <w:tr>
        <w:tc>
          <w:tcPr/>
          <w:p>
            <w:pPr>
              <w:pStyle w:val="Compact"/>
              <w:jc w:val="left"/>
            </w:pPr>
            <w:r>
              <w:rPr>
                <w:rStyle w:val="VerbatimChar"/>
              </w:rPr>
              <w:t xml:space="preserve">triadic_enumeration</w:t>
            </w:r>
          </w:p>
        </w:tc>
        <w:tc>
          <w:tcPr/>
          <w:p>
            <w:pPr>
              <w:pStyle w:val="Compact"/>
              <w:jc w:val="left"/>
            </w:pPr>
            <w:r>
              <w:t xml:space="preserve">Дискурс</w:t>
            </w:r>
          </w:p>
        </w:tc>
        <w:tc>
          <w:tcPr/>
          <w:p>
            <w:pPr>
              <w:pStyle w:val="Compact"/>
              <w:jc w:val="left"/>
            </w:pPr>
            <w:r>
              <w:t xml:space="preserve">Трійка вступних маркерів «По-перше / По-друге / По-третє» в шаблонному оточенні</w:t>
            </w:r>
          </w:p>
        </w:tc>
      </w:tr>
      <w:tr>
        <w:tc>
          <w:tcPr/>
          <w:p>
            <w:pPr>
              <w:pStyle w:val="Compact"/>
              <w:jc w:val="left"/>
            </w:pPr>
            <w:r>
              <w:rPr>
                <w:rStyle w:val="VerbatimChar"/>
              </w:rPr>
              <w:t xml:space="preserve">aspect_heading_pattern</w:t>
            </w:r>
          </w:p>
        </w:tc>
        <w:tc>
          <w:tcPr/>
          <w:p>
            <w:pPr>
              <w:pStyle w:val="Compact"/>
              <w:jc w:val="left"/>
            </w:pPr>
            <w:r>
              <w:t xml:space="preserve">Дискурс</w:t>
            </w:r>
          </w:p>
        </w:tc>
        <w:tc>
          <w:tcPr/>
          <w:p>
            <w:pPr>
              <w:pStyle w:val="Compact"/>
              <w:jc w:val="left"/>
            </w:pPr>
            <w:r>
              <w:t xml:space="preserve">Заголовки виду «Аспект 1: …Аспект 2: …»</w:t>
            </w:r>
          </w:p>
        </w:tc>
      </w:tr>
      <w:tr>
        <w:tc>
          <w:tcPr/>
          <w:p>
            <w:pPr>
              <w:pStyle w:val="Compact"/>
              <w:jc w:val="left"/>
            </w:pPr>
            <w:r>
              <w:rPr>
                <w:rStyle w:val="VerbatimChar"/>
              </w:rPr>
              <w:t xml:space="preserve">conclusion_formula</w:t>
            </w:r>
          </w:p>
        </w:tc>
        <w:tc>
          <w:tcPr/>
          <w:p>
            <w:pPr>
              <w:pStyle w:val="Compact"/>
              <w:jc w:val="left"/>
            </w:pPr>
            <w:r>
              <w:t xml:space="preserve">Дискурс</w:t>
            </w:r>
          </w:p>
        </w:tc>
        <w:tc>
          <w:tcPr/>
          <w:p>
            <w:pPr>
              <w:pStyle w:val="Compact"/>
              <w:jc w:val="left"/>
            </w:pPr>
            <w:r>
              <w:t xml:space="preserve">Висновкові формули типу «На завершення, можна стверджувати, що…»</w:t>
            </w:r>
          </w:p>
        </w:tc>
      </w:tr>
      <w:tr>
        <w:tc>
          <w:tcPr/>
          <w:p>
            <w:pPr>
              <w:pStyle w:val="Compact"/>
              <w:jc w:val="left"/>
            </w:pPr>
            <w:r>
              <w:rPr>
                <w:rStyle w:val="VerbatimChar"/>
              </w:rPr>
              <w:t xml:space="preserve">straight_quotes_in_uk</w:t>
            </w:r>
          </w:p>
        </w:tc>
        <w:tc>
          <w:tcPr/>
          <w:p>
            <w:pPr>
              <w:pStyle w:val="Compact"/>
              <w:jc w:val="left"/>
            </w:pPr>
            <w:r>
              <w:t xml:space="preserve">Типографія</w:t>
            </w:r>
          </w:p>
        </w:tc>
        <w:tc>
          <w:tcPr/>
          <w:p>
            <w:pPr>
              <w:pStyle w:val="Compact"/>
              <w:jc w:val="left"/>
            </w:pPr>
            <w:r>
              <w:t xml:space="preserve">Прямі лапки серед українського тексту з іншим використанням «…»</w:t>
            </w:r>
          </w:p>
        </w:tc>
      </w:tr>
      <w:tr>
        <w:tc>
          <w:tcPr/>
          <w:p>
            <w:pPr>
              <w:pStyle w:val="Compact"/>
              <w:jc w:val="left"/>
            </w:pPr>
            <w:r>
              <w:rPr>
                <w:rStyle w:val="VerbatimChar"/>
              </w:rPr>
              <w:t xml:space="preserve">en_dash_for_em</w:t>
            </w:r>
          </w:p>
        </w:tc>
        <w:tc>
          <w:tcPr/>
          <w:p>
            <w:pPr>
              <w:pStyle w:val="Compact"/>
              <w:jc w:val="left"/>
            </w:pPr>
            <w:r>
              <w:t xml:space="preserve">Типографія</w:t>
            </w:r>
          </w:p>
        </w:tc>
        <w:tc>
          <w:tcPr/>
          <w:p>
            <w:pPr>
              <w:pStyle w:val="Compact"/>
              <w:jc w:val="left"/>
            </w:pPr>
            <w:r>
              <w:t xml:space="preserve">en-dash на місці em-dash в українському тексті</w:t>
            </w:r>
          </w:p>
        </w:tc>
      </w:tr>
      <w:tr>
        <w:tc>
          <w:tcPr/>
          <w:p>
            <w:pPr>
              <w:pStyle w:val="Compact"/>
              <w:jc w:val="left"/>
            </w:pPr>
            <w:r>
              <w:rPr>
                <w:rStyle w:val="VerbatimChar"/>
              </w:rPr>
              <w:t xml:space="preserve">missing_nbsp_units</w:t>
            </w:r>
          </w:p>
        </w:tc>
        <w:tc>
          <w:tcPr/>
          <w:p>
            <w:pPr>
              <w:pStyle w:val="Compact"/>
              <w:jc w:val="left"/>
            </w:pPr>
            <w:r>
              <w:t xml:space="preserve">Типографія</w:t>
            </w:r>
          </w:p>
        </w:tc>
        <w:tc>
          <w:tcPr/>
          <w:p>
            <w:pPr>
              <w:pStyle w:val="Compact"/>
              <w:jc w:val="left"/>
            </w:pPr>
            <w:r>
              <w:t xml:space="preserve">Відсутність нерозривного пробілу перед одиницями вимірювання</w:t>
            </w:r>
          </w:p>
        </w:tc>
      </w:tr>
      <w:tr>
        <w:tc>
          <w:tcPr/>
          <w:p>
            <w:pPr>
              <w:pStyle w:val="Compact"/>
              <w:jc w:val="left"/>
            </w:pPr>
            <w:r>
              <w:rPr>
                <w:rStyle w:val="VerbatimChar"/>
              </w:rPr>
              <w:t xml:space="preserve">self_revealing_meta</w:t>
            </w:r>
          </w:p>
        </w:tc>
        <w:tc>
          <w:tcPr/>
          <w:p>
            <w:pPr>
              <w:pStyle w:val="Compact"/>
              <w:jc w:val="left"/>
            </w:pPr>
            <w:r>
              <w:t xml:space="preserve">Самовикривання</w:t>
            </w:r>
          </w:p>
        </w:tc>
        <w:tc>
          <w:tcPr/>
          <w:p>
            <w:pPr>
              <w:pStyle w:val="Compact"/>
              <w:jc w:val="left"/>
            </w:pPr>
            <w:r>
              <w:t xml:space="preserve">Згадки про «токени», «контекстне вікно», «попередній запит»</w:t>
            </w:r>
          </w:p>
        </w:tc>
      </w:tr>
      <w:tr>
        <w:tc>
          <w:tcPr/>
          <w:p>
            <w:pPr>
              <w:pStyle w:val="Compact"/>
              <w:jc w:val="left"/>
            </w:pPr>
            <w:r>
              <w:rPr>
                <w:rStyle w:val="VerbatimChar"/>
              </w:rPr>
              <w:t xml:space="preserve">composite_discourse</w:t>
            </w:r>
          </w:p>
        </w:tc>
        <w:tc>
          <w:tcPr/>
          <w:p>
            <w:pPr>
              <w:pStyle w:val="Compact"/>
              <w:jc w:val="left"/>
            </w:pPr>
            <w:r>
              <w:t xml:space="preserve">Композитне</w:t>
            </w:r>
          </w:p>
        </w:tc>
        <w:tc>
          <w:tcPr/>
          <w:p>
            <w:pPr>
              <w:pStyle w:val="Compact"/>
              <w:jc w:val="left"/>
            </w:pPr>
            <w:r>
              <w:t xml:space="preserve">Одночасне спрацювання ≥2 правил категорії «Дискурс»</w:t>
            </w:r>
          </w:p>
        </w:tc>
      </w:tr>
      <w:tr>
        <w:tc>
          <w:tcPr/>
          <w:p>
            <w:pPr>
              <w:pStyle w:val="Compact"/>
              <w:jc w:val="left"/>
            </w:pPr>
            <w:r>
              <w:rPr>
                <w:rStyle w:val="VerbatimChar"/>
              </w:rPr>
              <w:t xml:space="preserve">composite_typography</w:t>
            </w:r>
          </w:p>
        </w:tc>
        <w:tc>
          <w:tcPr/>
          <w:p>
            <w:pPr>
              <w:pStyle w:val="Compact"/>
              <w:jc w:val="left"/>
            </w:pPr>
            <w:r>
              <w:t xml:space="preserve">Композитне</w:t>
            </w:r>
          </w:p>
        </w:tc>
        <w:tc>
          <w:tcPr/>
          <w:p>
            <w:pPr>
              <w:pStyle w:val="Compact"/>
              <w:jc w:val="left"/>
            </w:pPr>
            <w:r>
              <w:t xml:space="preserve">Одночасне спрацювання ≥2 правил категорії «Типографія»</w:t>
            </w:r>
          </w:p>
        </w:tc>
      </w:tr>
    </w:tbl>
    <w:bookmarkEnd w:id="67"/>
    <w:bookmarkStart w:id="68" w:name="додаток-в"/>
    <w:p>
      <w:pPr>
        <w:pStyle w:val="Heading1"/>
      </w:pPr>
      <w:r>
        <w:t xml:space="preserve">ДОДАТОК В</w:t>
      </w:r>
    </w:p>
    <w:bookmarkEnd w:id="68"/>
    <w:bookmarkStart w:id="69" w:name="X4ba685ed1c1b0a6be41f2fa2494ade5a29df8bb"/>
    <w:p>
      <w:pPr>
        <w:pStyle w:val="Heading1"/>
      </w:pPr>
      <w:r>
        <w:t xml:space="preserve">Конфігурація запуску оцінювального стенду</w:t>
      </w:r>
    </w:p>
    <w:p>
      <w:pPr>
        <w:pStyle w:val="FirstParagraph"/>
      </w:pPr>
      <w:r>
        <w:t xml:space="preserve">Оцінювальний стенд</w:t>
      </w:r>
      <w:r>
        <w:t xml:space="preserve"> </w:t>
      </w:r>
      <w:r>
        <w:rPr>
          <w:rStyle w:val="VerbatimChar"/>
        </w:rPr>
        <w:t xml:space="preserve">eval/run_eval.py</w:t>
      </w:r>
      <w:r>
        <w:t xml:space="preserve"> </w:t>
      </w:r>
      <w:r>
        <w:t xml:space="preserve">приймає набір параметрів командного рядка й створює таблиці, що включаються в текст роботи. Нижче подано приклад конфігураційного файлу:</w:t>
      </w:r>
    </w:p>
    <w:p>
      <w:pPr>
        <w:pStyle w:val="SourceCode"/>
      </w:pPr>
      <w:r>
        <w:rPr>
          <w:rStyle w:val="FunctionTok"/>
        </w:rPr>
        <w:t xml:space="preserve">cohort</w:t>
      </w:r>
      <w:r>
        <w:rPr>
          <w:rStyle w:val="KeywordTok"/>
        </w:rPr>
        <w:t xml:space="preserve">:</w:t>
      </w:r>
      <w:r>
        <w:br/>
      </w:r>
      <w:r>
        <w:rPr>
          <w:rStyle w:val="AttributeTok"/>
        </w:rPr>
        <w:t xml:space="preserve">  </w:t>
      </w:r>
      <w:r>
        <w:rPr>
          <w:rStyle w:val="FunctionTok"/>
        </w:rPr>
        <w:t xml:space="preserve">minhash</w:t>
      </w:r>
      <w:r>
        <w:rPr>
          <w:rStyle w:val="KeywordTok"/>
        </w:rPr>
        <w:t xml:space="preserve">:</w:t>
      </w:r>
      <w:r>
        <w:br/>
      </w:r>
      <w:r>
        <w:rPr>
          <w:rStyle w:val="AttributeTok"/>
        </w:rPr>
        <w:t xml:space="preserve">    </w:t>
      </w:r>
      <w:r>
        <w:rPr>
          <w:rStyle w:val="FunctionTok"/>
        </w:rPr>
        <w:t xml:space="preserve">num_perm</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shingle_k</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FloatTok"/>
        </w:rPr>
        <w:t xml:space="preserve">0.6</w:t>
      </w:r>
      <w:r>
        <w:br/>
      </w:r>
      <w:r>
        <w:rPr>
          <w:rStyle w:val="AttributeTok"/>
        </w:rPr>
        <w:t xml:space="preserve">  </w:t>
      </w:r>
      <w:r>
        <w:rPr>
          <w:rStyle w:val="FunctionTok"/>
        </w:rPr>
        <w:t xml:space="preserve">embeddings</w:t>
      </w:r>
      <w:r>
        <w:rPr>
          <w:rStyle w:val="KeywordTok"/>
        </w:rPr>
        <w:t xml:space="preserve">:</w:t>
      </w:r>
      <w:r>
        <w:br/>
      </w:r>
      <w:r>
        <w:rPr>
          <w:rStyle w:val="AttributeTok"/>
        </w:rPr>
        <w:t xml:space="preserve">    </w:t>
      </w:r>
      <w:r>
        <w:rPr>
          <w:rStyle w:val="FunctionTok"/>
        </w:rPr>
        <w:t xml:space="preserve">model</w:t>
      </w:r>
      <w:r>
        <w:rPr>
          <w:rStyle w:val="KeywordTok"/>
        </w:rPr>
        <w:t xml:space="preserve">:</w:t>
      </w:r>
      <w:r>
        <w:rPr>
          <w:rStyle w:val="AttributeTok"/>
        </w:rPr>
        <w:t xml:space="preserve"> paraphrase-multilingual-MiniLM-L12-v2</w:t>
      </w:r>
      <w:r>
        <w:br/>
      </w:r>
      <w:r>
        <w:rPr>
          <w:rStyle w:val="AttributeTok"/>
        </w:rPr>
        <w:t xml:space="preserve">    </w:t>
      </w:r>
      <w:r>
        <w:rPr>
          <w:rStyle w:val="FunctionTok"/>
        </w:rPr>
        <w:t xml:space="preserve">similarity_threshold</w:t>
      </w:r>
      <w:r>
        <w:rPr>
          <w:rStyle w:val="KeywordTok"/>
        </w:rPr>
        <w:t xml:space="preserve">:</w:t>
      </w:r>
      <w:r>
        <w:rPr>
          <w:rStyle w:val="AttributeTok"/>
        </w:rPr>
        <w:t xml:space="preserve"> </w:t>
      </w:r>
      <w:r>
        <w:rPr>
          <w:rStyle w:val="FloatTok"/>
        </w:rPr>
        <w:t xml:space="preserve">0.78</w:t>
      </w:r>
      <w:r>
        <w:br/>
      </w:r>
      <w:r>
        <w:rPr>
          <w:rStyle w:val="AttributeTok"/>
        </w:rPr>
        <w:t xml:space="preserve">    </w:t>
      </w:r>
      <w:r>
        <w:rPr>
          <w:rStyle w:val="FunctionTok"/>
        </w:rPr>
        <w:t xml:space="preserve">top_k</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fusion</w:t>
      </w:r>
      <w:r>
        <w:rPr>
          <w:rStyle w:val="KeywordTok"/>
        </w:rPr>
        <w:t xml:space="preserve">:</w:t>
      </w:r>
      <w:r>
        <w:br/>
      </w:r>
      <w:r>
        <w:rPr>
          <w:rStyle w:val="AttributeTok"/>
        </w:rPr>
        <w:t xml:space="preserve">    </w:t>
      </w:r>
      <w:r>
        <w:rPr>
          <w:rStyle w:val="FunctionTok"/>
        </w:rPr>
        <w:t xml:space="preserve">minhash_weight</w:t>
      </w:r>
      <w:r>
        <w:rPr>
          <w:rStyle w:val="KeywordTok"/>
        </w:rPr>
        <w:t xml:space="preserve">:</w:t>
      </w:r>
      <w:r>
        <w:rPr>
          <w:rStyle w:val="AttributeTok"/>
        </w:rPr>
        <w:t xml:space="preserve"> </w:t>
      </w:r>
      <w:r>
        <w:rPr>
          <w:rStyle w:val="FloatTok"/>
        </w:rPr>
        <w:t xml:space="preserve">0.6</w:t>
      </w:r>
      <w:r>
        <w:br/>
      </w:r>
      <w:r>
        <w:rPr>
          <w:rStyle w:val="AttributeTok"/>
        </w:rPr>
        <w:t xml:space="preserve">    </w:t>
      </w:r>
      <w:r>
        <w:rPr>
          <w:rStyle w:val="FunctionTok"/>
        </w:rPr>
        <w:t xml:space="preserve">embeddings_weight</w:t>
      </w:r>
      <w:r>
        <w:rPr>
          <w:rStyle w:val="KeywordTok"/>
        </w:rPr>
        <w:t xml:space="preserve">:</w:t>
      </w:r>
      <w:r>
        <w:rPr>
          <w:rStyle w:val="AttributeTok"/>
        </w:rPr>
        <w:t xml:space="preserve"> </w:t>
      </w:r>
      <w:r>
        <w:rPr>
          <w:rStyle w:val="FloatTok"/>
        </w:rPr>
        <w:t xml:space="preserve">0.4</w:t>
      </w:r>
      <w:r>
        <w:br/>
      </w:r>
      <w:r>
        <w:br/>
      </w:r>
      <w:r>
        <w:rPr>
          <w:rStyle w:val="FunctionTok"/>
        </w:rPr>
        <w:t xml:space="preserve">ai_leakage</w:t>
      </w:r>
      <w:r>
        <w:rPr>
          <w:rStyle w:val="KeywordTok"/>
        </w:rPr>
        <w:t xml:space="preserve">:</w:t>
      </w:r>
      <w:r>
        <w:br/>
      </w:r>
      <w:r>
        <w:rPr>
          <w:rStyle w:val="AttributeTok"/>
        </w:rPr>
        <w:t xml:space="preserve">  </w:t>
      </w:r>
      <w:r>
        <w:rPr>
          <w:rStyle w:val="FunctionTok"/>
        </w:rPr>
        <w:t xml:space="preserve">precision_floor</w:t>
      </w:r>
      <w:r>
        <w:rPr>
          <w:rStyle w:val="KeywordTok"/>
        </w:rPr>
        <w:t xml:space="preserve">:</w:t>
      </w:r>
      <w:r>
        <w:rPr>
          <w:rStyle w:val="AttributeTok"/>
        </w:rPr>
        <w:t xml:space="preserve"> </w:t>
      </w:r>
      <w:r>
        <w:rPr>
          <w:rStyle w:val="FloatTok"/>
        </w:rPr>
        <w:t xml:space="preserve">0.95</w:t>
      </w:r>
      <w:r>
        <w:br/>
      </w:r>
      <w:r>
        <w:rPr>
          <w:rStyle w:val="AttributeTok"/>
        </w:rPr>
        <w:t xml:space="preserve">  </w:t>
      </w:r>
      <w:r>
        <w:rPr>
          <w:rStyle w:val="FunctionTok"/>
        </w:rPr>
        <w:t xml:space="preserve">enable_categories</w:t>
      </w:r>
      <w:r>
        <w:rPr>
          <w:rStyle w:val="KeywordTok"/>
        </w:rPr>
        <w:t xml:space="preserve">:</w:t>
      </w:r>
      <w:r>
        <w:br/>
      </w:r>
      <w:r>
        <w:rPr>
          <w:rStyle w:val="AttributeTok"/>
        </w:rPr>
        <w:t xml:space="preserve">    </w:t>
      </w:r>
      <w:r>
        <w:rPr>
          <w:rStyle w:val="KeywordTok"/>
        </w:rPr>
        <w:t xml:space="preserve">-</w:t>
      </w:r>
      <w:r>
        <w:rPr>
          <w:rStyle w:val="AttributeTok"/>
        </w:rPr>
        <w:t xml:space="preserve"> preamble</w:t>
      </w:r>
      <w:r>
        <w:br/>
      </w:r>
      <w:r>
        <w:rPr>
          <w:rStyle w:val="AttributeTok"/>
        </w:rPr>
        <w:t xml:space="preserve">    </w:t>
      </w:r>
      <w:r>
        <w:rPr>
          <w:rStyle w:val="KeywordTok"/>
        </w:rPr>
        <w:t xml:space="preserve">-</w:t>
      </w:r>
      <w:r>
        <w:rPr>
          <w:rStyle w:val="AttributeTok"/>
        </w:rPr>
        <w:t xml:space="preserve"> refusal</w:t>
      </w:r>
      <w:r>
        <w:br/>
      </w:r>
      <w:r>
        <w:rPr>
          <w:rStyle w:val="AttributeTok"/>
        </w:rPr>
        <w:t xml:space="preserve">    </w:t>
      </w:r>
      <w:r>
        <w:rPr>
          <w:rStyle w:val="KeywordTok"/>
        </w:rPr>
        <w:t xml:space="preserve">-</w:t>
      </w:r>
      <w:r>
        <w:rPr>
          <w:rStyle w:val="AttributeTok"/>
        </w:rPr>
        <w:t xml:space="preserve"> discourse</w:t>
      </w:r>
      <w:r>
        <w:br/>
      </w:r>
      <w:r>
        <w:rPr>
          <w:rStyle w:val="AttributeTok"/>
        </w:rPr>
        <w:t xml:space="preserve">    </w:t>
      </w:r>
      <w:r>
        <w:rPr>
          <w:rStyle w:val="KeywordTok"/>
        </w:rPr>
        <w:t xml:space="preserve">-</w:t>
      </w:r>
      <w:r>
        <w:rPr>
          <w:rStyle w:val="AttributeTok"/>
        </w:rPr>
        <w:t xml:space="preserve"> typography</w:t>
      </w:r>
      <w:r>
        <w:br/>
      </w:r>
      <w:r>
        <w:rPr>
          <w:rStyle w:val="AttributeTok"/>
        </w:rPr>
        <w:t xml:space="preserve">    </w:t>
      </w:r>
      <w:r>
        <w:rPr>
          <w:rStyle w:val="KeywordTok"/>
        </w:rPr>
        <w:t xml:space="preserve">-</w:t>
      </w:r>
      <w:r>
        <w:rPr>
          <w:rStyle w:val="AttributeTok"/>
        </w:rPr>
        <w:t xml:space="preserve"> self_revealing</w:t>
      </w:r>
      <w:r>
        <w:br/>
      </w:r>
      <w:r>
        <w:br/>
      </w:r>
      <w:r>
        <w:rPr>
          <w:rStyle w:val="FunctionTok"/>
        </w:rPr>
        <w:t xml:space="preserve">webcheck</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FunctionTok"/>
        </w:rPr>
        <w:t xml:space="preserve">ranker</w:t>
      </w:r>
      <w:r>
        <w:rPr>
          <w:rStyle w:val="KeywordTok"/>
        </w:rPr>
        <w:t xml:space="preserve">:</w:t>
      </w:r>
      <w:r>
        <w:br/>
      </w:r>
      <w:r>
        <w:rPr>
          <w:rStyle w:val="AttributeTok"/>
        </w:rPr>
        <w:t xml:space="preserve">  </w:t>
      </w:r>
      <w:r>
        <w:rPr>
          <w:rStyle w:val="FunctionTok"/>
        </w:rPr>
        <w:t xml:space="preserve">cohort_weight</w:t>
      </w:r>
      <w:r>
        <w:rPr>
          <w:rStyle w:val="KeywordTok"/>
        </w:rPr>
        <w:t xml:space="preserve">:</w:t>
      </w:r>
      <w:r>
        <w:rPr>
          <w:rStyle w:val="AttributeTok"/>
        </w:rPr>
        <w:t xml:space="preserve"> </w:t>
      </w:r>
      <w:r>
        <w:rPr>
          <w:rStyle w:val="FloatTok"/>
        </w:rPr>
        <w:t xml:space="preserve">0.50</w:t>
      </w:r>
      <w:r>
        <w:br/>
      </w:r>
      <w:r>
        <w:rPr>
          <w:rStyle w:val="AttributeTok"/>
        </w:rPr>
        <w:t xml:space="preserve">  </w:t>
      </w:r>
      <w:r>
        <w:rPr>
          <w:rStyle w:val="FunctionTok"/>
        </w:rPr>
        <w:t xml:space="preserve">ai_leakage_weight</w:t>
      </w:r>
      <w:r>
        <w:rPr>
          <w:rStyle w:val="KeywordTok"/>
        </w:rPr>
        <w:t xml:space="preserve">:</w:t>
      </w:r>
      <w:r>
        <w:rPr>
          <w:rStyle w:val="AttributeTok"/>
        </w:rPr>
        <w:t xml:space="preserve"> </w:t>
      </w:r>
      <w:r>
        <w:rPr>
          <w:rStyle w:val="FloatTok"/>
        </w:rPr>
        <w:t xml:space="preserve">0.30</w:t>
      </w:r>
      <w:r>
        <w:br/>
      </w:r>
      <w:r>
        <w:rPr>
          <w:rStyle w:val="AttributeTok"/>
        </w:rPr>
        <w:t xml:space="preserve">  </w:t>
      </w:r>
      <w:r>
        <w:rPr>
          <w:rStyle w:val="FunctionTok"/>
        </w:rPr>
        <w:t xml:space="preserve">webcheck_weight</w:t>
      </w:r>
      <w:r>
        <w:rPr>
          <w:rStyle w:val="KeywordTok"/>
        </w:rPr>
        <w:t xml:space="preserve">:</w:t>
      </w:r>
      <w:r>
        <w:rPr>
          <w:rStyle w:val="AttributeTok"/>
        </w:rPr>
        <w:t xml:space="preserve"> </w:t>
      </w:r>
      <w:r>
        <w:rPr>
          <w:rStyle w:val="FloatTok"/>
        </w:rPr>
        <w:t xml:space="preserve">0.20</w:t>
      </w:r>
      <w:r>
        <w:br/>
      </w:r>
      <w:r>
        <w:br/>
      </w:r>
      <w:r>
        <w:rPr>
          <w:rStyle w:val="FunctionTok"/>
        </w:rPr>
        <w:t xml:space="preserve">evaluation</w:t>
      </w:r>
      <w:r>
        <w:rPr>
          <w:rStyle w:val="KeywordTok"/>
        </w:rPr>
        <w:t xml:space="preserve">:</w:t>
      </w:r>
      <w:r>
        <w:br/>
      </w:r>
      <w:r>
        <w:rPr>
          <w:rStyle w:val="AttributeTok"/>
        </w:rPr>
        <w:t xml:space="preserve">  </w:t>
      </w:r>
      <w:r>
        <w:rPr>
          <w:rStyle w:val="FunctionTok"/>
        </w:rPr>
        <w:t xml:space="preserve">datasets</w:t>
      </w:r>
      <w:r>
        <w:rPr>
          <w:rStyle w:val="KeywordTok"/>
        </w:rPr>
        <w:t xml:space="preserve">:</w:t>
      </w:r>
      <w:r>
        <w:br/>
      </w:r>
      <w:r>
        <w:rPr>
          <w:rStyle w:val="AttributeTok"/>
        </w:rPr>
        <w:t xml:space="preserve">    </w:t>
      </w:r>
      <w:r>
        <w:rPr>
          <w:rStyle w:val="FunctionTok"/>
        </w:rPr>
        <w:t xml:space="preserve">pan</w:t>
      </w:r>
      <w:r>
        <w:rPr>
          <w:rStyle w:val="KeywordTok"/>
        </w:rPr>
        <w:t xml:space="preserve">:</w:t>
      </w:r>
      <w:r>
        <w:rPr>
          <w:rStyle w:val="AttributeTok"/>
        </w:rPr>
        <w:t xml:space="preserve"> ./eval/datasets/pan2014_subset</w:t>
      </w:r>
      <w:r>
        <w:br/>
      </w:r>
      <w:r>
        <w:rPr>
          <w:rStyle w:val="AttributeTok"/>
        </w:rPr>
        <w:t xml:space="preserve">    </w:t>
      </w:r>
      <w:r>
        <w:rPr>
          <w:rStyle w:val="FunctionTok"/>
        </w:rPr>
        <w:t xml:space="preserve">hc3</w:t>
      </w:r>
      <w:r>
        <w:rPr>
          <w:rStyle w:val="KeywordTok"/>
        </w:rPr>
        <w:t xml:space="preserve">:</w:t>
      </w:r>
      <w:r>
        <w:rPr>
          <w:rStyle w:val="AttributeTok"/>
        </w:rPr>
        <w:t xml:space="preserve"> ./eval/datasets/hc3</w:t>
      </w:r>
      <w:r>
        <w:br/>
      </w:r>
      <w:r>
        <w:rPr>
          <w:rStyle w:val="AttributeTok"/>
        </w:rPr>
        <w:t xml:space="preserve">    </w:t>
      </w:r>
      <w:r>
        <w:rPr>
          <w:rStyle w:val="FunctionTok"/>
        </w:rPr>
        <w:t xml:space="preserve">m4</w:t>
      </w:r>
      <w:r>
        <w:rPr>
          <w:rStyle w:val="KeywordTok"/>
        </w:rPr>
        <w:t xml:space="preserve">:</w:t>
      </w:r>
      <w:r>
        <w:rPr>
          <w:rStyle w:val="AttributeTok"/>
        </w:rPr>
        <w:t xml:space="preserve"> ./eval/datasets/m4</w:t>
      </w:r>
      <w:r>
        <w:br/>
      </w:r>
      <w:r>
        <w:rPr>
          <w:rStyle w:val="AttributeTok"/>
        </w:rPr>
        <w:t xml:space="preserve">  </w:t>
      </w:r>
      <w:r>
        <w:rPr>
          <w:rStyle w:val="FunctionTok"/>
        </w:rPr>
        <w:t xml:space="preserve">output_dir</w:t>
      </w:r>
      <w:r>
        <w:rPr>
          <w:rStyle w:val="KeywordTok"/>
        </w:rPr>
        <w:t xml:space="preserve">:</w:t>
      </w:r>
      <w:r>
        <w:rPr>
          <w:rStyle w:val="AttributeTok"/>
        </w:rPr>
        <w:t xml:space="preserve"> ./eval/reports</w:t>
      </w:r>
    </w:p>
    <w:p>
      <w:pPr>
        <w:pStyle w:val="FirstParagraph"/>
      </w:pPr>
      <w:r>
        <w:t xml:space="preserve">Команди оцінювального стенду:</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--signal</w:t>
      </w:r>
      <w:r>
        <w:rPr>
          <w:rStyle w:val="NormalTok"/>
        </w:rPr>
        <w:t xml:space="preserve"> cohort </w:t>
      </w:r>
      <w:r>
        <w:rPr>
          <w:rStyle w:val="AttributeTok"/>
        </w:rPr>
        <w:t xml:space="preserve">--dataset</w:t>
      </w:r>
      <w:r>
        <w:rPr>
          <w:rStyle w:val="NormalTok"/>
        </w:rPr>
        <w:t xml:space="preserve"> pan</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--signal</w:t>
      </w:r>
      <w:r>
        <w:rPr>
          <w:rStyle w:val="NormalTok"/>
        </w:rPr>
        <w:t xml:space="preserve"> cohort </w:t>
      </w:r>
      <w:r>
        <w:rPr>
          <w:rStyle w:val="AttributeTok"/>
        </w:rPr>
        <w:t xml:space="preserve">--dataset</w:t>
      </w:r>
      <w:r>
        <w:rPr>
          <w:rStyle w:val="NormalTok"/>
        </w:rPr>
        <w:t xml:space="preserve"> m4_paraphrase</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--signal</w:t>
      </w:r>
      <w:r>
        <w:rPr>
          <w:rStyle w:val="NormalTok"/>
        </w:rPr>
        <w:t xml:space="preserve"> ai_leakage </w:t>
      </w:r>
      <w:r>
        <w:rPr>
          <w:rStyle w:val="AttributeTok"/>
        </w:rPr>
        <w:t xml:space="preserve">--dataset</w:t>
      </w:r>
      <w:r>
        <w:rPr>
          <w:rStyle w:val="NormalTok"/>
        </w:rPr>
        <w:t xml:space="preserve"> hc3</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--signal</w:t>
      </w:r>
      <w:r>
        <w:rPr>
          <w:rStyle w:val="NormalTok"/>
        </w:rPr>
        <w:t xml:space="preserve"> ai_leakage </w:t>
      </w:r>
      <w:r>
        <w:rPr>
          <w:rStyle w:val="AttributeTok"/>
        </w:rPr>
        <w:t xml:space="preserve">--dataset</w:t>
      </w:r>
      <w:r>
        <w:rPr>
          <w:rStyle w:val="NormalTok"/>
        </w:rPr>
        <w:t xml:space="preserve"> m4</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--system</w:t>
      </w:r>
      <w:r>
        <w:rPr>
          <w:rStyle w:val="NormalTok"/>
        </w:rPr>
        <w:t xml:space="preserve"> mixed</w:t>
      </w:r>
    </w:p>
    <w:p>
      <w:pPr>
        <w:pStyle w:val="FirstParagraph"/>
      </w:pPr>
      <w:r>
        <w:t xml:space="preserve">Результати кожного прогону зберігаються в каталозі</w:t>
      </w:r>
      <w:r>
        <w:t xml:space="preserve"> </w:t>
      </w:r>
      <w:r>
        <w:rPr>
          <w:rStyle w:val="VerbatimChar"/>
        </w:rPr>
        <w:t xml:space="preserve">eval/reports/&lt;timestamp&gt;/</w:t>
      </w:r>
      <w:r>
        <w:t xml:space="preserve"> </w:t>
      </w:r>
      <w:r>
        <w:t xml:space="preserve">у вигляді JSON-файлу з повними метриками, CSV-таблиць для включення в розділ 3, 4, 5 цього документа та зведеного PDF-звіту.</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k-U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2026-06-07T08:46:57Z</dcterms:created>
  <dcterms:modified xsi:type="dcterms:W3CDTF">2026-06-07T08:46:57Z</dcterms:modified>
</cp:coreProperties>
</file>

<file path=docProps/custom.xml><?xml version="1.0" encoding="utf-8"?>
<Properties xmlns="http://schemas.openxmlformats.org/officeDocument/2006/custom-properties" xmlns:vt="http://schemas.openxmlformats.org/officeDocument/2006/docPropsVTypes"/>
</file>