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Heading1"/>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Heading1"/>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Heading1"/>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Heading1"/>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Courier New" w:hAnsi="Courier New" w:cs="Courier New"/>
          <w:sz w:val="24"/>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Heading1"/>
      </w:pPr>
      <w:r>
        <w:rPr>
          <w:rFonts w:ascii="Times New Roman" w:hAnsi="Times New Roman" w:cs="Times New Roman" w:eastAsia="Times New Roman"/>
          <w:b/>
          <w:i w:val="0"/>
          <w:sz w:val="28"/>
          <w:color w:val="000000"/>
        </w:rPr>
        <w:t>1 АНАЛІЗ ПРЕДМЕТНОЇ ОБЛАСТІ ТА ІСНУЮЧИХ РІШЕНЬ</w:t>
      </w:r>
    </w:p>
    <w:p>
      <w:pPr>
        <w:pStyle w:val="Heading2"/>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Heading2"/>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Heading2"/>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Heading2"/>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Heading2"/>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Heading2"/>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Heading2"/>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Heading2"/>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Heading2"/>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Heading1"/>
      </w:pPr>
      <w:r>
        <w:rPr>
          <w:rFonts w:ascii="Times New Roman" w:hAnsi="Times New Roman" w:cs="Times New Roman" w:eastAsia="Times New Roman"/>
          <w:b/>
          <w:i w:val="0"/>
          <w:sz w:val="28"/>
          <w:color w:val="000000"/>
        </w:rPr>
        <w:t>2 АРХІТЕКТУРА ЗАПРОПОНОВАНОГО ЗАСОБУ</w:t>
      </w:r>
    </w:p>
    <w:p>
      <w:pPr>
        <w:pStyle w:val="Heading2"/>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Courier New" w:hAnsi="Courier New" w:cs="Courier New"/>
          <w:sz w:val="24"/>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Courier New" w:hAnsi="Courier New" w:cs="Courier New"/>
          <w:sz w:val="24"/>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Courier New" w:hAnsi="Courier New" w:cs="Courier New"/>
          <w:sz w:val="24"/>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Courier New" w:hAnsi="Courier New" w:cs="Courier New"/>
          <w:sz w:val="24"/>
          <w:color w:val="000000"/>
        </w:rPr>
        <w:t>report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Courier New" w:hAnsi="Courier New" w:cs="Courier New"/>
          <w:sz w:val="24"/>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Courier New" w:hAnsi="Courier New" w:cs="Courier New"/>
          <w:sz w:val="24"/>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Heading2"/>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Courier New" w:hAnsi="Courier New" w:cs="Courier New"/>
          <w:sz w:val="24"/>
          <w:color w:val="000000"/>
        </w:rPr>
        <w:t>google-api-python-client</w:t>
      </w:r>
      <w:r>
        <w:rPr>
          <w:rFonts w:ascii="Times New Roman" w:hAnsi="Times New Roman" w:cs="Times New Roman" w:eastAsia="Times New Roman"/>
          <w:b w:val="0"/>
          <w:i w:val="0"/>
          <w:sz w:val="28"/>
          <w:color w:val="000000"/>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Courier New" w:hAnsi="Courier New" w:cs="Courier New"/>
          <w:sz w:val="24"/>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Courier New" w:hAnsi="Courier New" w:cs="Courier New"/>
          <w:sz w:val="24"/>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Courier New" w:hAnsi="Courier New" w:cs="Courier New"/>
          <w:sz w:val="24"/>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Courier New" w:hAnsi="Courier New" w:cs="Courier New"/>
          <w:sz w:val="24"/>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Courier New" w:hAnsi="Courier New" w:cs="Courier New"/>
          <w:sz w:val="24"/>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Courier New" w:hAnsi="Courier New" w:cs="Courier New"/>
          <w:sz w:val="24"/>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Courier New" w:hAnsi="Courier New" w:cs="Courier New"/>
          <w:sz w:val="24"/>
          <w:color w:val="000000"/>
        </w:rPr>
        <w:t>pypdf</w:t>
      </w:r>
      <w:r>
        <w:rPr>
          <w:rFonts w:ascii="Times New Roman" w:hAnsi="Times New Roman" w:cs="Times New Roman" w:eastAsia="Times New Roman"/>
          <w:b w:val="0"/>
          <w:i w:val="0"/>
          <w:sz w:val="28"/>
          <w:color w:val="000000"/>
        </w:rPr>
        <w:t xml:space="preserve">, для DOCX — </w:t>
      </w:r>
      <w:r>
        <w:rPr>
          <w:rFonts w:ascii="Courier New" w:hAnsi="Courier New" w:cs="Courier New"/>
          <w:sz w:val="24"/>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Courier New" w:hAnsi="Courier New" w:cs="Courier New"/>
          <w:sz w:val="24"/>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Heading2"/>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TableGrid"/>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Зразок значення</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8742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submission_id</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Cg4Ig5rr2-MBEMzV1emeGQ</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signal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ai_leakage</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channel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family</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17</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evidence_json</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{"matched_phrase": "Certainly! Here", "rule_family": "llm_comment", "rule_precision_on_synth": 1.00}</w:t>
            </w:r>
          </w:p>
        </w:tc>
      </w:tr>
    </w:tbl>
    <w:p>
      <w:pPr>
        <w:pStyle w:val="Heading2"/>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Heading1"/>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Courier New" w:hAnsi="Courier New" w:cs="Courier New"/>
          <w:sz w:val="24"/>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Heading2"/>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Courier New" w:hAnsi="Courier New" w:cs="Courier New"/>
          <w:sz w:val="24"/>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Courier New" w:hAnsi="Courier New" w:cs="Courier New"/>
          <w:sz w:val="24"/>
          <w:color w:val="000000"/>
        </w:rPr>
        <w:t>NUM</w:t>
      </w:r>
      <w:r>
        <w:rPr>
          <w:rFonts w:ascii="Times New Roman" w:hAnsi="Times New Roman" w:cs="Times New Roman" w:eastAsia="Times New Roman"/>
          <w:b w:val="0"/>
          <w:i w:val="0"/>
          <w:sz w:val="28"/>
          <w:color w:val="000000"/>
        </w:rPr>
        <w:t xml:space="preserve">, рядкові — у </w:t>
      </w:r>
      <w:r>
        <w:rPr>
          <w:rFonts w:ascii="Courier New" w:hAnsi="Courier New" w:cs="Courier New"/>
          <w:sz w:val="24"/>
          <w:color w:val="000000"/>
        </w:rPr>
        <w:t>STR</w:t>
      </w:r>
      <w:r>
        <w:rPr>
          <w:rFonts w:ascii="Times New Roman" w:hAnsi="Times New Roman" w:cs="Times New Roman" w:eastAsia="Times New Roman"/>
          <w:b w:val="0"/>
          <w:i w:val="0"/>
          <w:sz w:val="28"/>
          <w:color w:val="000000"/>
        </w:rPr>
        <w:t xml:space="preserve">, байтові — у </w:t>
      </w:r>
      <w:r>
        <w:rPr>
          <w:rFonts w:ascii="Courier New" w:hAnsi="Courier New" w:cs="Courier New"/>
          <w:sz w:val="24"/>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Courier New" w:hAnsi="Courier New" w:cs="Courier New"/>
          <w:sz w:val="24"/>
          <w:color w:val="000000"/>
        </w:rPr>
        <w:t>NEWLINE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INDENT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ENCODING</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Courier New" w:hAnsi="Courier New" w:cs="Courier New"/>
          <w:sz w:val="24"/>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Heading2"/>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Courier New" w:hAnsi="Courier New" w:cs="Courier New"/>
          <w:sz w:val="24"/>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Courier New" w:hAnsi="Courier New" w:cs="Courier New"/>
          <w:sz w:val="24"/>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Courier New" w:hAnsi="Courier New" w:cs="Courier New"/>
          <w:sz w:val="24"/>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Courier New" w:hAnsi="Courier New" w:cs="Courier New"/>
          <w:sz w:val="24"/>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Heading2"/>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у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Courier New" w:hAnsi="Courier New" w:cs="Courier New"/>
          <w:sz w:val="24"/>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Courier New" w:hAnsi="Courier New" w:cs="Courier New"/>
          <w:sz w:val="24"/>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Courier New" w:hAnsi="Courier New" w:cs="Courier New"/>
          <w:sz w:val="24"/>
          <w:color w:val="000000"/>
        </w:rPr>
        <w:t>ast.Name</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"Constant"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"NUM"</w:t>
      </w:r>
      <w:r>
        <w:rPr>
          <w:rFonts w:ascii="Times New Roman" w:hAnsi="Times New Roman" w:cs="Times New Roman" w:eastAsia="Times New Roman"/>
          <w:b w:val="0"/>
          <w:i w:val="0"/>
          <w:sz w:val="28"/>
          <w:color w:val="000000"/>
        </w:rPr>
        <w:t>|</w:t>
      </w:r>
      <w:r>
        <w:rPr>
          <w:rFonts w:ascii="Courier New" w:hAnsi="Courier New" w:cs="Courier New"/>
          <w:sz w:val="24"/>
          <w:color w:val="000000"/>
        </w:rPr>
        <w:t>"STR"</w:t>
      </w:r>
      <w:r>
        <w:rPr>
          <w:rFonts w:ascii="Times New Roman" w:hAnsi="Times New Roman" w:cs="Times New Roman" w:eastAsia="Times New Roman"/>
          <w:b w:val="0"/>
          <w:i w:val="0"/>
          <w:sz w:val="28"/>
          <w:color w:val="000000"/>
        </w:rPr>
        <w:t>|</w:t>
      </w:r>
      <w:r>
        <w:rPr>
          <w:rFonts w:ascii="Courier New" w:hAnsi="Courier New" w:cs="Courier New"/>
          <w:sz w:val="24"/>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attr</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module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arg</w:t>
      </w:r>
      <w:r>
        <w:rPr>
          <w:rFonts w:ascii="Times New Roman" w:hAnsi="Times New Roman" w:cs="Times New Roman" w:eastAsia="Times New Roman"/>
          <w:b w:val="0"/>
          <w:i w:val="0"/>
          <w:sz w:val="28"/>
          <w:color w:val="000000"/>
        </w:rPr>
        <w:t xml:space="preserve"> нормалізуються до </w:t>
      </w:r>
      <w:r>
        <w:rPr>
          <w:rFonts w:ascii="Courier New" w:hAnsi="Courier New" w:cs="Courier New"/>
          <w:sz w:val="24"/>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Courier New" w:hAnsi="Courier New" w:cs="Courier New"/>
          <w:sz w:val="24"/>
          <w:color w:val="000000"/>
        </w:rPr>
        <w:t>value</w:t>
      </w:r>
      <w:r>
        <w:rPr>
          <w:rFonts w:ascii="Times New Roman" w:hAnsi="Times New Roman" w:cs="Times New Roman" w:eastAsia="Times New Roman"/>
          <w:b w:val="0"/>
          <w:i w:val="0"/>
          <w:sz w:val="28"/>
          <w:color w:val="000000"/>
        </w:rPr>
        <w:t xml:space="preserve"> — до </w:t>
      </w:r>
      <w:r>
        <w:rPr>
          <w:rFonts w:ascii="Courier New" w:hAnsi="Courier New" w:cs="Courier New"/>
          <w:sz w:val="24"/>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Courier New" w:hAnsi="Courier New" w:cs="Courier New"/>
          <w:sz w:val="24"/>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Load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Courier New" w:hAnsi="Courier New" w:cs="Courier New"/>
          <w:sz w:val="24"/>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Courier New" w:hAnsi="Courier New" w:cs="Courier New"/>
          <w:sz w:val="24"/>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Heading2"/>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Courier New" w:hAnsi="Courier New" w:cs="Courier New"/>
          <w:sz w:val="24"/>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несе тип каналу (</w:t>
      </w:r>
      <w:r>
        <w:rPr>
          <w:rFonts w:ascii="Courier New" w:hAnsi="Courier New" w:cs="Courier New"/>
          <w:sz w:val="24"/>
          <w:color w:val="000000"/>
        </w:rPr>
        <w:t>winnowing</w:t>
      </w:r>
      <w:r>
        <w:rPr>
          <w:rFonts w:ascii="Times New Roman" w:hAnsi="Times New Roman" w:cs="Times New Roman" w:eastAsia="Times New Roman"/>
          <w:b w:val="0"/>
          <w:i w:val="0"/>
          <w:sz w:val="28"/>
          <w:color w:val="000000"/>
        </w:rPr>
        <w:t xml:space="preserve"> або </w:t>
      </w:r>
      <w:r>
        <w:rPr>
          <w:rFonts w:ascii="Courier New" w:hAnsi="Courier New" w:cs="Courier New"/>
          <w:sz w:val="24"/>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Heading2"/>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Courier New" w:hAnsi="Courier New" w:cs="Courier New"/>
          <w:sz w:val="24"/>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Heading2"/>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Courier New" w:hAnsi="Courier New" w:cs="Courier New"/>
          <w:sz w:val="24"/>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Courier New" w:hAnsi="Courier New" w:cs="Courier New"/>
          <w:sz w:val="24"/>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Courier New" w:hAnsi="Courier New" w:cs="Courier New"/>
          <w:sz w:val="24"/>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Courier New" w:hAnsi="Courier New" w:cs="Courier New"/>
          <w:sz w:val="24"/>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Heading1"/>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Heading2"/>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Heading2"/>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Courier New" w:hAnsi="Courier New" w:cs="Courier New"/>
          <w:sz w:val="24"/>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з полями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Courier New" w:hAnsi="Courier New" w:cs="Courier New"/>
          <w:sz w:val="24"/>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Courier New" w:hAnsi="Courier New" w:cs="Courier New"/>
          <w:sz w:val="24"/>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 markdown-болд </w:t>
      </w:r>
      <w:r>
        <w:rPr>
          <w:rFonts w:ascii="Courier New" w:hAnsi="Courier New" w:cs="Courier New"/>
          <w:sz w:val="24"/>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Courier New" w:hAnsi="Courier New" w:cs="Courier New"/>
          <w:sz w:val="24"/>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Heading2"/>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Courier New" w:hAnsi="Courier New" w:cs="Courier New"/>
          <w:sz w:val="24"/>
          <w:color w:val="000000"/>
        </w:rPr>
        <w:t>register(Rule(...))</w:t>
      </w:r>
      <w:r>
        <w:rPr>
          <w:rFonts w:ascii="Times New Roman" w:hAnsi="Times New Roman" w:cs="Times New Roman" w:eastAsia="Times New Roman"/>
          <w:b w:val="0"/>
          <w:i w:val="0"/>
          <w:sz w:val="28"/>
          <w:color w:val="000000"/>
        </w:rPr>
        <w:t xml:space="preserve">. Поля об'єкта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Courier New" w:hAnsi="Courier New" w:cs="Courier New"/>
          <w:sz w:val="24"/>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xml:space="preserve"> — функція </w:t>
      </w:r>
      <w:r>
        <w:rPr>
          <w:rFonts w:ascii="Courier New" w:hAnsi="Courier New" w:cs="Courier New"/>
          <w:sz w:val="24"/>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measured_precision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Courier New" w:hAnsi="Courier New" w:cs="Courier New"/>
          <w:sz w:val="24"/>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Courier New" w:hAnsi="Courier New" w:cs="Courier New"/>
          <w:sz w:val="24"/>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Courier New" w:hAnsi="Courier New" w:cs="Courier New"/>
          <w:sz w:val="24"/>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Виклик </w:t>
      </w:r>
      <w:r>
        <w:rPr>
          <w:rFonts w:ascii="Courier New" w:hAnsi="Courier New" w:cs="Courier New"/>
          <w:sz w:val="24"/>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Courier New" w:hAnsi="Courier New" w:cs="Courier New"/>
          <w:sz w:val="24"/>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Heading2"/>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Heading2"/>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Courier New" w:hAnsi="Courier New" w:cs="Courier New"/>
          <w:sz w:val="24"/>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Courier New" w:hAnsi="Courier New" w:cs="Courier New"/>
          <w:sz w:val="24"/>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Courier New" w:hAnsi="Courier New" w:cs="Courier New"/>
          <w:sz w:val="24"/>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TableGrid"/>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FN</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Heading1"/>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Heading2"/>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Courier New" w:hAnsi="Courier New" w:cs="Courier New"/>
          <w:sz w:val="24"/>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Courier New" w:hAnsi="Courier New" w:cs="Courier New"/>
          <w:sz w:val="24"/>
          <w:color w:val="000000"/>
        </w:rPr>
        <w:t>url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score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Heading2"/>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Реалізація — </w:t>
      </w:r>
      <w:r>
        <w:rPr>
          <w:rFonts w:ascii="Courier New" w:hAnsi="Courier New" w:cs="Courier New"/>
          <w:sz w:val="24"/>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Courier New" w:hAnsi="Courier New" w:cs="Courier New"/>
          <w:sz w:val="24"/>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Heading2"/>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Heading2"/>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5.2 — Результати системного прогону на тестових сабмішнах</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account1-docs-tutorial</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account2-ml-essay</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account3-markdown-parser</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account4-stats-with-notes</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Heading2"/>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xml:space="preserve">. Інтерфейс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Courier New" w:hAnsi="Courier New" w:cs="Courier New"/>
          <w:sz w:val="24"/>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Heading1"/>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llm_boilerplate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Heading1"/>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Heading1"/>
      </w:pPr>
      <w:r>
        <w:rPr>
          <w:rFonts w:ascii="Times New Roman" w:hAnsi="Times New Roman" w:cs="Times New Roman" w:eastAsia="Times New Roman"/>
          <w:b/>
          <w:i w:val="0"/>
          <w:sz w:val="28"/>
          <w:color w:val="000000"/>
        </w:rPr>
        <w:t>ДОДАТОК А</w:t>
      </w:r>
    </w:p>
    <w:p>
      <w:pPr>
        <w:pStyle w:val="Heading1"/>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Courier New" w:hAnsi="Courier New" w:cs="Courier New"/>
          <w:sz w:val="24"/>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Courier New" w:hAnsi="Courier New" w:cs="Courier New"/>
          <w:sz w:val="24"/>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Courier New" w:hAnsi="Courier New" w:cs="Courier New"/>
          <w:sz w:val="24"/>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Courier New" w:hAnsi="Courier New" w:cs="Courier New"/>
          <w:sz w:val="24"/>
          <w:color w:val="000000"/>
        </w:rPr>
        <w:t>for j in range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lst[j+1]</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Courier New" w:hAnsi="Courier New" w:cs="Courier New"/>
          <w:sz w:val="24"/>
          <w:color w:val="000000"/>
        </w:rPr>
        <w:t>lst → nums</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Heading1"/>
      </w:pPr>
      <w:r>
        <w:rPr>
          <w:rFonts w:ascii="Times New Roman" w:hAnsi="Times New Roman" w:cs="Times New Roman" w:eastAsia="Times New Roman"/>
          <w:b/>
          <w:i w:val="0"/>
          <w:sz w:val="28"/>
          <w:color w:val="000000"/>
        </w:rPr>
        <w:t>ДОДАТОК Б</w:t>
      </w:r>
    </w:p>
    <w:p>
      <w:pPr>
        <w:pStyle w:val="Heading1"/>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Courier New" w:hAnsi="Courier New" w:cs="Courier New"/>
          <w:sz w:val="24"/>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TableGrid"/>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Стислий опис</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Сервісна репліка «Here's the function/code/solution…»</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Підпис «I hope this helps» / «Let me know if…»</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«Звичайно! Ось…», «Звісно, ось код…»</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«Ось функція», «Ось розв'язок»</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Секція </w:t>
            </w:r>
            <w:r>
              <w:rPr>
                <w:rFonts w:ascii="Courier New" w:hAnsi="Courier New" w:cs="Times New Roman" w:eastAsia="Times New Roman"/>
                <w:b w:val="0"/>
                <w:i w:val="0"/>
                <w:sz w:val="22"/>
                <w:color w:val="000000"/>
              </w:rPr>
              <w:t># Example usage: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Інлайн </w:t>
            </w:r>
            <w:r>
              <w:rPr>
                <w:rFonts w:ascii="Courier New" w:hAnsi="Courier New" w:cs="Times New Roman" w:eastAsia="Times New Roman"/>
                <w:b w:val="0"/>
                <w:i w:val="0"/>
                <w:sz w:val="22"/>
                <w:color w:val="000000"/>
              </w:rPr>
              <w:t># Time complexity: O(n^2)</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≥2 блоків </w:t>
            </w:r>
            <w:r>
              <w:rPr>
                <w:rFonts w:ascii="Courier New" w:hAnsi="Courier New" w:cs="Times New Roman" w:eastAsia="Times New Roman"/>
                <w:b w:val="0"/>
                <w:i w:val="0"/>
                <w:sz w:val="22"/>
                <w:color w:val="000000"/>
              </w:rPr>
              <w:t># Note:</w:t>
            </w:r>
            <w:r>
              <w:rPr>
                <w:rFonts w:ascii="Times New Roman" w:hAnsi="Times New Roman" w:cs="Times New Roman" w:eastAsia="Times New Roman"/>
                <w:b w:val="0"/>
                <w:i w:val="0"/>
                <w:sz w:val="24"/>
                <w:color w:val="000000"/>
              </w:rPr>
              <w:t xml:space="preserve"> у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Потрійні backticks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 xml:space="preserve"> у </w:t>
            </w:r>
            <w:r>
              <w:rPr>
                <w:rFonts w:ascii="Times New Roman" w:hAnsi="Times New Roman" w:cs="Times New Roman" w:eastAsia="Times New Roman"/>
                <w:b w:val="0"/>
                <w:i w:val="0"/>
                <w:sz w:val="24"/>
                <w:color w:val="000000"/>
              </w:rPr>
              <w:t>.py</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.cpp</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.java`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Мовно-маркований fence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python</w:t>
            </w:r>
            <w:r>
              <w:rPr>
                <w:rFonts w:ascii="Times New Roman" w:hAnsi="Times New Roman" w:cs="Times New Roman" w:eastAsia="Times New Roman"/>
                <w:b w:val="0"/>
                <w:i w:val="0"/>
                <w:sz w:val="24"/>
                <w:color w:val="000000"/>
              </w:rPr>
              <w:t xml:space="preserv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cpp</w:t>
            </w:r>
            <w:r>
              <w:rPr>
                <w:rFonts w:ascii="Times New Roman" w:hAnsi="Times New Roman" w:cs="Times New Roman" w:eastAsia="Times New Roman"/>
                <w:b w:val="0"/>
                <w:i w:val="0"/>
                <w:sz w:val="24"/>
                <w:color w:val="000000"/>
              </w:rPr>
              <w: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Markdown-болд </w:t>
            </w:r>
            <w:r>
              <w:rPr>
                <w:rFonts w:ascii="Courier New" w:hAnsi="Courier New" w:cs="Times New Roman" w:eastAsia="Times New Roman"/>
                <w:b w:val="0"/>
                <w:i w:val="0"/>
                <w:sz w:val="22"/>
                <w:color w:val="000000"/>
              </w:rPr>
              <w:t>**слова**</w:t>
            </w:r>
            <w:r>
              <w:rPr>
                <w:rFonts w:ascii="Times New Roman" w:hAnsi="Times New Roman" w:cs="Times New Roman" w:eastAsia="Times New Roman"/>
                <w:b w:val="0"/>
                <w:i w:val="0"/>
                <w:sz w:val="24"/>
                <w:color w:val="000000"/>
              </w:rPr>
              <w:t xml:space="preserve"> у двох і більше місцях</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Відмовний лід «I'm sorry, but I cannot…»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Формула «I cannot provide implementation/code…»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«My knowledge cutoff is…», «as of my last update»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 жаль, я не можу надати…»</w:t>
            </w:r>
          </w:p>
        </w:tc>
      </w:tr>
    </w:tbl>
    <w:p>
      <w:pPr>
        <w:pStyle w:val="Heading1"/>
      </w:pPr>
      <w:r>
        <w:rPr>
          <w:rFonts w:ascii="Times New Roman" w:hAnsi="Times New Roman" w:cs="Times New Roman" w:eastAsia="Times New Roman"/>
          <w:b/>
          <w:i w:val="0"/>
          <w:sz w:val="28"/>
          <w:color w:val="000000"/>
        </w:rPr>
        <w:t>ДОДАТОК В</w:t>
      </w:r>
    </w:p>
    <w:p>
      <w:pPr>
        <w:pStyle w:val="Heading1"/>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Courier New" w:hAnsi="Courier New" w:cs="Courier New"/>
          <w:sz w:val="24"/>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240" w:lineRule="auto"/>
        <w:ind w:firstLine="0" w:left="0" w:right="0"/>
        <w:jc w:val="left"/>
      </w:pPr>
      <w:r>
        <w:rPr>
          <w:rFonts w:ascii="Courier New" w:hAnsi="Courier New"/>
          <w:sz w:val="22"/>
        </w:rPr>
        <w:t># Оцінка таксономії правил на синтетичному корпусі (130 прикладів,</w:t>
      </w:r>
    </w:p>
    <w:p>
      <w:pPr>
        <w:spacing w:before="0" w:after="0" w:line="240" w:lineRule="auto"/>
        <w:ind w:firstLine="0" w:left="0" w:right="0"/>
        <w:jc w:val="left"/>
      </w:pPr>
      <w:r>
        <w:rPr>
          <w:rFonts w:ascii="Courier New" w:hAnsi="Courier New"/>
          <w:sz w:val="22"/>
        </w:rPr>
        <w:t># 19 правил, фіксований seed). Виводить per-rule precision/recall/F1</w:t>
      </w:r>
    </w:p>
    <w:p>
      <w:pPr>
        <w:spacing w:before="0" w:after="0" w:line="240" w:lineRule="auto"/>
        <w:ind w:firstLine="0" w:left="0" w:right="0"/>
        <w:jc w:val="left"/>
      </w:pPr>
      <w:r>
        <w:rPr>
          <w:rFonts w:ascii="Courier New" w:hAnsi="Courier New"/>
          <w:sz w:val="22"/>
        </w:rPr>
        <w:t># та зведену оцінку.</w:t>
      </w:r>
    </w:p>
    <w:p>
      <w:pPr>
        <w:spacing w:before="0" w:after="0" w:line="240" w:lineRule="auto"/>
        <w:ind w:firstLine="0" w:left="0" w:right="0"/>
        <w:jc w:val="left"/>
      </w:pPr>
      <w:r>
        <w:rPr>
          <w:rFonts w:ascii="Courier New" w:hAnsi="Courier New"/>
          <w:sz w:val="22"/>
        </w:rPr>
        <w:t>python -m eval.run_eval --signal ai_leakage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Оцінка каналів когортного порівняння на синтетичному корпусі</w:t>
      </w:r>
    </w:p>
    <w:p>
      <w:pPr>
        <w:spacing w:before="0" w:after="0" w:line="240" w:lineRule="auto"/>
        <w:ind w:firstLine="0" w:left="0" w:right="0"/>
        <w:jc w:val="left"/>
      </w:pPr>
      <w:r>
        <w:rPr>
          <w:rFonts w:ascii="Courier New" w:hAnsi="Courier New"/>
          <w:sz w:val="22"/>
        </w:rPr>
        <w:t># (100 пар: 60 unrelated, 15 exact, 10 reordered, 15 renamed).</w:t>
      </w:r>
    </w:p>
    <w:p>
      <w:pPr>
        <w:spacing w:before="0" w:after="0" w:line="240" w:lineRule="auto"/>
        <w:ind w:firstLine="0" w:left="0" w:right="0"/>
        <w:jc w:val="left"/>
      </w:pPr>
      <w:r>
        <w:rPr>
          <w:rFonts w:ascii="Courier New" w:hAnsi="Courier New"/>
          <w:sz w:val="22"/>
        </w:rPr>
        <w:t># Виводить таблицю «частка виявлень за порога 0.30» по категоріях</w:t>
      </w:r>
    </w:p>
    <w:p>
      <w:pPr>
        <w:spacing w:before="0" w:after="0" w:line="240" w:lineRule="auto"/>
        <w:ind w:firstLine="0" w:left="0" w:right="0"/>
        <w:jc w:val="left"/>
      </w:pPr>
      <w:r>
        <w:rPr>
          <w:rFonts w:ascii="Courier New" w:hAnsi="Courier New"/>
          <w:sz w:val="22"/>
        </w:rPr>
        <w:t># і ROC-AUC для трьох класифікаторів (winnow, ast, combined).</w:t>
      </w:r>
    </w:p>
    <w:p>
      <w:pPr>
        <w:spacing w:before="0" w:after="0" w:line="240" w:lineRule="auto"/>
        <w:ind w:firstLine="0" w:left="0" w:right="0"/>
        <w:jc w:val="left"/>
      </w:pPr>
      <w:r>
        <w:rPr>
          <w:rFonts w:ascii="Courier New" w:hAnsi="Courier New"/>
          <w:sz w:val="22"/>
        </w:rPr>
        <w:t>python -m eval.run_eval --signal cohort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Зведений системний прогін — обидва канали плюс ранжувальник.</w:t>
      </w:r>
    </w:p>
    <w:p>
      <w:pPr>
        <w:spacing w:before="0" w:after="0" w:line="240" w:lineRule="auto"/>
        <w:ind w:firstLine="0" w:left="0" w:right="0"/>
        <w:jc w:val="left"/>
      </w:pPr>
      <w:r>
        <w:rPr>
          <w:rFonts w:ascii="Courier New" w:hAnsi="Courier New"/>
          <w:sz w:val="22"/>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240" w:lineRule="auto"/>
        <w:ind w:firstLine="0" w:left="0" w:right="0"/>
        <w:jc w:val="left"/>
      </w:pPr>
      <w:r>
        <w:rPr>
          <w:rFonts w:ascii="Courier New" w:hAnsi="Courier New"/>
          <w:sz w:val="22"/>
        </w:rPr>
        <w:t># app/signals/cohort/compare.py</w:t>
      </w:r>
    </w:p>
    <w:p>
      <w:pPr>
        <w:spacing w:before="0" w:after="0" w:line="240" w:lineRule="auto"/>
        <w:ind w:firstLine="0" w:left="0" w:right="0"/>
        <w:jc w:val="left"/>
      </w:pPr>
      <w:r>
        <w:rPr>
          <w:rFonts w:ascii="Courier New" w:hAnsi="Courier New"/>
          <w:sz w:val="22"/>
        </w:rPr>
        <w:t>WINNOW_K = 5         # довжина k-грами токенів</w:t>
      </w:r>
    </w:p>
    <w:p>
      <w:pPr>
        <w:spacing w:before="0" w:after="0" w:line="240" w:lineRule="auto"/>
        <w:ind w:firstLine="0" w:left="0" w:right="0"/>
        <w:jc w:val="left"/>
      </w:pPr>
      <w:r>
        <w:rPr>
          <w:rFonts w:ascii="Courier New" w:hAnsi="Courier New"/>
          <w:sz w:val="22"/>
        </w:rPr>
        <w:t>WINNOW_W = 4         # ширина вікна</w:t>
      </w:r>
    </w:p>
    <w:p>
      <w:pPr>
        <w:spacing w:before="0" w:after="0" w:line="240" w:lineRule="auto"/>
        <w:ind w:firstLine="0" w:left="0" w:right="0"/>
        <w:jc w:val="left"/>
      </w:pPr>
      <w:r>
        <w:rPr>
          <w:rFonts w:ascii="Courier New" w:hAnsi="Courier New"/>
          <w:sz w:val="22"/>
        </w:rPr>
        <w:t>WINNOW_MIN_SCORE = 0.40</w:t>
      </w:r>
    </w:p>
    <w:p>
      <w:pPr>
        <w:spacing w:before="0" w:after="0" w:line="240" w:lineRule="auto"/>
        <w:ind w:firstLine="0" w:left="0" w:right="0"/>
        <w:jc w:val="left"/>
      </w:pPr>
      <w:r>
        <w:rPr>
          <w:rFonts w:ascii="Courier New" w:hAnsi="Courier New"/>
          <w:sz w:val="22"/>
        </w:rPr>
        <w:t>AST_MIN_SCORE = 0.45</w:t>
      </w:r>
    </w:p>
    <w:p>
      <w:pPr>
        <w:spacing w:before="0" w:after="0" w:line="240" w:lineRule="auto"/>
        <w:ind w:firstLine="0" w:left="0" w:right="0"/>
        <w:jc w:val="left"/>
      </w:pPr>
      <w:r>
        <w:rPr>
          <w:rFonts w:ascii="Courier New" w:hAnsi="Courier New"/>
          <w:sz w:val="22"/>
        </w:rPr>
        <w:t>MAX_SPANS_PER_MATCH = 4</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app/signals/cohort/ast_hash.py</w:t>
      </w:r>
    </w:p>
    <w:p>
      <w:pPr>
        <w:spacing w:before="0" w:after="0" w:line="240" w:lineRule="auto"/>
        <w:ind w:firstLine="0" w:left="0" w:right="0"/>
        <w:jc w:val="left"/>
      </w:pPr>
      <w:r>
        <w:rPr>
          <w:rFonts w:ascii="Courier New" w:hAnsi="Courier New"/>
          <w:sz w:val="22"/>
        </w:rPr>
        <w:t>MIN_SUBTREE_SIZE = 6  # піддерева меншого розміру ігноруються</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app/report/ranker.py</w:t>
      </w:r>
    </w:p>
    <w:p>
      <w:pPr>
        <w:spacing w:before="0" w:after="0" w:line="240" w:lineRule="auto"/>
        <w:ind w:firstLine="0" w:left="0" w:right="0"/>
        <w:jc w:val="left"/>
      </w:pPr>
      <w:r>
        <w:rPr>
          <w:rFonts w:ascii="Courier New" w:hAnsi="Courier New"/>
          <w:sz w:val="22"/>
        </w:rPr>
        <w:t>WEIGHTS = {</w:t>
      </w:r>
    </w:p>
    <w:p>
      <w:pPr>
        <w:spacing w:before="0" w:after="0" w:line="240" w:lineRule="auto"/>
        <w:ind w:firstLine="0" w:left="0" w:right="0"/>
        <w:jc w:val="left"/>
      </w:pPr>
      <w:r>
        <w:rPr>
          <w:rFonts w:ascii="Courier New" w:hAnsi="Courier New"/>
          <w:sz w:val="22"/>
        </w:rPr>
        <w:t xml:space="preserve">    "leakage": 3.0,</w:t>
      </w:r>
    </w:p>
    <w:p>
      <w:pPr>
        <w:spacing w:before="0" w:after="0" w:line="240" w:lineRule="auto"/>
        <w:ind w:firstLine="0" w:left="0" w:right="0"/>
        <w:jc w:val="left"/>
      </w:pPr>
      <w:r>
        <w:rPr>
          <w:rFonts w:ascii="Courier New" w:hAnsi="Courier New"/>
          <w:sz w:val="22"/>
        </w:rPr>
        <w:t xml:space="preserve">    "cohort_winnowing": 5.0,</w:t>
      </w:r>
    </w:p>
    <w:p>
      <w:pPr>
        <w:spacing w:before="0" w:after="0" w:line="240" w:lineRule="auto"/>
        <w:ind w:firstLine="0" w:left="0" w:right="0"/>
        <w:jc w:val="left"/>
      </w:pPr>
      <w:r>
        <w:rPr>
          <w:rFonts w:ascii="Courier New" w:hAnsi="Courier New"/>
          <w:sz w:val="22"/>
        </w:rPr>
        <w:t xml:space="preserve">    "cohort_ast": 3.0,</w:t>
      </w:r>
    </w:p>
    <w:p>
      <w:pPr>
        <w:spacing w:before="0" w:after="0" w:line="240" w:lineRule="auto"/>
        <w:ind w:firstLine="0" w:left="0" w:right="0"/>
        <w:jc w:val="left"/>
      </w:pPr>
      <w:r>
        <w:rPr>
          <w:rFonts w:ascii="Courier New" w:hAnsi="Courier New"/>
          <w:sz w:val="22"/>
        </w:rPr>
        <w:t xml:space="preserve">    "web": 3.0,</w:t>
      </w:r>
    </w:p>
    <w:p>
      <w:pPr>
        <w:spacing w:before="0" w:after="0" w:line="240" w:lineRule="auto"/>
        <w:ind w:firstLine="0" w:left="0" w:right="0"/>
        <w:jc w:val="left"/>
      </w:pPr>
      <w:r>
        <w:rPr>
          <w:rFonts w:ascii="Courier New" w:hAnsi="Courier New"/>
          <w:sz w:val="22"/>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Courier New" w:hAnsi="Courier New" w:cs="Courier New"/>
          <w:sz w:val="24"/>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FC693F" w:rsidRPr="0006063C" w:rsidSect="00034616">
      <w:headerReference w:type="default" r:id="rId9"/>
      <w:headerReference w:type="first" r:id="rId10"/>
      <w:pgSz w:w="11906" w:h="16838"/>
      <w:pgMar w:top="1134" w:right="567" w:bottom="1134"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i w:val="0"/>
        <w:sz w:val="28"/>
        <w:color w:val="000000"/>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ind w:firstLine="0" w:left="0" w:right="0"/>
      <w:jc w:val="center"/>
      <w:outlineLvl w:val="0"/>
      <w:pageBreakBefore/>
    </w:pPr>
    <w:rPr>
      <w:rFonts w:asciiTheme="majorHAnsi" w:eastAsiaTheme="majorEastAsia" w:hAnsiTheme="majorHAnsi" w:cstheme="majorBidi" w:ascii="Times New Roman" w:hAnsi="Times New Roman" w:cs="Times New Roman" w:eastAsia="Times New Roman"/>
      <w:b/>
      <w:bCs/>
      <w:i w:val="0"/>
      <w:color w:val="000000"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720" w:left="0"/>
      <w:jc w:val="left"/>
      <w:outlineLvl w:val="1"/>
    </w:pPr>
    <w:rPr>
      <w:rFonts w:asciiTheme="majorHAnsi" w:eastAsiaTheme="majorEastAsia" w:hAnsiTheme="majorHAnsi" w:cstheme="majorBidi" w:ascii="Times New Roman" w:hAnsi="Times New Roman" w:cs="Times New Roman" w:eastAsia="Times New Roman"/>
      <w:b/>
      <w:bCs/>
      <w:i w:val="0"/>
      <w:color w:val="000000"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