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办公场地租赁合同</w:t>
      </w:r>
    </w:p>
    <w:p>
      <w:pPr>
        <w:jc w:val="center"/>
      </w:pPr>
      <w:r>
        <w:rPr>
          <w:sz w:val="21"/>
        </w:rPr>
        <w:t>编号：ZL-2026-0701</w:t>
      </w:r>
    </w:p>
    <w:p>
      <w:r>
        <w:rPr>
          <w:i/>
          <w:sz w:val="19"/>
        </w:rPr>
        <w:t>说明：本合同为测试样本，所有主体、地址、账号、金额等信息均为虚构，仅用于系统测试。</w:t>
      </w:r>
    </w:p>
    <w:p>
      <w:r>
        <w:rPr>
          <w:b/>
          <w:sz w:val="25"/>
        </w:rPr>
        <w:t>一、合同主体</w:t>
      </w:r>
    </w:p>
    <w:p>
      <w:r>
        <w:rPr>
          <w:sz w:val="22"/>
        </w:rPr>
        <w:t>出租方（甲方）：青岳商务运营管理有限公司</w:t>
      </w:r>
    </w:p>
    <w:p>
      <w:r>
        <w:rPr>
          <w:sz w:val="22"/>
        </w:rPr>
        <w:t>统一社会信用代码：91440100MA8FAKE707</w:t>
      </w:r>
    </w:p>
    <w:p>
      <w:r>
        <w:rPr>
          <w:sz w:val="22"/>
        </w:rPr>
        <w:t>住所地：广东省青岳市天河商务区望海路66号</w:t>
      </w:r>
    </w:p>
    <w:p>
      <w:r>
        <w:rPr>
          <w:sz w:val="22"/>
        </w:rPr>
        <w:t>联系人：唐知微，联系电话：13990070077</w:t>
      </w:r>
    </w:p>
    <w:p>
      <w:r>
        <w:rPr>
          <w:sz w:val="22"/>
        </w:rPr>
        <w:t>承租方（乙方）：曜石互动科技（广州）有限公司</w:t>
      </w:r>
    </w:p>
    <w:p>
      <w:r>
        <w:rPr>
          <w:sz w:val="22"/>
        </w:rPr>
        <w:t>统一社会信用代码：91440100MA8FAKE808</w:t>
      </w:r>
    </w:p>
    <w:p>
      <w:r>
        <w:rPr>
          <w:sz w:val="22"/>
        </w:rPr>
        <w:t>住所地：广东省广州市海珠区新港东路188号</w:t>
      </w:r>
    </w:p>
    <w:p>
      <w:r>
        <w:rPr>
          <w:sz w:val="22"/>
        </w:rPr>
        <w:t>联系人：魏辰安，联系电话：13790080088</w:t>
      </w:r>
    </w:p>
    <w:p>
      <w:r>
        <w:rPr>
          <w:b/>
          <w:sz w:val="25"/>
        </w:rPr>
        <w:t>二、租赁标的</w:t>
      </w:r>
    </w:p>
    <w:p>
      <w:r>
        <w:rPr>
          <w:sz w:val="22"/>
        </w:rPr>
        <w:t>1. 租赁房屋：青岳中心T3栋12层1201、1202单元，建筑面积合计约1,280平方米。</w:t>
      </w:r>
    </w:p>
    <w:p>
      <w:r>
        <w:rPr>
          <w:sz w:val="22"/>
        </w:rPr>
        <w:t>2. 用途：乙方用于合法办公及配套会议接待，不得用于住宿、仓储危险品或其他违法用途。</w:t>
      </w:r>
    </w:p>
    <w:p>
      <w:r>
        <w:rPr>
          <w:b/>
          <w:sz w:val="25"/>
        </w:rPr>
        <w:t>三、租赁期限</w:t>
      </w:r>
    </w:p>
    <w:p>
      <w:r>
        <w:rPr>
          <w:sz w:val="22"/>
        </w:rPr>
        <w:t>1. 租赁期自2026年8月1日起至2029年7月31日止，共36个月。</w:t>
      </w:r>
    </w:p>
    <w:p>
      <w:r>
        <w:rPr>
          <w:sz w:val="22"/>
        </w:rPr>
        <w:t>2. 免租装修期为30日，自2026年8月1日至2026年8月30日。装修期内免收租金，但物业费、水电费及装修管理责任由乙方承担。</w:t>
      </w:r>
    </w:p>
    <w:p>
      <w:r>
        <w:rPr>
          <w:b/>
          <w:sz w:val="25"/>
        </w:rPr>
        <w:t>四、租金、保证金及费用</w:t>
      </w:r>
    </w:p>
    <w:p>
      <w:r>
        <w:rPr>
          <w:sz w:val="22"/>
        </w:rPr>
        <w:t>1. 首年租金标准为每月人民币153,600.00元（含税）。第二年起每年在上一年度基础上递增5%。</w:t>
      </w:r>
    </w:p>
    <w:p>
      <w:r>
        <w:rPr>
          <w:sz w:val="22"/>
        </w:rPr>
        <w:t>2. 乙方应于合同签订之日起5个工作日内向甲方支付履约保证金人民币307,200.00元。</w:t>
      </w:r>
    </w:p>
    <w:p>
      <w:r>
        <w:rPr>
          <w:sz w:val="22"/>
        </w:rPr>
        <w:t>3. 租金按季度支付，乙方应于每季度首月5日前支付当季租金。</w:t>
      </w:r>
    </w:p>
    <w:p>
      <w:r>
        <w:rPr>
          <w:sz w:val="22"/>
        </w:rPr>
        <w:t>4. 物业管理费按每月每平方米18元收取，按物业公司规则另行缴纳。</w:t>
      </w:r>
    </w:p>
    <w:p>
      <w:r>
        <w:rPr>
          <w:b/>
          <w:sz w:val="25"/>
        </w:rPr>
        <w:t>五、装修与使用管理</w:t>
      </w:r>
    </w:p>
    <w:p>
      <w:r>
        <w:rPr>
          <w:sz w:val="22"/>
        </w:rPr>
        <w:t>1. 乙方装修方案须事先报甲方和物业审核批准后方可施工。</w:t>
      </w:r>
    </w:p>
    <w:p>
      <w:r>
        <w:rPr>
          <w:sz w:val="22"/>
        </w:rPr>
        <w:t>2. 未经甲方书面同意，乙方不得拆改主体结构、外立面或公共设施。</w:t>
      </w:r>
    </w:p>
    <w:p>
      <w:r>
        <w:rPr>
          <w:sz w:val="22"/>
        </w:rPr>
        <w:t>3. 乙方应遵守楼宇管理制度，不得影响其他承租人正常办公。</w:t>
      </w:r>
    </w:p>
    <w:p>
      <w:r>
        <w:rPr>
          <w:b/>
          <w:sz w:val="25"/>
        </w:rPr>
        <w:t>六、违约与解除</w:t>
      </w:r>
    </w:p>
    <w:p>
      <w:r>
        <w:rPr>
          <w:sz w:val="22"/>
        </w:rPr>
        <w:t>1. 乙方逾期支付租金超过15日的，甲方有权按日收取应付未付金额万分之五的违约金；逾期超过30日的，甲方有权解除合同。</w:t>
      </w:r>
    </w:p>
    <w:p>
      <w:r>
        <w:rPr>
          <w:sz w:val="22"/>
        </w:rPr>
        <w:t>2. 甲方无正当理由提前收回租赁房屋的，应退还剩余租期对应租金并向乙方支付两个月租金作为违约金。</w:t>
      </w:r>
    </w:p>
    <w:p>
      <w:r>
        <w:rPr>
          <w:sz w:val="22"/>
        </w:rPr>
        <w:t>3. 因政府征收、不可抗力或房屋存在重大安全隐患导致合同目的无法实现的，双方可解除合同，互不承担违约责任。</w:t>
      </w:r>
    </w:p>
    <w:p>
      <w:r>
        <w:rPr>
          <w:b/>
          <w:sz w:val="25"/>
        </w:rPr>
        <w:t>七、争议解决</w:t>
      </w:r>
    </w:p>
    <w:p>
      <w:r>
        <w:rPr>
          <w:sz w:val="22"/>
        </w:rPr>
        <w:t>本合同履行中发生争议的，双方应先行协商；协商不成的，提交房屋所在地人民法院诉讼解决。</w:t>
      </w:r>
    </w:p>
    <w:p>
      <w:r>
        <w:rPr>
          <w:b/>
          <w:sz w:val="25"/>
        </w:rPr>
        <w:t>签署页</w:t>
      </w:r>
    </w:p>
    <w:p>
      <w:r>
        <w:rPr>
          <w:sz w:val="22"/>
        </w:rPr>
        <w:t>甲方（盖章）：青岳商务运营管理有限公司</w:t>
      </w:r>
    </w:p>
    <w:p>
      <w:r>
        <w:rPr>
          <w:sz w:val="22"/>
        </w:rPr>
        <w:t>授权代表：唐知微</w:t>
      </w:r>
    </w:p>
    <w:p>
      <w:r>
        <w:rPr>
          <w:sz w:val="22"/>
        </w:rPr>
        <w:t>签署日期：2026年7月1日</w:t>
      </w:r>
    </w:p>
    <w:p>
      <w:r>
        <w:rPr>
          <w:sz w:val="22"/>
        </w:rPr>
        <w:t>乙方（盖章）：曜石互动科技（广州）有限公司</w:t>
      </w:r>
    </w:p>
    <w:p>
      <w:r>
        <w:rPr>
          <w:sz w:val="22"/>
        </w:rPr>
        <w:t>授权代表：魏辰安</w:t>
      </w:r>
    </w:p>
    <w:p>
      <w:r>
        <w:rPr>
          <w:sz w:val="22"/>
        </w:rPr>
        <w:t>签署日期：2026年7月1日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