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F4E78"/>
          <w:sz w:val="44"/>
          <w:szCs w:val="44"/>
        </w:rPr>
        <w:t xml:space="preserve">Price Index Calculation Methods</w:t>
      </w:r>
    </w:p>
    <w:p>
      <w:pPr>
        <w:spacing w:after="100"/>
        <w:jc w:val="center"/>
      </w:pPr>
      <w:r>
        <w:rPr>
          <w:color w:val="444444"/>
          <w:sz w:val="28"/>
          <w:szCs w:val="28"/>
        </w:rPr>
        <w:t xml:space="preserve">A Technical Reference for the Cambodia CPI Pipeline</w:t>
      </w:r>
    </w:p>
    <w:p>
      <w:pPr>
        <w:spacing w:after="900"/>
        <w:jc w:val="center"/>
      </w:pPr>
      <w:r>
        <w:rPr>
          <w:i/>
          <w:iCs/>
          <w:color w:val="666666"/>
          <w:sz w:val="20"/>
          <w:szCs w:val="20"/>
        </w:rPr>
        <w:t xml:space="preserve">Data Infrastructure, COICOP Classification &amp; Index Computation (Gold Layer)</w:t>
      </w:r>
    </w:p>
    <w:p>
      <w:pPr>
        <w:pStyle w:val="Heading1"/>
        <w:spacing w:after="160" w:before="360"/>
      </w:pPr>
      <w:r>
        <w:t xml:space="preserve">1. What Is a Price Index and Why Do We Calculate It</w:t>
      </w:r>
    </w:p>
    <w:p>
      <w:pPr>
        <w:spacing w:after="160" w:line="276"/>
      </w:pPr>
      <w:r>
        <w:t xml:space="preserve">A price index is a single summary number that tracks how the overall cost of a defined basket of goods and services changes over time, relative to a fixed base period. Instead of reporting thousands of individual price changes separately, an index compresses them into one comparable figure — for example, “prices are 6% higher than in the base period.”</w:t>
      </w:r>
    </w:p>
    <w:p>
      <w:pPr>
        <w:spacing w:after="160" w:line="276"/>
      </w:pPr>
      <w:r>
        <w:t xml:space="preserve">We calculate a price index for three core reasons:</w:t>
      </w:r>
    </w:p>
    <w:p>
      <w:pPr>
        <w:pStyle w:val="ListParagraph"/>
        <w:numPr>
          <w:ilvl w:val="0"/>
          <w:numId w:val="2"/>
        </w:numPr>
        <w:spacing w:after="80"/>
      </w:pPr>
      <w:r>
        <w:t xml:space="preserve">To measure inflation — the rate at which the general price level rises or falls over time, which is the primary macroeconomic signal governments, central banks, and businesses rely on.</w:t>
      </w:r>
    </w:p>
    <w:p>
      <w:pPr>
        <w:pStyle w:val="ListParagraph"/>
        <w:numPr>
          <w:ilvl w:val="0"/>
          <w:numId w:val="2"/>
        </w:numPr>
        <w:spacing w:after="80"/>
      </w:pPr>
      <w:r>
        <w:t xml:space="preserve">To enable comparison across time — a single index number lets us compare purchasing power or cost-of-living between any two periods without inspecting every individual price.</w:t>
      </w:r>
    </w:p>
    <w:p>
      <w:pPr>
        <w:pStyle w:val="ListParagraph"/>
        <w:numPr>
          <w:ilvl w:val="0"/>
          <w:numId w:val="2"/>
        </w:numPr>
        <w:spacing w:after="80"/>
      </w:pPr>
      <w:r>
        <w:t xml:space="preserve">To support decision-making — wage indexation, pension adjustments, monetary policy (interest rate decisions), contract escalation clauses, and GDP deflation all depend on a reliable price index.</w:t>
      </w:r>
    </w:p>
    <w:p>
      <w:pPr>
        <w:spacing w:after="160" w:line="276"/>
      </w:pPr>
      <w:r>
        <w:t xml:space="preserve">In this project, the price index is the core output of the Gold layer: it converts cleaned, classified, matched item-level prices (Silver layer) scraped from Cambodian e-commerce and marketplace platforms into a COICOP-organized index that can be benchmarked against Cambodia's official CPI and used as an input to inflation-forecasting models.</w:t>
      </w:r>
    </w:p>
    <w:p>
      <w:pPr>
        <w:pStyle w:val="Heading1"/>
        <w:spacing w:after="160" w:before="360"/>
      </w:pPr>
      <w:r>
        <w:t xml:space="preserve">2. How Many Methods Are There, and How They Relate</w:t>
      </w:r>
    </w:p>
    <w:p>
      <w:pPr>
        <w:spacing w:after="160" w:line="276"/>
      </w:pPr>
      <w:r>
        <w:t xml:space="preserve">Price index methods fall into two structural levels, and within each level there are several competing formulas. There is no single universal “the” method — the right choice depends on what weight data is available and how stable the underlying item set is.</w:t>
      </w:r>
    </w:p>
    <w:p>
      <w:pPr>
        <w:pStyle w:val="Heading2"/>
        <w:spacing w:after="120" w:before="280"/>
      </w:pPr>
      <w:r>
        <w:t xml:space="preserve">2.1 Elementary Aggregate Methods (unweighted, item-level)</w:t>
      </w:r>
    </w:p>
    <w:p>
      <w:pPr>
        <w:spacing w:after="160" w:line="276"/>
      </w:pPr>
      <w:r>
        <w:t xml:space="preserve">Used at the lowest level of aggregation — combining raw price quotes for closely substitutable items within a single narrow category (e.g., a COICOP sub-class) — where individual expenditure weights per item are not available.</w:t>
      </w:r>
    </w:p>
    <w:p>
      <w:pPr>
        <w:pStyle w:val="ListParagraph"/>
        <w:numPr>
          <w:ilvl w:val="0"/>
          <w:numId w:val="2"/>
        </w:numPr>
        <w:spacing w:after="80"/>
      </w:pPr>
      <w:r>
        <w:t xml:space="preserve">Carli Index — arithmetic mean of price relatives</w:t>
      </w:r>
    </w:p>
    <w:p>
      <w:pPr>
        <w:pStyle w:val="ListParagraph"/>
        <w:numPr>
          <w:ilvl w:val="0"/>
          <w:numId w:val="2"/>
        </w:numPr>
        <w:spacing w:after="80"/>
      </w:pPr>
      <w:r>
        <w:t xml:space="preserve">Dutot Index — ratio of arithmetic mean prices</w:t>
      </w:r>
    </w:p>
    <w:p>
      <w:pPr>
        <w:pStyle w:val="ListParagraph"/>
        <w:numPr>
          <w:ilvl w:val="0"/>
          <w:numId w:val="2"/>
        </w:numPr>
        <w:spacing w:after="80"/>
      </w:pPr>
      <w:r>
        <w:t xml:space="preserve">Jevons Index — geometric mean of price relatives</w:t>
      </w:r>
    </w:p>
    <w:p>
      <w:pPr>
        <w:pStyle w:val="Heading2"/>
        <w:spacing w:after="120" w:before="280"/>
      </w:pPr>
      <w:r>
        <w:t xml:space="preserve">2.2 Bilateral Weighted (Aggregate) Methods</w:t>
      </w:r>
    </w:p>
    <w:p>
      <w:pPr>
        <w:spacing w:after="160" w:line="276"/>
      </w:pPr>
      <w:r>
        <w:t xml:space="preserve">Used once expenditure or quantity weights are available, to combine elementary indices (or item prices) up into category-, division-, or headline-level indices, comparing exactly two periods (a base period and a current period).</w:t>
      </w:r>
    </w:p>
    <w:p>
      <w:pPr>
        <w:pStyle w:val="ListParagraph"/>
        <w:numPr>
          <w:ilvl w:val="0"/>
          <w:numId w:val="2"/>
        </w:numPr>
        <w:spacing w:after="80"/>
      </w:pPr>
      <w:r>
        <w:t xml:space="preserve">Laspeyres Index — fixed base-period weights</w:t>
      </w:r>
    </w:p>
    <w:p>
      <w:pPr>
        <w:pStyle w:val="ListParagraph"/>
        <w:numPr>
          <w:ilvl w:val="0"/>
          <w:numId w:val="2"/>
        </w:numPr>
        <w:spacing w:after="80"/>
      </w:pPr>
      <w:r>
        <w:t xml:space="preserve">Paasche Index — current-period weights</w:t>
      </w:r>
    </w:p>
    <w:p>
      <w:pPr>
        <w:pStyle w:val="ListParagraph"/>
        <w:numPr>
          <w:ilvl w:val="0"/>
          <w:numId w:val="2"/>
        </w:numPr>
        <w:spacing w:after="80"/>
      </w:pPr>
      <w:r>
        <w:t xml:space="preserve">Fisher Ideal Index — geometric mean of Laspeyres and Paasche</w:t>
      </w:r>
    </w:p>
    <w:p>
      <w:pPr>
        <w:pStyle w:val="ListParagraph"/>
        <w:numPr>
          <w:ilvl w:val="0"/>
          <w:numId w:val="2"/>
        </w:numPr>
        <w:spacing w:after="80"/>
      </w:pPr>
      <w:r>
        <w:t xml:space="preserve">Törnqvist Index — geometric, weighted by average of base- and current-period expenditure shares</w:t>
      </w:r>
    </w:p>
    <w:p>
      <w:pPr>
        <w:pStyle w:val="Heading2"/>
        <w:spacing w:after="120" w:before="280"/>
      </w:pPr>
      <w:r>
        <w:t xml:space="preserve">2.3 Multilateral Methods</w:t>
      </w:r>
    </w:p>
    <w:p>
      <w:pPr>
        <w:spacing w:after="160" w:line="276"/>
      </w:pPr>
      <w:r>
        <w:t xml:space="preserve">Used when comparing more than two periods at once (a rolling window), particularly when the set of available items changes frequently — the common situation with scraped e-commerce data.</w:t>
      </w:r>
    </w:p>
    <w:p>
      <w:pPr>
        <w:pStyle w:val="ListParagraph"/>
        <w:numPr>
          <w:ilvl w:val="0"/>
          <w:numId w:val="2"/>
        </w:numPr>
        <w:spacing w:after="80"/>
      </w:pPr>
      <w:r>
        <w:t xml:space="preserve">GEKS (Géry–Eltétő–Köves–Szulc) Index — makes any bilateral index (Jevons, Fisher, Törnqvist) transitive and consistent across many periods simultaneously</w:t>
      </w:r>
    </w:p>
    <w:p>
      <w:pPr>
        <w:spacing w:after="160" w:line="276"/>
      </w:pPr>
      <w:r>
        <w:rPr>
          <w:b w:val="false"/>
          <w:bCs w:val="false"/>
        </w:rPr>
        <w:t xml:space="preserve">That gives seven named methods in total across three structural levels. In practice a real CPI is never just one formula — it is always a combination: one method at the elementary level, and a different method to aggregate upward.</w:t>
      </w:r>
    </w:p>
    <w:p>
      <w:r>
        <w:br w:type="page"/>
      </w:r>
    </w:p>
    <w:p>
      <w:pPr>
        <w:pStyle w:val="Heading1"/>
        <w:spacing w:after="160" w:before="360"/>
      </w:pPr>
      <w:r>
        <w:t xml:space="preserve">3. The Methods in Detail</w:t>
      </w:r>
    </w:p>
    <w:p>
      <w:pPr>
        <w:shd w:fill="1F4E78" w:color="auto" w:val="clear"/>
        <w:spacing w:after="120" w:before="320"/>
      </w:pPr>
      <w:r>
        <w:rPr>
          <w:b/>
          <w:bCs/>
          <w:color w:val="FFFFFF"/>
          <w:sz w:val="26"/>
          <w:szCs w:val="26"/>
        </w:rPr>
        <w:t xml:space="preserve">3.1 Carli Index</w:t>
      </w:r>
    </w:p>
    <w:p>
      <w:pPr>
        <w:spacing w:after="160" w:line="276"/>
      </w:pPr>
      <w:r>
        <w:t xml:space="preserve">The Carli index is the simplest elementary index: the arithmetic mean of the price relatives (ratios) of each item between the base period and the current period.</w:t>
      </w:r>
    </w:p>
    <w:p>
      <w:pPr>
        <w:pBdr>
          <w:top w:val="single" w:color="C9D9E8" w:sz="4"/>
          <w:bottom w:val="single" w:color="C9D9E8" w:sz="4"/>
          <w:left w:val="single" w:color="C9D9E8" w:sz="4"/>
          <w:right w:val="single" w:color="C9D9E8" w:sz="4"/>
        </w:pBdr>
        <w:shd w:fill="EAF1F8" w:color="auto" w:val="clear"/>
        <w:spacing w:after="40" w:before="120"/>
        <w:jc w:val="center"/>
      </w:pPr>
      <w:r>
        <w:rPr>
          <w:i/>
          <w:iCs/>
          <w:sz w:val="24"/>
          <w:szCs w:val="24"/>
        </w:rPr>
        <w:t xml:space="preserve">I</w:t>
      </w:r>
      <w:r>
        <w:rPr>
          <w:i w:val="false"/>
          <w:iCs w:val="false"/>
          <w:sz w:val="24"/>
          <w:szCs w:val="24"/>
          <w:vertAlign w:val="subscript"/>
        </w:rPr>
        <w:t xml:space="preserve">Carli</w:t>
      </w:r>
      <w:r>
        <w:rPr>
          <w:i/>
          <w:iCs/>
          <w:sz w:val="24"/>
          <w:szCs w:val="24"/>
        </w:rPr>
        <w:t xml:space="preserve">(0,t) = </w:t>
      </w:r>
      <w:r>
        <w:rPr>
          <w:i/>
          <w:iCs/>
          <w:sz w:val="24"/>
          <w:szCs w:val="24"/>
        </w:rPr>
        <w:t xml:space="preserve">(1/n) </w:t>
      </w:r>
      <w:r>
        <w:rPr>
          <w:i w:val="false"/>
          <w:iCs w:val="false"/>
          <w:sz w:val="24"/>
          <w:szCs w:val="24"/>
        </w:rPr>
        <w:t xml:space="preserve">Σ</w:t>
      </w:r>
      <w:r>
        <w:rPr>
          <w:i w:val="false"/>
          <w:iCs w:val="false"/>
          <w:sz w:val="24"/>
          <w:szCs w:val="24"/>
          <w:vertAlign w:val="subscript"/>
        </w:rPr>
        <w:t xml:space="preserve">ᵢ</w:t>
      </w:r>
      <w:r>
        <w:rPr>
          <w:i/>
          <w:iCs/>
          <w:sz w:val="24"/>
          <w:szCs w:val="24"/>
        </w:rPr>
        <w:t xml:space="preserve"> (p</w:t>
      </w:r>
      <w:r>
        <w:rPr>
          <w:i/>
          <w:iCs/>
          <w:sz w:val="24"/>
          <w:szCs w:val="24"/>
          <w:vertAlign w:val="subscript"/>
        </w:rPr>
        <w:t xml:space="preserve">i,t</w:t>
      </w:r>
      <w:r>
        <w:rPr>
          <w:i/>
          <w:iCs/>
          <w:sz w:val="24"/>
          <w:szCs w:val="24"/>
        </w:rPr>
        <w:t xml:space="preserve"> / p</w:t>
      </w:r>
      <w:r>
        <w:rPr>
          <w:i/>
          <w:iCs/>
          <w:sz w:val="24"/>
          <w:szCs w:val="24"/>
          <w:vertAlign w:val="subscript"/>
        </w:rPr>
        <w:t xml:space="preserve">i,0</w:t>
      </w:r>
      <w:r>
        <w:rPr>
          <w:i/>
          <w:iCs/>
          <w:sz w:val="24"/>
          <w:szCs w:val="24"/>
        </w:rPr>
        <w:t xml:space="preserve">)</w:t>
      </w:r>
    </w:p>
    <w:p>
      <w:pPr>
        <w:spacing w:after="200"/>
        <w:jc w:val="center"/>
      </w:pPr>
      <w:r>
        <w:rPr>
          <w:i/>
          <w:iCs/>
          <w:color w:val="555555"/>
          <w:sz w:val="18"/>
          <w:szCs w:val="18"/>
        </w:rPr>
        <w:t xml:space="preserve">n = number of matched items; pᵢ,₀ and pᵢ,ₜ are the price of item i in the base period and period t.</w:t>
      </w:r>
    </w:p>
    <w:p>
      <w:pPr>
        <w:spacing w:after="100"/>
      </w:pPr>
      <w:r>
        <w:rPr>
          <w:b/>
          <w:bCs/>
        </w:rPr>
        <w:t xml:space="preserve">When we use it: </w:t>
      </w:r>
      <w:r>
        <w:t xml:space="preserve">Rarely in modern practice — mainly historical / textbook reference, or as a simple sanity check at the elementary level.</w:t>
      </w:r>
    </w:p>
    <w:p>
      <w:pPr>
        <w:spacing w:after="100"/>
      </w:pPr>
      <w:r>
        <w:rPr>
          <w:b/>
          <w:bCs/>
        </w:rPr>
        <w:t xml:space="preserve">Why: </w:t>
      </w:r>
      <w:r>
        <w:t xml:space="preserve">It is easy to compute but has a well-documented upward bias (it fails the “time reversal test” — chaining it forward and backward does not return to 1), so most statistical agencies, including ILO guidance, recommend against it for production CPI.</w:t>
      </w:r>
    </w:p>
    <w:p>
      <w:pPr>
        <w:shd w:fill="1F4E78" w:color="auto" w:val="clear"/>
        <w:spacing w:after="120" w:before="320"/>
      </w:pPr>
      <w:r>
        <w:rPr>
          <w:b/>
          <w:bCs/>
          <w:color w:val="FFFFFF"/>
          <w:sz w:val="26"/>
          <w:szCs w:val="26"/>
        </w:rPr>
        <w:t xml:space="preserve">3.2 Dutot Index</w:t>
      </w:r>
    </w:p>
    <w:p>
      <w:pPr>
        <w:spacing w:after="160" w:line="276"/>
      </w:pPr>
      <w:r>
        <w:t xml:space="preserve">The Dutot index takes the ratio of the arithmetic mean price in the current period to the arithmetic mean price in the base period, across the same set of items.</w:t>
      </w:r>
    </w:p>
    <w:p>
      <w:pPr>
        <w:pBdr>
          <w:top w:val="single" w:color="C9D9E8" w:sz="4"/>
          <w:bottom w:val="single" w:color="C9D9E8" w:sz="4"/>
          <w:left w:val="single" w:color="C9D9E8" w:sz="4"/>
          <w:right w:val="single" w:color="C9D9E8" w:sz="4"/>
        </w:pBdr>
        <w:shd w:fill="EAF1F8" w:color="auto" w:val="clear"/>
        <w:spacing w:after="40" w:before="120"/>
        <w:jc w:val="center"/>
      </w:pPr>
      <w:r>
        <w:rPr>
          <w:i/>
          <w:iCs/>
          <w:sz w:val="24"/>
          <w:szCs w:val="24"/>
        </w:rPr>
        <w:t xml:space="preserve">I</w:t>
      </w:r>
      <w:r>
        <w:rPr>
          <w:i w:val="false"/>
          <w:iCs w:val="false"/>
          <w:sz w:val="24"/>
          <w:szCs w:val="24"/>
          <w:vertAlign w:val="subscript"/>
        </w:rPr>
        <w:t xml:space="preserve">Dutot</w:t>
      </w:r>
      <w:r>
        <w:rPr>
          <w:i/>
          <w:iCs/>
          <w:sz w:val="24"/>
          <w:szCs w:val="24"/>
        </w:rPr>
        <w:t xml:space="preserve">(0,t) = </w:t>
      </w:r>
      <w:r>
        <w:rPr>
          <w:i/>
          <w:iCs/>
          <w:sz w:val="24"/>
          <w:szCs w:val="24"/>
        </w:rPr>
        <w:t xml:space="preserve">[ (1/n) </w:t>
      </w:r>
      <w:r>
        <w:rPr>
          <w:i w:val="false"/>
          <w:iCs w:val="false"/>
          <w:sz w:val="24"/>
          <w:szCs w:val="24"/>
        </w:rPr>
        <w:t xml:space="preserve">Σ</w:t>
      </w:r>
      <w:r>
        <w:rPr>
          <w:i/>
          <w:iCs/>
          <w:sz w:val="24"/>
          <w:szCs w:val="24"/>
        </w:rPr>
        <w:t xml:space="preserve"> p</w:t>
      </w:r>
      <w:r>
        <w:rPr>
          <w:i/>
          <w:iCs/>
          <w:sz w:val="24"/>
          <w:szCs w:val="24"/>
          <w:vertAlign w:val="subscript"/>
        </w:rPr>
        <w:t xml:space="preserve">i,t</w:t>
      </w:r>
      <w:r>
        <w:rPr>
          <w:i/>
          <w:iCs/>
          <w:sz w:val="24"/>
          <w:szCs w:val="24"/>
        </w:rPr>
        <w:t xml:space="preserve"> ]  /  [ (1/n) </w:t>
      </w:r>
      <w:r>
        <w:rPr>
          <w:i w:val="false"/>
          <w:iCs w:val="false"/>
          <w:sz w:val="24"/>
          <w:szCs w:val="24"/>
        </w:rPr>
        <w:t xml:space="preserve">Σ</w:t>
      </w:r>
      <w:r>
        <w:rPr>
          <w:i/>
          <w:iCs/>
          <w:sz w:val="24"/>
          <w:szCs w:val="24"/>
        </w:rPr>
        <w:t xml:space="preserve"> p</w:t>
      </w:r>
      <w:r>
        <w:rPr>
          <w:i/>
          <w:iCs/>
          <w:sz w:val="24"/>
          <w:szCs w:val="24"/>
          <w:vertAlign w:val="subscript"/>
        </w:rPr>
        <w:t xml:space="preserve">i,0</w:t>
      </w:r>
      <w:r>
        <w:rPr>
          <w:i/>
          <w:iCs/>
          <w:sz w:val="24"/>
          <w:szCs w:val="24"/>
        </w:rPr>
        <w:t xml:space="preserve"> ]</w:t>
      </w:r>
    </w:p>
    <w:p>
      <w:pPr>
        <w:spacing w:after="200"/>
        <w:jc w:val="center"/>
      </w:pPr>
      <w:r>
        <w:rPr>
          <w:i/>
          <w:iCs/>
          <w:color w:val="555555"/>
          <w:sz w:val="18"/>
          <w:szCs w:val="18"/>
        </w:rPr>
        <w:t xml:space="preserve">Equivalent to: mean(current-period prices) ÷ mean(base-period prices).</w:t>
      </w:r>
    </w:p>
    <w:p>
      <w:pPr>
        <w:spacing w:after="100"/>
      </w:pPr>
      <w:r>
        <w:rPr>
          <w:b/>
          <w:bCs/>
        </w:rPr>
        <w:t xml:space="preserve">When we use it: </w:t>
      </w:r>
      <w:r>
        <w:t xml:space="preserve">Only appropriate when items being averaged are genuinely homogeneous and priced in the same units (e.g., identical products across stores), since it is sensitive to the absolute price level of each item, not just its rate of change.</w:t>
      </w:r>
    </w:p>
    <w:p>
      <w:pPr>
        <w:spacing w:after="100"/>
      </w:pPr>
      <w:r>
        <w:rPr>
          <w:b/>
          <w:bCs/>
        </w:rPr>
        <w:t xml:space="preserve">Why: </w:t>
      </w:r>
      <w:r>
        <w:t xml:space="preserve">It can be distorted by high-priced items dominating the average even if their price didn't change much — not suitable for a mixed basket of dissimilar products, which is the typical situation in scraped marketplace data.</w:t>
      </w:r>
    </w:p>
    <w:p>
      <w:pPr>
        <w:shd w:fill="1F4E78" w:color="auto" w:val="clear"/>
        <w:spacing w:after="120" w:before="320"/>
      </w:pPr>
      <w:r>
        <w:rPr>
          <w:b/>
          <w:bCs/>
          <w:color w:val="FFFFFF"/>
          <w:sz w:val="26"/>
          <w:szCs w:val="26"/>
        </w:rPr>
        <w:t xml:space="preserve">3.3 Jevons Index</w:t>
      </w:r>
    </w:p>
    <w:p>
      <w:pPr>
        <w:spacing w:after="160" w:line="276"/>
      </w:pPr>
      <w:r>
        <w:t xml:space="preserve">The Jevons index is the geometric mean of the price relatives of matched items — equivalently, the ratio of the geometric mean of current prices to the geometric mean of base prices.</w:t>
      </w:r>
    </w:p>
    <w:p>
      <w:pPr>
        <w:pBdr>
          <w:top w:val="single" w:color="C9D9E8" w:sz="4"/>
          <w:bottom w:val="single" w:color="C9D9E8" w:sz="4"/>
          <w:left w:val="single" w:color="C9D9E8" w:sz="4"/>
          <w:right w:val="single" w:color="C9D9E8" w:sz="4"/>
        </w:pBdr>
        <w:shd w:fill="EAF1F8" w:color="auto" w:val="clear"/>
        <w:spacing w:after="40" w:before="120"/>
        <w:jc w:val="center"/>
      </w:pPr>
      <w:r>
        <w:rPr>
          <w:i/>
          <w:iCs/>
          <w:sz w:val="24"/>
          <w:szCs w:val="24"/>
        </w:rPr>
        <w:t xml:space="preserve">I</w:t>
      </w:r>
      <w:r>
        <w:rPr>
          <w:i w:val="false"/>
          <w:iCs w:val="false"/>
          <w:sz w:val="24"/>
          <w:szCs w:val="24"/>
          <w:vertAlign w:val="subscript"/>
        </w:rPr>
        <w:t xml:space="preserve">Jevons</w:t>
      </w:r>
      <w:r>
        <w:rPr>
          <w:i/>
          <w:iCs/>
          <w:sz w:val="24"/>
          <w:szCs w:val="24"/>
        </w:rPr>
        <w:t xml:space="preserve">(0,t) = </w:t>
      </w:r>
      <w:r>
        <w:rPr>
          <w:i/>
          <w:iCs/>
          <w:sz w:val="24"/>
          <w:szCs w:val="24"/>
        </w:rPr>
        <w:t xml:space="preserve">[ </w:t>
      </w:r>
      <w:r>
        <w:rPr>
          <w:i w:val="false"/>
          <w:iCs w:val="false"/>
          <w:sz w:val="24"/>
          <w:szCs w:val="24"/>
        </w:rPr>
        <w:t xml:space="preserve">Π</w:t>
      </w:r>
      <w:r>
        <w:rPr>
          <w:i w:val="false"/>
          <w:iCs w:val="false"/>
          <w:sz w:val="24"/>
          <w:szCs w:val="24"/>
          <w:vertAlign w:val="subscript"/>
        </w:rPr>
        <w:t xml:space="preserve">ᵢ</w:t>
      </w:r>
      <w:r>
        <w:rPr>
          <w:i/>
          <w:iCs/>
          <w:sz w:val="24"/>
          <w:szCs w:val="24"/>
        </w:rPr>
        <w:t xml:space="preserve"> (p</w:t>
      </w:r>
      <w:r>
        <w:rPr>
          <w:i/>
          <w:iCs/>
          <w:sz w:val="24"/>
          <w:szCs w:val="24"/>
          <w:vertAlign w:val="subscript"/>
        </w:rPr>
        <w:t xml:space="preserve">i,t</w:t>
      </w:r>
      <w:r>
        <w:rPr>
          <w:i/>
          <w:iCs/>
          <w:sz w:val="24"/>
          <w:szCs w:val="24"/>
        </w:rPr>
        <w:t xml:space="preserve"> / p</w:t>
      </w:r>
      <w:r>
        <w:rPr>
          <w:i/>
          <w:iCs/>
          <w:sz w:val="24"/>
          <w:szCs w:val="24"/>
          <w:vertAlign w:val="subscript"/>
        </w:rPr>
        <w:t xml:space="preserve">i,0</w:t>
      </w:r>
      <w:r>
        <w:rPr>
          <w:i w:val="false"/>
          <w:iCs w:val="false"/>
          <w:sz w:val="24"/>
          <w:szCs w:val="24"/>
        </w:rPr>
        <w:t xml:space="preserve">) ]</w:t>
      </w:r>
      <w:r>
        <w:rPr>
          <w:i/>
          <w:iCs/>
          <w:sz w:val="24"/>
          <w:szCs w:val="24"/>
          <w:vertAlign w:val="superscript"/>
        </w:rPr>
        <w:t xml:space="preserve">1/n</w:t>
      </w:r>
    </w:p>
    <w:p>
      <w:pPr>
        <w:spacing w:after="200"/>
        <w:jc w:val="center"/>
      </w:pPr>
      <w:r>
        <w:rPr>
          <w:i/>
          <w:iCs/>
          <w:color w:val="555555"/>
          <w:sz w:val="18"/>
          <w:szCs w:val="18"/>
        </w:rPr>
        <w:t xml:space="preserve">Π denotes the product over all n matched items i.</w:t>
      </w:r>
    </w:p>
    <w:p>
      <w:pPr>
        <w:spacing w:after="100"/>
      </w:pPr>
      <w:r>
        <w:rPr>
          <w:b/>
          <w:bCs/>
        </w:rPr>
        <w:t xml:space="preserve">When we use it: </w:t>
      </w:r>
      <w:r>
        <w:t xml:space="preserve">The recommended default for elementary aggregates (within a single narrow COICOP class) when item-level expenditure weights are not available — exactly the situation with scraped item prices.</w:t>
      </w:r>
    </w:p>
    <w:p>
      <w:pPr>
        <w:spacing w:after="100"/>
      </w:pPr>
      <w:r>
        <w:rPr>
          <w:b/>
          <w:bCs/>
        </w:rPr>
        <w:t xml:space="preserve">Why: </w:t>
      </w:r>
      <w:r>
        <w:t xml:space="preserve">It satisfies the time reversal test and the base-period invariance test, is consistent with an assumption of unit elasticity of substitution between close substitutes, and is the elementary formula recommended by the ILO/IMF Consumer Price Index Manual and used by most national statistical offices including for scanner/web-scraped data.</w:t>
      </w:r>
    </w:p>
    <w:p>
      <w:pPr>
        <w:shd w:fill="1F4E78" w:color="auto" w:val="clear"/>
        <w:spacing w:after="120" w:before="320"/>
      </w:pPr>
      <w:r>
        <w:rPr>
          <w:b/>
          <w:bCs/>
          <w:color w:val="FFFFFF"/>
          <w:sz w:val="26"/>
          <w:szCs w:val="26"/>
        </w:rPr>
        <w:t xml:space="preserve">3.4 Laspeyres Index</w:t>
      </w:r>
    </w:p>
    <w:p>
      <w:pPr>
        <w:spacing w:after="160" w:line="276"/>
      </w:pPr>
      <w:r>
        <w:t xml:space="preserve">The Laspeyres index compares current-period prices to base-period prices, using the expenditure basket (quantities) fixed at the base period. It answers: “How much would it cost today to buy exactly what was bought in the base period?”</w:t>
      </w:r>
    </w:p>
    <w:p>
      <w:pPr>
        <w:pBdr>
          <w:top w:val="single" w:color="C9D9E8" w:sz="4"/>
          <w:bottom w:val="single" w:color="C9D9E8" w:sz="4"/>
          <w:left w:val="single" w:color="C9D9E8" w:sz="4"/>
          <w:right w:val="single" w:color="C9D9E8" w:sz="4"/>
        </w:pBdr>
        <w:shd w:fill="EAF1F8" w:color="auto" w:val="clear"/>
        <w:spacing w:after="40" w:before="120"/>
        <w:jc w:val="center"/>
      </w:pPr>
      <w:r>
        <w:rPr>
          <w:i/>
          <w:iCs/>
          <w:sz w:val="24"/>
          <w:szCs w:val="24"/>
        </w:rPr>
        <w:t xml:space="preserve">I</w:t>
      </w:r>
      <w:r>
        <w:rPr>
          <w:i w:val="false"/>
          <w:iCs w:val="false"/>
          <w:sz w:val="24"/>
          <w:szCs w:val="24"/>
          <w:vertAlign w:val="subscript"/>
        </w:rPr>
        <w:t xml:space="preserve">L</w:t>
      </w:r>
      <w:r>
        <w:rPr>
          <w:i/>
          <w:iCs/>
          <w:sz w:val="24"/>
          <w:szCs w:val="24"/>
        </w:rPr>
        <w:t xml:space="preserve">(0,t) = </w:t>
      </w:r>
      <w:r>
        <w:rPr>
          <w:i/>
          <w:iCs/>
          <w:sz w:val="24"/>
          <w:szCs w:val="24"/>
        </w:rPr>
        <w:t xml:space="preserve">[ </w:t>
      </w:r>
      <w:r>
        <w:rPr>
          <w:i w:val="false"/>
          <w:iCs w:val="false"/>
          <w:sz w:val="24"/>
          <w:szCs w:val="24"/>
        </w:rPr>
        <w:t xml:space="preserve">Σ</w:t>
      </w:r>
      <w:r>
        <w:rPr>
          <w:i/>
          <w:iCs/>
          <w:sz w:val="24"/>
          <w:szCs w:val="24"/>
        </w:rPr>
        <w:t xml:space="preserve"> (p</w:t>
      </w:r>
      <w:r>
        <w:rPr>
          <w:i/>
          <w:iCs/>
          <w:sz w:val="24"/>
          <w:szCs w:val="24"/>
          <w:vertAlign w:val="subscript"/>
        </w:rPr>
        <w:t xml:space="preserve">i,t</w:t>
      </w:r>
      <w:r>
        <w:rPr>
          <w:i/>
          <w:iCs/>
          <w:sz w:val="24"/>
          <w:szCs w:val="24"/>
        </w:rPr>
        <w:t xml:space="preserve"> × q</w:t>
      </w:r>
      <w:r>
        <w:rPr>
          <w:i/>
          <w:iCs/>
          <w:sz w:val="24"/>
          <w:szCs w:val="24"/>
          <w:vertAlign w:val="subscript"/>
        </w:rPr>
        <w:t xml:space="preserve">i,0</w:t>
      </w:r>
      <w:r>
        <w:rPr>
          <w:i/>
          <w:iCs/>
          <w:sz w:val="24"/>
          <w:szCs w:val="24"/>
        </w:rPr>
        <w:t xml:space="preserve">) ]  /  [ </w:t>
      </w:r>
      <w:r>
        <w:rPr>
          <w:i w:val="false"/>
          <w:iCs w:val="false"/>
          <w:sz w:val="24"/>
          <w:szCs w:val="24"/>
        </w:rPr>
        <w:t xml:space="preserve">Σ</w:t>
      </w:r>
      <w:r>
        <w:rPr>
          <w:i/>
          <w:iCs/>
          <w:sz w:val="24"/>
          <w:szCs w:val="24"/>
        </w:rPr>
        <w:t xml:space="preserve"> (p</w:t>
      </w:r>
      <w:r>
        <w:rPr>
          <w:i/>
          <w:iCs/>
          <w:sz w:val="24"/>
          <w:szCs w:val="24"/>
          <w:vertAlign w:val="subscript"/>
        </w:rPr>
        <w:t xml:space="preserve">i,0</w:t>
      </w:r>
      <w:r>
        <w:rPr>
          <w:i/>
          <w:iCs/>
          <w:sz w:val="24"/>
          <w:szCs w:val="24"/>
        </w:rPr>
        <w:t xml:space="preserve"> × q</w:t>
      </w:r>
      <w:r>
        <w:rPr>
          <w:i/>
          <w:iCs/>
          <w:sz w:val="24"/>
          <w:szCs w:val="24"/>
          <w:vertAlign w:val="subscript"/>
        </w:rPr>
        <w:t xml:space="preserve">i,0</w:t>
      </w:r>
      <w:r>
        <w:rPr>
          <w:i/>
          <w:iCs/>
          <w:sz w:val="24"/>
          <w:szCs w:val="24"/>
        </w:rPr>
        <w:t xml:space="preserve">) ]</w:t>
      </w:r>
    </w:p>
    <w:p>
      <w:pPr>
        <w:spacing w:after="200"/>
        <w:jc w:val="center"/>
      </w:pPr>
      <w:r>
        <w:rPr>
          <w:i/>
          <w:iCs/>
          <w:color w:val="555555"/>
          <w:sz w:val="18"/>
          <w:szCs w:val="18"/>
        </w:rPr>
        <w:t xml:space="preserve">qᵢ,₀ = quantity (or expenditure weight) of item i purchased in the base period, held fixed.</w:t>
      </w:r>
    </w:p>
    <w:p>
      <w:pPr>
        <w:spacing w:after="160" w:line="276"/>
      </w:pPr>
      <w:r>
        <w:t xml:space="preserve">Equivalently, expressed as a weighted sum of price relatives, using base-period expenditure shares wᵢ,₀:</w:t>
      </w:r>
    </w:p>
    <w:p>
      <w:pPr>
        <w:pBdr>
          <w:top w:val="single" w:color="C9D9E8" w:sz="4"/>
          <w:bottom w:val="single" w:color="C9D9E8" w:sz="4"/>
          <w:left w:val="single" w:color="C9D9E8" w:sz="4"/>
          <w:right w:val="single" w:color="C9D9E8" w:sz="4"/>
        </w:pBdr>
        <w:shd w:fill="EAF1F8" w:color="auto" w:val="clear"/>
        <w:spacing w:after="160" w:before="120"/>
        <w:jc w:val="center"/>
      </w:pPr>
      <w:r>
        <w:rPr>
          <w:i/>
          <w:iCs/>
          <w:sz w:val="24"/>
          <w:szCs w:val="24"/>
        </w:rPr>
        <w:t xml:space="preserve">I</w:t>
      </w:r>
      <w:r>
        <w:rPr>
          <w:i w:val="false"/>
          <w:iCs w:val="false"/>
          <w:sz w:val="24"/>
          <w:szCs w:val="24"/>
          <w:vertAlign w:val="subscript"/>
        </w:rPr>
        <w:t xml:space="preserve">L</w:t>
      </w:r>
      <w:r>
        <w:rPr>
          <w:i/>
          <w:iCs/>
          <w:sz w:val="24"/>
          <w:szCs w:val="24"/>
        </w:rPr>
        <w:t xml:space="preserve">(0,t) = </w:t>
      </w:r>
      <w:r>
        <w:rPr>
          <w:i w:val="false"/>
          <w:iCs w:val="false"/>
          <w:sz w:val="24"/>
          <w:szCs w:val="24"/>
        </w:rPr>
        <w:t xml:space="preserve">Σ</w:t>
      </w:r>
      <w:r>
        <w:rPr>
          <w:i/>
          <w:iCs/>
          <w:sz w:val="24"/>
          <w:szCs w:val="24"/>
        </w:rPr>
        <w:t xml:space="preserve"> [ w</w:t>
      </w:r>
      <w:r>
        <w:rPr>
          <w:i/>
          <w:iCs/>
          <w:sz w:val="24"/>
          <w:szCs w:val="24"/>
          <w:vertAlign w:val="subscript"/>
        </w:rPr>
        <w:t xml:space="preserve">i,0</w:t>
      </w:r>
      <w:r>
        <w:rPr>
          <w:i/>
          <w:iCs/>
          <w:sz w:val="24"/>
          <w:szCs w:val="24"/>
        </w:rPr>
        <w:t xml:space="preserve"> × (p</w:t>
      </w:r>
      <w:r>
        <w:rPr>
          <w:i/>
          <w:iCs/>
          <w:sz w:val="24"/>
          <w:szCs w:val="24"/>
          <w:vertAlign w:val="subscript"/>
        </w:rPr>
        <w:t xml:space="preserve">i,t</w:t>
      </w:r>
      <w:r>
        <w:rPr>
          <w:i/>
          <w:iCs/>
          <w:sz w:val="24"/>
          <w:szCs w:val="24"/>
        </w:rPr>
        <w:t xml:space="preserve"> / p</w:t>
      </w:r>
      <w:r>
        <w:rPr>
          <w:i/>
          <w:iCs/>
          <w:sz w:val="24"/>
          <w:szCs w:val="24"/>
          <w:vertAlign w:val="subscript"/>
        </w:rPr>
        <w:t xml:space="preserve">i,0</w:t>
      </w:r>
      <w:r>
        <w:rPr>
          <w:i/>
          <w:iCs/>
          <w:sz w:val="24"/>
          <w:szCs w:val="24"/>
        </w:rPr>
        <w:t xml:space="preserve">) ]</w:t>
      </w:r>
    </w:p>
    <w:p>
      <w:pPr>
        <w:spacing w:after="100"/>
      </w:pPr>
      <w:r>
        <w:rPr>
          <w:b/>
          <w:bCs/>
        </w:rPr>
        <w:t xml:space="preserve">When we use it: </w:t>
      </w:r>
      <w:r>
        <w:t xml:space="preserve">The standard formula for upper-level aggregation (combining elementary indices across COICOP categories into division- and headline-level CPI), and it is what Cambodia's own National Institute of Statistics uses for the official CPI.</w:t>
      </w:r>
    </w:p>
    <w:p>
      <w:pPr>
        <w:spacing w:after="100"/>
      </w:pPr>
      <w:r>
        <w:rPr>
          <w:b/>
          <w:bCs/>
        </w:rPr>
        <w:t xml:space="preserve">Why: </w:t>
      </w:r>
      <w:r>
        <w:t xml:space="preserve">It only requires base-period weights (which can be sourced once from a household expenditure survey and reused), it is simple to compute and update monthly, and it produces a series that never needs revision once published. Its known drawback is substitution bias — it does not account for consumers shifting away from goods that become relatively more expensive, so it tends to slightly overstate inflation over long periods.</w:t>
      </w:r>
    </w:p>
    <w:p>
      <w:pPr>
        <w:shd w:fill="1F4E78" w:color="auto" w:val="clear"/>
        <w:spacing w:after="120" w:before="320"/>
      </w:pPr>
      <w:r>
        <w:rPr>
          <w:b/>
          <w:bCs/>
          <w:color w:val="FFFFFF"/>
          <w:sz w:val="26"/>
          <w:szCs w:val="26"/>
        </w:rPr>
        <w:t xml:space="preserve">3.5 Paasche Index</w:t>
      </w:r>
    </w:p>
    <w:p>
      <w:pPr>
        <w:spacing w:after="160" w:line="276"/>
      </w:pPr>
      <w:r>
        <w:t xml:space="preserve">The Paasche index is the mirror image of Laspeyres: it uses current-period quantities instead of base-period quantities. It answers: “How much would it have cost in the base period to buy what is actually being bought today?”</w:t>
      </w:r>
    </w:p>
    <w:p>
      <w:pPr>
        <w:pBdr>
          <w:top w:val="single" w:color="C9D9E8" w:sz="4"/>
          <w:bottom w:val="single" w:color="C9D9E8" w:sz="4"/>
          <w:left w:val="single" w:color="C9D9E8" w:sz="4"/>
          <w:right w:val="single" w:color="C9D9E8" w:sz="4"/>
        </w:pBdr>
        <w:shd w:fill="EAF1F8" w:color="auto" w:val="clear"/>
        <w:spacing w:after="40" w:before="120"/>
        <w:jc w:val="center"/>
      </w:pPr>
      <w:r>
        <w:rPr>
          <w:i/>
          <w:iCs/>
          <w:sz w:val="24"/>
          <w:szCs w:val="24"/>
        </w:rPr>
        <w:t xml:space="preserve">I</w:t>
      </w:r>
      <w:r>
        <w:rPr>
          <w:i w:val="false"/>
          <w:iCs w:val="false"/>
          <w:sz w:val="24"/>
          <w:szCs w:val="24"/>
          <w:vertAlign w:val="subscript"/>
        </w:rPr>
        <w:t xml:space="preserve">P</w:t>
      </w:r>
      <w:r>
        <w:rPr>
          <w:i/>
          <w:iCs/>
          <w:sz w:val="24"/>
          <w:szCs w:val="24"/>
        </w:rPr>
        <w:t xml:space="preserve">(0,t) = </w:t>
      </w:r>
      <w:r>
        <w:rPr>
          <w:i/>
          <w:iCs/>
          <w:sz w:val="24"/>
          <w:szCs w:val="24"/>
        </w:rPr>
        <w:t xml:space="preserve">[ </w:t>
      </w:r>
      <w:r>
        <w:rPr>
          <w:i w:val="false"/>
          <w:iCs w:val="false"/>
          <w:sz w:val="24"/>
          <w:szCs w:val="24"/>
        </w:rPr>
        <w:t xml:space="preserve">Σ</w:t>
      </w:r>
      <w:r>
        <w:rPr>
          <w:i/>
          <w:iCs/>
          <w:sz w:val="24"/>
          <w:szCs w:val="24"/>
        </w:rPr>
        <w:t xml:space="preserve"> (p</w:t>
      </w:r>
      <w:r>
        <w:rPr>
          <w:i/>
          <w:iCs/>
          <w:sz w:val="24"/>
          <w:szCs w:val="24"/>
          <w:vertAlign w:val="subscript"/>
        </w:rPr>
        <w:t xml:space="preserve">i,t</w:t>
      </w:r>
      <w:r>
        <w:rPr>
          <w:i/>
          <w:iCs/>
          <w:sz w:val="24"/>
          <w:szCs w:val="24"/>
        </w:rPr>
        <w:t xml:space="preserve"> × q</w:t>
      </w:r>
      <w:r>
        <w:rPr>
          <w:i/>
          <w:iCs/>
          <w:sz w:val="24"/>
          <w:szCs w:val="24"/>
          <w:vertAlign w:val="subscript"/>
        </w:rPr>
        <w:t xml:space="preserve">i,t</w:t>
      </w:r>
      <w:r>
        <w:rPr>
          <w:i/>
          <w:iCs/>
          <w:sz w:val="24"/>
          <w:szCs w:val="24"/>
        </w:rPr>
        <w:t xml:space="preserve">) ]  /  [ </w:t>
      </w:r>
      <w:r>
        <w:rPr>
          <w:i w:val="false"/>
          <w:iCs w:val="false"/>
          <w:sz w:val="24"/>
          <w:szCs w:val="24"/>
        </w:rPr>
        <w:t xml:space="preserve">Σ</w:t>
      </w:r>
      <w:r>
        <w:rPr>
          <w:i/>
          <w:iCs/>
          <w:sz w:val="24"/>
          <w:szCs w:val="24"/>
        </w:rPr>
        <w:t xml:space="preserve"> (p</w:t>
      </w:r>
      <w:r>
        <w:rPr>
          <w:i/>
          <w:iCs/>
          <w:sz w:val="24"/>
          <w:szCs w:val="24"/>
          <w:vertAlign w:val="subscript"/>
        </w:rPr>
        <w:t xml:space="preserve">i,0</w:t>
      </w:r>
      <w:r>
        <w:rPr>
          <w:i/>
          <w:iCs/>
          <w:sz w:val="24"/>
          <w:szCs w:val="24"/>
        </w:rPr>
        <w:t xml:space="preserve"> × q</w:t>
      </w:r>
      <w:r>
        <w:rPr>
          <w:i/>
          <w:iCs/>
          <w:sz w:val="24"/>
          <w:szCs w:val="24"/>
          <w:vertAlign w:val="subscript"/>
        </w:rPr>
        <w:t xml:space="preserve">i,t</w:t>
      </w:r>
      <w:r>
        <w:rPr>
          <w:i/>
          <w:iCs/>
          <w:sz w:val="24"/>
          <w:szCs w:val="24"/>
        </w:rPr>
        <w:t xml:space="preserve">) ]</w:t>
      </w:r>
    </w:p>
    <w:p>
      <w:pPr>
        <w:spacing w:after="200"/>
        <w:jc w:val="center"/>
      </w:pPr>
      <w:r>
        <w:rPr>
          <w:i/>
          <w:iCs/>
          <w:color w:val="555555"/>
          <w:sz w:val="18"/>
          <w:szCs w:val="18"/>
        </w:rPr>
        <w:t xml:space="preserve">qᵢ,ₜ = quantity of item i purchased in the current period t.</w:t>
      </w:r>
    </w:p>
    <w:p>
      <w:pPr>
        <w:spacing w:after="100"/>
      </w:pPr>
      <w:r>
        <w:rPr>
          <w:b/>
          <w:bCs/>
        </w:rPr>
        <w:t xml:space="preserve">When we use it: </w:t>
      </w:r>
      <w:r>
        <w:t xml:space="preserve">Rarely as a final published number — mainly as an input to Fisher, or to bound the range between Laspeyres and Paasche as a diagnostic of substitution bias.</w:t>
      </w:r>
    </w:p>
    <w:p>
      <w:pPr>
        <w:spacing w:after="100"/>
      </w:pPr>
      <w:r>
        <w:rPr>
          <w:b/>
          <w:bCs/>
        </w:rPr>
        <w:t xml:space="preserve">Why: </w:t>
      </w:r>
      <w:r>
        <w:t xml:space="preserve">It requires current-period quantity data for every period, which is expensive to collect in official statistics and typically unavailable at all in scraped marketplace data (we observe listing prices, not confirmed transaction quantities). It also tends to understate inflation, for the mirror-image reason Laspeyres overstates it.</w:t>
      </w:r>
    </w:p>
    <w:p>
      <w:pPr>
        <w:shd w:fill="1F4E78" w:color="auto" w:val="clear"/>
        <w:spacing w:after="120" w:before="320"/>
      </w:pPr>
      <w:r>
        <w:rPr>
          <w:b/>
          <w:bCs/>
          <w:color w:val="FFFFFF"/>
          <w:sz w:val="26"/>
          <w:szCs w:val="26"/>
        </w:rPr>
        <w:t xml:space="preserve">3.6 Fisher Ideal Index</w:t>
      </w:r>
    </w:p>
    <w:p>
      <w:pPr>
        <w:spacing w:after="160" w:line="276"/>
      </w:pPr>
      <w:r>
        <w:t xml:space="preserve">The Fisher Ideal index is the geometric mean of the Laspeyres and Paasche indices. It is classified as a “superlative” index — it approximates the true underlying cost-of-living index better than either component alone.</w:t>
      </w:r>
    </w:p>
    <w:p>
      <w:pPr>
        <w:pBdr>
          <w:top w:val="single" w:color="C9D9E8" w:sz="4"/>
          <w:bottom w:val="single" w:color="C9D9E8" w:sz="4"/>
          <w:left w:val="single" w:color="C9D9E8" w:sz="4"/>
          <w:right w:val="single" w:color="C9D9E8" w:sz="4"/>
        </w:pBdr>
        <w:shd w:fill="EAF1F8" w:color="auto" w:val="clear"/>
        <w:spacing w:after="160" w:before="120"/>
        <w:jc w:val="center"/>
      </w:pPr>
      <w:r>
        <w:rPr>
          <w:i/>
          <w:iCs/>
          <w:sz w:val="24"/>
          <w:szCs w:val="24"/>
        </w:rPr>
        <w:t xml:space="preserve">I</w:t>
      </w:r>
      <w:r>
        <w:rPr>
          <w:i w:val="false"/>
          <w:iCs w:val="false"/>
          <w:sz w:val="24"/>
          <w:szCs w:val="24"/>
          <w:vertAlign w:val="subscript"/>
        </w:rPr>
        <w:t xml:space="preserve">F</w:t>
      </w:r>
      <w:r>
        <w:rPr>
          <w:i/>
          <w:iCs/>
          <w:sz w:val="24"/>
          <w:szCs w:val="24"/>
        </w:rPr>
        <w:t xml:space="preserve">(0,t) = </w:t>
      </w:r>
      <w:r>
        <w:rPr>
          <w:i w:val="false"/>
          <w:iCs w:val="false"/>
          <w:sz w:val="24"/>
          <w:szCs w:val="24"/>
        </w:rPr>
        <w:t xml:space="preserve">√</w:t>
      </w:r>
      <w:r>
        <w:rPr>
          <w:i/>
          <w:iCs/>
          <w:sz w:val="24"/>
          <w:szCs w:val="24"/>
        </w:rPr>
        <w:t xml:space="preserve">( I</w:t>
      </w:r>
      <w:r>
        <w:rPr>
          <w:i/>
          <w:iCs/>
          <w:sz w:val="24"/>
          <w:szCs w:val="24"/>
          <w:vertAlign w:val="subscript"/>
        </w:rPr>
        <w:t xml:space="preserve">L</w:t>
      </w:r>
      <w:r>
        <w:rPr>
          <w:i/>
          <w:iCs/>
          <w:sz w:val="24"/>
          <w:szCs w:val="24"/>
        </w:rPr>
        <w:t xml:space="preserve"> × I</w:t>
      </w:r>
      <w:r>
        <w:rPr>
          <w:i/>
          <w:iCs/>
          <w:sz w:val="24"/>
          <w:szCs w:val="24"/>
          <w:vertAlign w:val="subscript"/>
        </w:rPr>
        <w:t xml:space="preserve">P</w:t>
      </w:r>
      <w:r>
        <w:rPr>
          <w:i/>
          <w:iCs/>
          <w:sz w:val="24"/>
          <w:szCs w:val="24"/>
        </w:rPr>
        <w:t xml:space="preserve"> )</w:t>
      </w:r>
    </w:p>
    <w:p>
      <w:pPr>
        <w:spacing w:after="100"/>
      </w:pPr>
      <w:r>
        <w:rPr>
          <w:b/>
          <w:bCs/>
        </w:rPr>
        <w:t xml:space="preserve">When we use it: </w:t>
      </w:r>
      <w:r>
        <w:t xml:space="preserve">When both base-period and current-period expenditure/quantity weights are reliably available — common in scanner-data CPI work where point-of-sale systems record actual quantities sold each period.</w:t>
      </w:r>
    </w:p>
    <w:p>
      <w:pPr>
        <w:spacing w:after="100"/>
      </w:pPr>
      <w:r>
        <w:rPr>
          <w:b/>
          <w:bCs/>
        </w:rPr>
        <w:t xml:space="preserve">Why: </w:t>
      </w:r>
      <w:r>
        <w:t xml:space="preserve">It satisfies more of the index-number theory axioms (time reversal, factor reversal) than Laspeyres or Paasche alone, and largely cancels out substitution bias. Its cost is data: it needs a current-period weight for every period, not just the base period — a requirement our scraped listings data cannot currently satisfy without a quantity proxy.</w:t>
      </w:r>
    </w:p>
    <w:p>
      <w:pPr>
        <w:shd w:fill="1F4E78" w:color="auto" w:val="clear"/>
        <w:spacing w:after="120" w:before="320"/>
      </w:pPr>
      <w:r>
        <w:rPr>
          <w:b/>
          <w:bCs/>
          <w:color w:val="FFFFFF"/>
          <w:sz w:val="26"/>
          <w:szCs w:val="26"/>
        </w:rPr>
        <w:t xml:space="preserve">3.7 Törnqvist Index</w:t>
      </w:r>
    </w:p>
    <w:p>
      <w:pPr>
        <w:spacing w:after="160" w:line="276"/>
      </w:pPr>
      <w:r>
        <w:t xml:space="preserve">The Törnqvist index is also superlative. It is a weighted geometric mean of price relatives, where each item's weight is the average of its base-period and current-period expenditure share.</w:t>
      </w:r>
    </w:p>
    <w:p>
      <w:pPr>
        <w:pBdr>
          <w:top w:val="single" w:color="C9D9E8" w:sz="4"/>
          <w:bottom w:val="single" w:color="C9D9E8" w:sz="4"/>
          <w:left w:val="single" w:color="C9D9E8" w:sz="4"/>
          <w:right w:val="single" w:color="C9D9E8" w:sz="4"/>
        </w:pBdr>
        <w:shd w:fill="EAF1F8" w:color="auto" w:val="clear"/>
        <w:spacing w:after="40" w:before="120"/>
        <w:jc w:val="center"/>
      </w:pPr>
      <w:r>
        <w:rPr>
          <w:i/>
          <w:iCs/>
          <w:sz w:val="24"/>
          <w:szCs w:val="24"/>
        </w:rPr>
        <w:t xml:space="preserve">ln[ I</w:t>
      </w:r>
      <w:r>
        <w:rPr>
          <w:i w:val="false"/>
          <w:iCs w:val="false"/>
          <w:sz w:val="24"/>
          <w:szCs w:val="24"/>
          <w:vertAlign w:val="subscript"/>
        </w:rPr>
        <w:t xml:space="preserve">T</w:t>
      </w:r>
      <w:r>
        <w:rPr>
          <w:i/>
          <w:iCs/>
          <w:sz w:val="24"/>
          <w:szCs w:val="24"/>
        </w:rPr>
        <w:t xml:space="preserve">(0,t) ] = </w:t>
      </w:r>
      <w:r>
        <w:rPr>
          <w:i w:val="false"/>
          <w:iCs w:val="false"/>
          <w:sz w:val="24"/>
          <w:szCs w:val="24"/>
        </w:rPr>
        <w:t xml:space="preserve">Σ</w:t>
      </w:r>
      <w:r>
        <w:rPr>
          <w:i/>
          <w:iCs/>
          <w:sz w:val="24"/>
          <w:szCs w:val="24"/>
        </w:rPr>
        <w:t xml:space="preserve"> { [ (w</w:t>
      </w:r>
      <w:r>
        <w:rPr>
          <w:i/>
          <w:iCs/>
          <w:sz w:val="24"/>
          <w:szCs w:val="24"/>
          <w:vertAlign w:val="subscript"/>
        </w:rPr>
        <w:t xml:space="preserve">i,0</w:t>
      </w:r>
      <w:r>
        <w:rPr>
          <w:i/>
          <w:iCs/>
          <w:sz w:val="24"/>
          <w:szCs w:val="24"/>
        </w:rPr>
        <w:t xml:space="preserve"> + w</w:t>
      </w:r>
      <w:r>
        <w:rPr>
          <w:i/>
          <w:iCs/>
          <w:sz w:val="24"/>
          <w:szCs w:val="24"/>
          <w:vertAlign w:val="subscript"/>
        </w:rPr>
        <w:t xml:space="preserve">i,t</w:t>
      </w:r>
      <w:r>
        <w:rPr>
          <w:i/>
          <w:iCs/>
          <w:sz w:val="24"/>
          <w:szCs w:val="24"/>
        </w:rPr>
        <w:t xml:space="preserve">) / 2 ]  ×  ln(p</w:t>
      </w:r>
      <w:r>
        <w:rPr>
          <w:i/>
          <w:iCs/>
          <w:sz w:val="24"/>
          <w:szCs w:val="24"/>
          <w:vertAlign w:val="subscript"/>
        </w:rPr>
        <w:t xml:space="preserve">i,t</w:t>
      </w:r>
      <w:r>
        <w:rPr>
          <w:i/>
          <w:iCs/>
          <w:sz w:val="24"/>
          <w:szCs w:val="24"/>
        </w:rPr>
        <w:t xml:space="preserve"> / p</w:t>
      </w:r>
      <w:r>
        <w:rPr>
          <w:i/>
          <w:iCs/>
          <w:sz w:val="24"/>
          <w:szCs w:val="24"/>
          <w:vertAlign w:val="subscript"/>
        </w:rPr>
        <w:t xml:space="preserve">i,0</w:t>
      </w:r>
      <w:r>
        <w:rPr>
          <w:i/>
          <w:iCs/>
          <w:sz w:val="24"/>
          <w:szCs w:val="24"/>
        </w:rPr>
        <w:t xml:space="preserve">) }</w:t>
      </w:r>
    </w:p>
    <w:p>
      <w:pPr>
        <w:spacing w:after="200"/>
        <w:jc w:val="center"/>
      </w:pPr>
      <w:r>
        <w:rPr>
          <w:i/>
          <w:iCs/>
          <w:color w:val="555555"/>
          <w:sz w:val="18"/>
          <w:szCs w:val="18"/>
        </w:rPr>
        <w:t xml:space="preserve">wᵢ,₀ and wᵢ,ₜ are the item's expenditure share in the base and current period respectively.</w:t>
      </w:r>
    </w:p>
    <w:p>
      <w:pPr>
        <w:spacing w:after="100"/>
      </w:pPr>
      <w:r>
        <w:rPr>
          <w:b/>
          <w:bCs/>
        </w:rPr>
        <w:t xml:space="preserve">When we use it: </w:t>
      </w:r>
      <w:r>
        <w:t xml:space="preserve">As an alternative superlative formula to Fisher, and specifically as the standard bilateral building block inside GEKS when both base- and current-period weights are available (GEKS-Törnqvist).</w:t>
      </w:r>
    </w:p>
    <w:p>
      <w:pPr>
        <w:spacing w:after="100"/>
      </w:pPr>
      <w:r>
        <w:rPr>
          <w:b/>
          <w:bCs/>
        </w:rPr>
        <w:t xml:space="preserve">Why: </w:t>
      </w:r>
      <w:r>
        <w:t xml:space="preserve">Very close numerically to Fisher in most real-world data, but has a cleaner additive (log-linear) structure that some statistical agencies prefer for decomposition and diagnostics. It has the same data requirement as Fisher — current-period weights — which is the limiting factor for our pipeline today.</w:t>
      </w:r>
    </w:p>
    <w:p>
      <w:pPr>
        <w:shd w:fill="1F4E78" w:color="auto" w:val="clear"/>
        <w:spacing w:after="120" w:before="320"/>
      </w:pPr>
      <w:r>
        <w:rPr>
          <w:b/>
          <w:bCs/>
          <w:color w:val="FFFFFF"/>
          <w:sz w:val="26"/>
          <w:szCs w:val="26"/>
        </w:rPr>
        <w:t xml:space="preserve">3.8 GEKS (Géry–Eltétő–Köves–Szulc) Multilateral Index</w:t>
      </w:r>
    </w:p>
    <w:p>
      <w:pPr>
        <w:spacing w:after="160" w:line="276"/>
      </w:pPr>
      <w:r>
        <w:t xml:space="preserve">GEKS is not a new price-comparison formula on its own — it is a method for combining a chosen bilateral index (commonly Jevons, Fisher, or Törnqvist) across every pair of periods within a rolling window, to produce a single, mutually consistent (transitive) series across many periods at once. It directly targets the “chain drift” problem that occurs when items enter and leave the dataset frequently.</w:t>
      </w:r>
    </w:p>
    <w:p>
      <w:pPr>
        <w:pBdr>
          <w:top w:val="single" w:color="C9D9E8" w:sz="4"/>
          <w:bottom w:val="single" w:color="C9D9E8" w:sz="4"/>
          <w:left w:val="single" w:color="C9D9E8" w:sz="4"/>
          <w:right w:val="single" w:color="C9D9E8" w:sz="4"/>
        </w:pBdr>
        <w:shd w:fill="EAF1F8" w:color="auto" w:val="clear"/>
        <w:spacing w:after="40" w:before="120"/>
        <w:jc w:val="center"/>
      </w:pPr>
      <w:r>
        <w:rPr>
          <w:i/>
          <w:iCs/>
          <w:sz w:val="24"/>
          <w:szCs w:val="24"/>
        </w:rPr>
        <w:t xml:space="preserve">I</w:t>
      </w:r>
      <w:r>
        <w:rPr>
          <w:i w:val="false"/>
          <w:iCs w:val="false"/>
          <w:sz w:val="24"/>
          <w:szCs w:val="24"/>
          <w:vertAlign w:val="subscript"/>
        </w:rPr>
        <w:t xml:space="preserve">GEKS</w:t>
      </w:r>
      <w:r>
        <w:rPr>
          <w:i/>
          <w:iCs/>
          <w:sz w:val="24"/>
          <w:szCs w:val="24"/>
        </w:rPr>
        <w:t xml:space="preserve">(0,t) = </w:t>
      </w:r>
      <w:r>
        <w:rPr>
          <w:i/>
          <w:iCs/>
          <w:sz w:val="24"/>
          <w:szCs w:val="24"/>
        </w:rPr>
        <w:t xml:space="preserve">[ </w:t>
      </w:r>
      <w:r>
        <w:rPr>
          <w:i w:val="false"/>
          <w:iCs w:val="false"/>
          <w:sz w:val="24"/>
          <w:szCs w:val="24"/>
        </w:rPr>
        <w:t xml:space="preserve">Π</w:t>
      </w:r>
      <w:r>
        <w:rPr>
          <w:i w:val="false"/>
          <w:iCs w:val="false"/>
          <w:sz w:val="24"/>
          <w:szCs w:val="24"/>
          <w:vertAlign w:val="subscript"/>
        </w:rPr>
        <w:t xml:space="preserve">ₖ</w:t>
      </w:r>
      <w:r>
        <w:rPr>
          <w:i/>
          <w:iCs/>
          <w:sz w:val="24"/>
          <w:szCs w:val="24"/>
        </w:rPr>
        <w:t xml:space="preserve"> ( I</w:t>
      </w:r>
      <w:r>
        <w:rPr>
          <w:i/>
          <w:iCs/>
          <w:sz w:val="24"/>
          <w:szCs w:val="24"/>
          <w:vertAlign w:val="subscript"/>
        </w:rPr>
        <w:t xml:space="preserve">bilateral</w:t>
      </w:r>
      <w:r>
        <w:rPr>
          <w:i/>
          <w:iCs/>
          <w:sz w:val="24"/>
          <w:szCs w:val="24"/>
        </w:rPr>
        <w:t xml:space="preserve">(0,k) × I</w:t>
      </w:r>
      <w:r>
        <w:rPr>
          <w:i/>
          <w:iCs/>
          <w:sz w:val="24"/>
          <w:szCs w:val="24"/>
          <w:vertAlign w:val="subscript"/>
        </w:rPr>
        <w:t xml:space="preserve">bilateral</w:t>
      </w:r>
      <w:r>
        <w:rPr>
          <w:i w:val="false"/>
          <w:iCs w:val="false"/>
          <w:sz w:val="24"/>
          <w:szCs w:val="24"/>
        </w:rPr>
        <w:t xml:space="preserve">(k,t) ) ]</w:t>
      </w:r>
      <w:r>
        <w:rPr>
          <w:i/>
          <w:iCs/>
          <w:sz w:val="24"/>
          <w:szCs w:val="24"/>
          <w:vertAlign w:val="superscript"/>
        </w:rPr>
        <w:t xml:space="preserve">1/T</w:t>
      </w:r>
    </w:p>
    <w:p>
      <w:pPr>
        <w:spacing w:after="200"/>
        <w:jc w:val="center"/>
      </w:pPr>
      <w:r>
        <w:rPr>
          <w:i/>
          <w:iCs/>
          <w:color w:val="555555"/>
          <w:sz w:val="18"/>
          <w:szCs w:val="18"/>
        </w:rPr>
        <w:t xml:space="preserve">T = number of periods in the rolling window; k indexes every period in that window; I_bilateral can be Jevons, Fisher, or Törnqvist.</w:t>
      </w:r>
    </w:p>
    <w:p>
      <w:pPr>
        <w:spacing w:after="100"/>
      </w:pPr>
      <w:r>
        <w:rPr>
          <w:b/>
          <w:bCs/>
        </w:rPr>
        <w:t xml:space="preserve">When we use it: </w:t>
      </w:r>
      <w:r>
        <w:t xml:space="preserve">For high product-churn categories — where a large share of items appear or disappear between periods, so simple period-to-period chaining accumulates drift over time. Statistical offices using web-scraped or scanner data (e.g., ONS, Eurostat, Statistics Netherlands) rely on GEKS variants for exactly this reason.</w:t>
      </w:r>
    </w:p>
    <w:p>
      <w:pPr>
        <w:spacing w:after="100"/>
      </w:pPr>
      <w:r>
        <w:rPr>
          <w:b/>
          <w:bCs/>
        </w:rPr>
        <w:t xml:space="preserve">Why: </w:t>
      </w:r>
      <w:r>
        <w:t xml:space="preserve">By averaging over every pairwise comparison in the window rather than only period t–1 to t, GEKS is far more robust to items dropping in and out, and its multilateral construction removes most chain drift. The trade-off is that it is not “write-once”: adding a new period to the window can revise the index value for earlier periods until they age out of the window, which has direct implications for a full-overwrite, is_final-gated Gold layer and requires an explicit splicing or provisional/locked-final revision policy.</w:t>
      </w:r>
    </w:p>
    <w:p>
      <w:r>
        <w:br w:type="page"/>
      </w:r>
    </w:p>
    <w:p>
      <w:pPr>
        <w:pStyle w:val="Heading1"/>
        <w:spacing w:after="160" w:before="360"/>
      </w:pPr>
      <w:r>
        <w:t xml:space="preserve">4. Side-by-Side Comparison</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1800"/>
        <w:gridCol w:w="2600"/>
      </w:tblGrid>
      <w:tr>
        <w:tc>
          <w:tcPr>
            <w:tcW w:type="dxa" w:w="2000"/>
            <w:shd w:fill="1F4E78" w:color="auto" w:val="clear"/>
            <w:tcMar>
              <w:top w:type="dxa" w:w="80"/>
              <w:left w:type="dxa" w:w="100"/>
              <w:bottom w:type="dxa" w:w="80"/>
              <w:right w:type="dxa" w:w="100"/>
            </w:tcMar>
          </w:tcPr>
          <w:p>
            <w:r>
              <w:rPr>
                <w:b/>
                <w:bCs/>
                <w:color w:val="FFFFFF"/>
                <w:sz w:val="20"/>
                <w:szCs w:val="20"/>
              </w:rPr>
              <w:t xml:space="preserve">Method</w:t>
            </w:r>
          </w:p>
        </w:tc>
        <w:tc>
          <w:tcPr>
            <w:tcW w:type="dxa" w:w="2000"/>
            <w:shd w:fill="1F4E78" w:color="auto" w:val="clear"/>
            <w:tcMar>
              <w:top w:type="dxa" w:w="80"/>
              <w:left w:type="dxa" w:w="100"/>
              <w:bottom w:type="dxa" w:w="80"/>
              <w:right w:type="dxa" w:w="100"/>
            </w:tcMar>
          </w:tcPr>
          <w:p>
            <w:r>
              <w:rPr>
                <w:b/>
                <w:bCs/>
                <w:color w:val="FFFFFF"/>
                <w:sz w:val="20"/>
                <w:szCs w:val="20"/>
              </w:rPr>
              <w:t xml:space="preserve">Level</w:t>
            </w:r>
          </w:p>
        </w:tc>
        <w:tc>
          <w:tcPr>
            <w:tcW w:type="dxa" w:w="2200"/>
            <w:shd w:fill="1F4E78" w:color="auto" w:val="clear"/>
            <w:tcMar>
              <w:top w:type="dxa" w:w="80"/>
              <w:left w:type="dxa" w:w="100"/>
              <w:bottom w:type="dxa" w:w="80"/>
              <w:right w:type="dxa" w:w="100"/>
            </w:tcMar>
          </w:tcPr>
          <w:p>
            <w:r>
              <w:rPr>
                <w:b/>
                <w:bCs/>
                <w:color w:val="FFFFFF"/>
                <w:sz w:val="20"/>
                <w:szCs w:val="20"/>
              </w:rPr>
              <w:t xml:space="preserve">Weights required</w:t>
            </w:r>
          </w:p>
        </w:tc>
        <w:tc>
          <w:tcPr>
            <w:tcW w:type="dxa" w:w="1800"/>
            <w:shd w:fill="1F4E78" w:color="auto" w:val="clear"/>
            <w:tcMar>
              <w:top w:type="dxa" w:w="80"/>
              <w:left w:type="dxa" w:w="100"/>
              <w:bottom w:type="dxa" w:w="80"/>
              <w:right w:type="dxa" w:w="100"/>
            </w:tcMar>
          </w:tcPr>
          <w:p>
            <w:r>
              <w:rPr>
                <w:b/>
                <w:bCs/>
                <w:color w:val="FFFFFF"/>
                <w:sz w:val="20"/>
                <w:szCs w:val="20"/>
              </w:rPr>
              <w:t xml:space="preserve">Handles item churn</w:t>
            </w:r>
          </w:p>
        </w:tc>
        <w:tc>
          <w:tcPr>
            <w:tcW w:type="dxa" w:w="2600"/>
            <w:shd w:fill="1F4E78" w:color="auto" w:val="clear"/>
            <w:tcMar>
              <w:top w:type="dxa" w:w="80"/>
              <w:left w:type="dxa" w:w="100"/>
              <w:bottom w:type="dxa" w:w="80"/>
              <w:right w:type="dxa" w:w="100"/>
            </w:tcMar>
          </w:tcPr>
          <w:p>
            <w:r>
              <w:rPr>
                <w:b/>
                <w:bCs/>
                <w:color w:val="FFFFFF"/>
                <w:sz w:val="20"/>
                <w:szCs w:val="20"/>
              </w:rPr>
              <w:t xml:space="preserve">Key limitation</w:t>
            </w:r>
          </w:p>
        </w:tc>
      </w:tr>
      <w:tr>
        <w:tc>
          <w:tcPr>
            <w:tcW w:type="dxa" w:w="2000"/>
            <w:tcMar>
              <w:top w:type="dxa" w:w="80"/>
              <w:left w:type="dxa" w:w="100"/>
              <w:bottom w:type="dxa" w:w="80"/>
              <w:right w:type="dxa" w:w="100"/>
            </w:tcMar>
          </w:tcPr>
          <w:p>
            <w:r>
              <w:rPr>
                <w:sz w:val="20"/>
                <w:szCs w:val="20"/>
              </w:rPr>
              <w:t xml:space="preserve">Carli</w:t>
            </w:r>
          </w:p>
        </w:tc>
        <w:tc>
          <w:tcPr>
            <w:tcW w:type="dxa" w:w="2000"/>
            <w:tcMar>
              <w:top w:type="dxa" w:w="80"/>
              <w:left w:type="dxa" w:w="100"/>
              <w:bottom w:type="dxa" w:w="80"/>
              <w:right w:type="dxa" w:w="100"/>
            </w:tcMar>
          </w:tcPr>
          <w:p>
            <w:r>
              <w:rPr>
                <w:sz w:val="20"/>
                <w:szCs w:val="20"/>
              </w:rPr>
              <w:t xml:space="preserve">Elementary</w:t>
            </w:r>
          </w:p>
        </w:tc>
        <w:tc>
          <w:tcPr>
            <w:tcW w:type="dxa" w:w="2200"/>
            <w:tcMar>
              <w:top w:type="dxa" w:w="80"/>
              <w:left w:type="dxa" w:w="100"/>
              <w:bottom w:type="dxa" w:w="80"/>
              <w:right w:type="dxa" w:w="100"/>
            </w:tcMar>
          </w:tcPr>
          <w:p>
            <w:r>
              <w:rPr>
                <w:sz w:val="20"/>
                <w:szCs w:val="20"/>
              </w:rPr>
              <w:t xml:space="preserve">None</w:t>
            </w:r>
          </w:p>
        </w:tc>
        <w:tc>
          <w:tcPr>
            <w:tcW w:type="dxa" w:w="1800"/>
            <w:tcMar>
              <w:top w:type="dxa" w:w="80"/>
              <w:left w:type="dxa" w:w="100"/>
              <w:bottom w:type="dxa" w:w="80"/>
              <w:right w:type="dxa" w:w="100"/>
            </w:tcMar>
          </w:tcPr>
          <w:p>
            <w:r>
              <w:rPr>
                <w:sz w:val="20"/>
                <w:szCs w:val="20"/>
              </w:rPr>
              <w:t xml:space="preserve">Poor</w:t>
            </w:r>
          </w:p>
        </w:tc>
        <w:tc>
          <w:tcPr>
            <w:tcW w:type="dxa" w:w="2600"/>
            <w:tcMar>
              <w:top w:type="dxa" w:w="80"/>
              <w:left w:type="dxa" w:w="100"/>
              <w:bottom w:type="dxa" w:w="80"/>
              <w:right w:type="dxa" w:w="100"/>
            </w:tcMar>
          </w:tcPr>
          <w:p>
            <w:r>
              <w:rPr>
                <w:sz w:val="20"/>
                <w:szCs w:val="20"/>
              </w:rPr>
              <w:t xml:space="preserve">Upward bias; fails time reversal test</w:t>
            </w:r>
          </w:p>
        </w:tc>
      </w:tr>
      <w:tr>
        <w:tc>
          <w:tcPr>
            <w:tcW w:type="dxa" w:w="2000"/>
            <w:shd w:fill="EAF1F8" w:color="auto" w:val="clear"/>
            <w:tcMar>
              <w:top w:type="dxa" w:w="80"/>
              <w:left w:type="dxa" w:w="100"/>
              <w:bottom w:type="dxa" w:w="80"/>
              <w:right w:type="dxa" w:w="100"/>
            </w:tcMar>
          </w:tcPr>
          <w:p>
            <w:r>
              <w:rPr>
                <w:sz w:val="20"/>
                <w:szCs w:val="20"/>
              </w:rPr>
              <w:t xml:space="preserve">Dutot</w:t>
            </w:r>
          </w:p>
        </w:tc>
        <w:tc>
          <w:tcPr>
            <w:tcW w:type="dxa" w:w="2000"/>
            <w:shd w:fill="EAF1F8" w:color="auto" w:val="clear"/>
            <w:tcMar>
              <w:top w:type="dxa" w:w="80"/>
              <w:left w:type="dxa" w:w="100"/>
              <w:bottom w:type="dxa" w:w="80"/>
              <w:right w:type="dxa" w:w="100"/>
            </w:tcMar>
          </w:tcPr>
          <w:p>
            <w:r>
              <w:rPr>
                <w:sz w:val="20"/>
                <w:szCs w:val="20"/>
              </w:rPr>
              <w:t xml:space="preserve">Elementary</w:t>
            </w:r>
          </w:p>
        </w:tc>
        <w:tc>
          <w:tcPr>
            <w:tcW w:type="dxa" w:w="2200"/>
            <w:shd w:fill="EAF1F8" w:color="auto" w:val="clear"/>
            <w:tcMar>
              <w:top w:type="dxa" w:w="80"/>
              <w:left w:type="dxa" w:w="100"/>
              <w:bottom w:type="dxa" w:w="80"/>
              <w:right w:type="dxa" w:w="100"/>
            </w:tcMar>
          </w:tcPr>
          <w:p>
            <w:r>
              <w:rPr>
                <w:sz w:val="20"/>
                <w:szCs w:val="20"/>
              </w:rPr>
              <w:t xml:space="preserve">None</w:t>
            </w:r>
          </w:p>
        </w:tc>
        <w:tc>
          <w:tcPr>
            <w:tcW w:type="dxa" w:w="1800"/>
            <w:shd w:fill="EAF1F8" w:color="auto" w:val="clear"/>
            <w:tcMar>
              <w:top w:type="dxa" w:w="80"/>
              <w:left w:type="dxa" w:w="100"/>
              <w:bottom w:type="dxa" w:w="80"/>
              <w:right w:type="dxa" w:w="100"/>
            </w:tcMar>
          </w:tcPr>
          <w:p>
            <w:r>
              <w:rPr>
                <w:sz w:val="20"/>
                <w:szCs w:val="20"/>
              </w:rPr>
              <w:t xml:space="preserve">Poor</w:t>
            </w:r>
          </w:p>
        </w:tc>
        <w:tc>
          <w:tcPr>
            <w:tcW w:type="dxa" w:w="2600"/>
            <w:shd w:fill="EAF1F8" w:color="auto" w:val="clear"/>
            <w:tcMar>
              <w:top w:type="dxa" w:w="80"/>
              <w:left w:type="dxa" w:w="100"/>
              <w:bottom w:type="dxa" w:w="80"/>
              <w:right w:type="dxa" w:w="100"/>
            </w:tcMar>
          </w:tcPr>
          <w:p>
            <w:r>
              <w:rPr>
                <w:sz w:val="20"/>
                <w:szCs w:val="20"/>
              </w:rPr>
              <w:t xml:space="preserve">Distorted by high-priced items</w:t>
            </w:r>
          </w:p>
        </w:tc>
      </w:tr>
      <w:tr>
        <w:tc>
          <w:tcPr>
            <w:tcW w:type="dxa" w:w="2000"/>
            <w:tcMar>
              <w:top w:type="dxa" w:w="80"/>
              <w:left w:type="dxa" w:w="100"/>
              <w:bottom w:type="dxa" w:w="80"/>
              <w:right w:type="dxa" w:w="100"/>
            </w:tcMar>
          </w:tcPr>
          <w:p>
            <w:r>
              <w:rPr>
                <w:sz w:val="20"/>
                <w:szCs w:val="20"/>
              </w:rPr>
              <w:t xml:space="preserve">Jevons</w:t>
            </w:r>
          </w:p>
        </w:tc>
        <w:tc>
          <w:tcPr>
            <w:tcW w:type="dxa" w:w="2000"/>
            <w:tcMar>
              <w:top w:type="dxa" w:w="80"/>
              <w:left w:type="dxa" w:w="100"/>
              <w:bottom w:type="dxa" w:w="80"/>
              <w:right w:type="dxa" w:w="100"/>
            </w:tcMar>
          </w:tcPr>
          <w:p>
            <w:r>
              <w:rPr>
                <w:sz w:val="20"/>
                <w:szCs w:val="20"/>
              </w:rPr>
              <w:t xml:space="preserve">Elementary</w:t>
            </w:r>
          </w:p>
        </w:tc>
        <w:tc>
          <w:tcPr>
            <w:tcW w:type="dxa" w:w="2200"/>
            <w:tcMar>
              <w:top w:type="dxa" w:w="80"/>
              <w:left w:type="dxa" w:w="100"/>
              <w:bottom w:type="dxa" w:w="80"/>
              <w:right w:type="dxa" w:w="100"/>
            </w:tcMar>
          </w:tcPr>
          <w:p>
            <w:r>
              <w:rPr>
                <w:sz w:val="20"/>
                <w:szCs w:val="20"/>
              </w:rPr>
              <w:t xml:space="preserve">None</w:t>
            </w:r>
          </w:p>
        </w:tc>
        <w:tc>
          <w:tcPr>
            <w:tcW w:type="dxa" w:w="1800"/>
            <w:tcMar>
              <w:top w:type="dxa" w:w="80"/>
              <w:left w:type="dxa" w:w="100"/>
              <w:bottom w:type="dxa" w:w="80"/>
              <w:right w:type="dxa" w:w="100"/>
            </w:tcMar>
          </w:tcPr>
          <w:p>
            <w:r>
              <w:rPr>
                <w:sz w:val="20"/>
                <w:szCs w:val="20"/>
              </w:rPr>
              <w:t xml:space="preserve">Poor alone</w:t>
            </w:r>
          </w:p>
        </w:tc>
        <w:tc>
          <w:tcPr>
            <w:tcW w:type="dxa" w:w="2600"/>
            <w:tcMar>
              <w:top w:type="dxa" w:w="80"/>
              <w:left w:type="dxa" w:w="100"/>
              <w:bottom w:type="dxa" w:w="80"/>
              <w:right w:type="dxa" w:w="100"/>
            </w:tcMar>
          </w:tcPr>
          <w:p>
            <w:r>
              <w:rPr>
                <w:sz w:val="20"/>
                <w:szCs w:val="20"/>
              </w:rPr>
              <w:t xml:space="preserve">Assumes unit substitution elasticity</w:t>
            </w:r>
          </w:p>
        </w:tc>
      </w:tr>
      <w:tr>
        <w:tc>
          <w:tcPr>
            <w:tcW w:type="dxa" w:w="2000"/>
            <w:shd w:fill="EAF1F8" w:color="auto" w:val="clear"/>
            <w:tcMar>
              <w:top w:type="dxa" w:w="80"/>
              <w:left w:type="dxa" w:w="100"/>
              <w:bottom w:type="dxa" w:w="80"/>
              <w:right w:type="dxa" w:w="100"/>
            </w:tcMar>
          </w:tcPr>
          <w:p>
            <w:r>
              <w:rPr>
                <w:sz w:val="20"/>
                <w:szCs w:val="20"/>
              </w:rPr>
              <w:t xml:space="preserve">Laspeyres</w:t>
            </w:r>
          </w:p>
        </w:tc>
        <w:tc>
          <w:tcPr>
            <w:tcW w:type="dxa" w:w="2000"/>
            <w:shd w:fill="EAF1F8" w:color="auto" w:val="clear"/>
            <w:tcMar>
              <w:top w:type="dxa" w:w="80"/>
              <w:left w:type="dxa" w:w="100"/>
              <w:bottom w:type="dxa" w:w="80"/>
              <w:right w:type="dxa" w:w="100"/>
            </w:tcMar>
          </w:tcPr>
          <w:p>
            <w:r>
              <w:rPr>
                <w:sz w:val="20"/>
                <w:szCs w:val="20"/>
              </w:rPr>
              <w:t xml:space="preserve">Aggregate (bilateral)</w:t>
            </w:r>
          </w:p>
        </w:tc>
        <w:tc>
          <w:tcPr>
            <w:tcW w:type="dxa" w:w="2200"/>
            <w:shd w:fill="EAF1F8" w:color="auto" w:val="clear"/>
            <w:tcMar>
              <w:top w:type="dxa" w:w="80"/>
              <w:left w:type="dxa" w:w="100"/>
              <w:bottom w:type="dxa" w:w="80"/>
              <w:right w:type="dxa" w:w="100"/>
            </w:tcMar>
          </w:tcPr>
          <w:p>
            <w:r>
              <w:rPr>
                <w:sz w:val="20"/>
                <w:szCs w:val="20"/>
              </w:rPr>
              <w:t xml:space="preserve">Base period only</w:t>
            </w:r>
          </w:p>
        </w:tc>
        <w:tc>
          <w:tcPr>
            <w:tcW w:type="dxa" w:w="1800"/>
            <w:shd w:fill="EAF1F8" w:color="auto" w:val="clear"/>
            <w:tcMar>
              <w:top w:type="dxa" w:w="80"/>
              <w:left w:type="dxa" w:w="100"/>
              <w:bottom w:type="dxa" w:w="80"/>
              <w:right w:type="dxa" w:w="100"/>
            </w:tcMar>
          </w:tcPr>
          <w:p>
            <w:r>
              <w:rPr>
                <w:sz w:val="20"/>
                <w:szCs w:val="20"/>
              </w:rPr>
              <w:t xml:space="preserve">Poor</w:t>
            </w:r>
          </w:p>
        </w:tc>
        <w:tc>
          <w:tcPr>
            <w:tcW w:type="dxa" w:w="2600"/>
            <w:shd w:fill="EAF1F8" w:color="auto" w:val="clear"/>
            <w:tcMar>
              <w:top w:type="dxa" w:w="80"/>
              <w:left w:type="dxa" w:w="100"/>
              <w:bottom w:type="dxa" w:w="80"/>
              <w:right w:type="dxa" w:w="100"/>
            </w:tcMar>
          </w:tcPr>
          <w:p>
            <w:r>
              <w:rPr>
                <w:sz w:val="20"/>
                <w:szCs w:val="20"/>
              </w:rPr>
              <w:t xml:space="preserve">Substitution bias (overstates inflation)</w:t>
            </w:r>
          </w:p>
        </w:tc>
      </w:tr>
      <w:tr>
        <w:tc>
          <w:tcPr>
            <w:tcW w:type="dxa" w:w="2000"/>
            <w:tcMar>
              <w:top w:type="dxa" w:w="80"/>
              <w:left w:type="dxa" w:w="100"/>
              <w:bottom w:type="dxa" w:w="80"/>
              <w:right w:type="dxa" w:w="100"/>
            </w:tcMar>
          </w:tcPr>
          <w:p>
            <w:r>
              <w:rPr>
                <w:sz w:val="20"/>
                <w:szCs w:val="20"/>
              </w:rPr>
              <w:t xml:space="preserve">Paasche</w:t>
            </w:r>
          </w:p>
        </w:tc>
        <w:tc>
          <w:tcPr>
            <w:tcW w:type="dxa" w:w="2000"/>
            <w:tcMar>
              <w:top w:type="dxa" w:w="80"/>
              <w:left w:type="dxa" w:w="100"/>
              <w:bottom w:type="dxa" w:w="80"/>
              <w:right w:type="dxa" w:w="100"/>
            </w:tcMar>
          </w:tcPr>
          <w:p>
            <w:r>
              <w:rPr>
                <w:sz w:val="20"/>
                <w:szCs w:val="20"/>
              </w:rPr>
              <w:t xml:space="preserve">Aggregate (bilateral)</w:t>
            </w:r>
          </w:p>
        </w:tc>
        <w:tc>
          <w:tcPr>
            <w:tcW w:type="dxa" w:w="2200"/>
            <w:tcMar>
              <w:top w:type="dxa" w:w="80"/>
              <w:left w:type="dxa" w:w="100"/>
              <w:bottom w:type="dxa" w:w="80"/>
              <w:right w:type="dxa" w:w="100"/>
            </w:tcMar>
          </w:tcPr>
          <w:p>
            <w:r>
              <w:rPr>
                <w:sz w:val="20"/>
                <w:szCs w:val="20"/>
              </w:rPr>
              <w:t xml:space="preserve">Current period only</w:t>
            </w:r>
          </w:p>
        </w:tc>
        <w:tc>
          <w:tcPr>
            <w:tcW w:type="dxa" w:w="1800"/>
            <w:tcMar>
              <w:top w:type="dxa" w:w="80"/>
              <w:left w:type="dxa" w:w="100"/>
              <w:bottom w:type="dxa" w:w="80"/>
              <w:right w:type="dxa" w:w="100"/>
            </w:tcMar>
          </w:tcPr>
          <w:p>
            <w:r>
              <w:rPr>
                <w:sz w:val="20"/>
                <w:szCs w:val="20"/>
              </w:rPr>
              <w:t xml:space="preserve">Poor</w:t>
            </w:r>
          </w:p>
        </w:tc>
        <w:tc>
          <w:tcPr>
            <w:tcW w:type="dxa" w:w="2600"/>
            <w:tcMar>
              <w:top w:type="dxa" w:w="80"/>
              <w:left w:type="dxa" w:w="100"/>
              <w:bottom w:type="dxa" w:w="80"/>
              <w:right w:type="dxa" w:w="100"/>
            </w:tcMar>
          </w:tcPr>
          <w:p>
            <w:r>
              <w:rPr>
                <w:sz w:val="20"/>
                <w:szCs w:val="20"/>
              </w:rPr>
              <w:t xml:space="preserve">Needs current-period quantities; understates inflation</w:t>
            </w:r>
          </w:p>
        </w:tc>
      </w:tr>
      <w:tr>
        <w:tc>
          <w:tcPr>
            <w:tcW w:type="dxa" w:w="2000"/>
            <w:shd w:fill="EAF1F8" w:color="auto" w:val="clear"/>
            <w:tcMar>
              <w:top w:type="dxa" w:w="80"/>
              <w:left w:type="dxa" w:w="100"/>
              <w:bottom w:type="dxa" w:w="80"/>
              <w:right w:type="dxa" w:w="100"/>
            </w:tcMar>
          </w:tcPr>
          <w:p>
            <w:r>
              <w:rPr>
                <w:sz w:val="20"/>
                <w:szCs w:val="20"/>
              </w:rPr>
              <w:t xml:space="preserve">Fisher</w:t>
            </w:r>
          </w:p>
        </w:tc>
        <w:tc>
          <w:tcPr>
            <w:tcW w:type="dxa" w:w="2000"/>
            <w:shd w:fill="EAF1F8" w:color="auto" w:val="clear"/>
            <w:tcMar>
              <w:top w:type="dxa" w:w="80"/>
              <w:left w:type="dxa" w:w="100"/>
              <w:bottom w:type="dxa" w:w="80"/>
              <w:right w:type="dxa" w:w="100"/>
            </w:tcMar>
          </w:tcPr>
          <w:p>
            <w:r>
              <w:rPr>
                <w:sz w:val="20"/>
                <w:szCs w:val="20"/>
              </w:rPr>
              <w:t xml:space="preserve">Aggregate (bilateral)</w:t>
            </w:r>
          </w:p>
        </w:tc>
        <w:tc>
          <w:tcPr>
            <w:tcW w:type="dxa" w:w="2200"/>
            <w:shd w:fill="EAF1F8" w:color="auto" w:val="clear"/>
            <w:tcMar>
              <w:top w:type="dxa" w:w="80"/>
              <w:left w:type="dxa" w:w="100"/>
              <w:bottom w:type="dxa" w:w="80"/>
              <w:right w:type="dxa" w:w="100"/>
            </w:tcMar>
          </w:tcPr>
          <w:p>
            <w:r>
              <w:rPr>
                <w:sz w:val="20"/>
                <w:szCs w:val="20"/>
              </w:rPr>
              <w:t xml:space="preserve">Base + current period</w:t>
            </w:r>
          </w:p>
        </w:tc>
        <w:tc>
          <w:tcPr>
            <w:tcW w:type="dxa" w:w="1800"/>
            <w:shd w:fill="EAF1F8" w:color="auto" w:val="clear"/>
            <w:tcMar>
              <w:top w:type="dxa" w:w="80"/>
              <w:left w:type="dxa" w:w="100"/>
              <w:bottom w:type="dxa" w:w="80"/>
              <w:right w:type="dxa" w:w="100"/>
            </w:tcMar>
          </w:tcPr>
          <w:p>
            <w:r>
              <w:rPr>
                <w:sz w:val="20"/>
                <w:szCs w:val="20"/>
              </w:rPr>
              <w:t xml:space="preserve">Poor alone</w:t>
            </w:r>
          </w:p>
        </w:tc>
        <w:tc>
          <w:tcPr>
            <w:tcW w:type="dxa" w:w="2600"/>
            <w:shd w:fill="EAF1F8" w:color="auto" w:val="clear"/>
            <w:tcMar>
              <w:top w:type="dxa" w:w="80"/>
              <w:left w:type="dxa" w:w="100"/>
              <w:bottom w:type="dxa" w:w="80"/>
              <w:right w:type="dxa" w:w="100"/>
            </w:tcMar>
          </w:tcPr>
          <w:p>
            <w:r>
              <w:rPr>
                <w:sz w:val="20"/>
                <w:szCs w:val="20"/>
              </w:rPr>
              <w:t xml:space="preserve">Needs current-period weights every period</w:t>
            </w:r>
          </w:p>
        </w:tc>
      </w:tr>
      <w:tr>
        <w:tc>
          <w:tcPr>
            <w:tcW w:type="dxa" w:w="2000"/>
            <w:tcMar>
              <w:top w:type="dxa" w:w="80"/>
              <w:left w:type="dxa" w:w="100"/>
              <w:bottom w:type="dxa" w:w="80"/>
              <w:right w:type="dxa" w:w="100"/>
            </w:tcMar>
          </w:tcPr>
          <w:p>
            <w:r>
              <w:rPr>
                <w:sz w:val="20"/>
                <w:szCs w:val="20"/>
              </w:rPr>
              <w:t xml:space="preserve">Törnqvist</w:t>
            </w:r>
          </w:p>
        </w:tc>
        <w:tc>
          <w:tcPr>
            <w:tcW w:type="dxa" w:w="2000"/>
            <w:tcMar>
              <w:top w:type="dxa" w:w="80"/>
              <w:left w:type="dxa" w:w="100"/>
              <w:bottom w:type="dxa" w:w="80"/>
              <w:right w:type="dxa" w:w="100"/>
            </w:tcMar>
          </w:tcPr>
          <w:p>
            <w:r>
              <w:rPr>
                <w:sz w:val="20"/>
                <w:szCs w:val="20"/>
              </w:rPr>
              <w:t xml:space="preserve">Aggregate (bilateral)</w:t>
            </w:r>
          </w:p>
        </w:tc>
        <w:tc>
          <w:tcPr>
            <w:tcW w:type="dxa" w:w="2200"/>
            <w:tcMar>
              <w:top w:type="dxa" w:w="80"/>
              <w:left w:type="dxa" w:w="100"/>
              <w:bottom w:type="dxa" w:w="80"/>
              <w:right w:type="dxa" w:w="100"/>
            </w:tcMar>
          </w:tcPr>
          <w:p>
            <w:r>
              <w:rPr>
                <w:sz w:val="20"/>
                <w:szCs w:val="20"/>
              </w:rPr>
              <w:t xml:space="preserve">Base + current period</w:t>
            </w:r>
          </w:p>
        </w:tc>
        <w:tc>
          <w:tcPr>
            <w:tcW w:type="dxa" w:w="1800"/>
            <w:tcMar>
              <w:top w:type="dxa" w:w="80"/>
              <w:left w:type="dxa" w:w="100"/>
              <w:bottom w:type="dxa" w:w="80"/>
              <w:right w:type="dxa" w:w="100"/>
            </w:tcMar>
          </w:tcPr>
          <w:p>
            <w:r>
              <w:rPr>
                <w:sz w:val="20"/>
                <w:szCs w:val="20"/>
              </w:rPr>
              <w:t xml:space="preserve">Poor alone</w:t>
            </w:r>
          </w:p>
        </w:tc>
        <w:tc>
          <w:tcPr>
            <w:tcW w:type="dxa" w:w="2600"/>
            <w:tcMar>
              <w:top w:type="dxa" w:w="80"/>
              <w:left w:type="dxa" w:w="100"/>
              <w:bottom w:type="dxa" w:w="80"/>
              <w:right w:type="dxa" w:w="100"/>
            </w:tcMar>
          </w:tcPr>
          <w:p>
            <w:r>
              <w:rPr>
                <w:sz w:val="20"/>
                <w:szCs w:val="20"/>
              </w:rPr>
              <w:t xml:space="preserve">Same data burden as Fisher</w:t>
            </w:r>
          </w:p>
        </w:tc>
      </w:tr>
      <w:tr>
        <w:tc>
          <w:tcPr>
            <w:tcW w:type="dxa" w:w="2000"/>
            <w:shd w:fill="EAF1F8" w:color="auto" w:val="clear"/>
            <w:tcMar>
              <w:top w:type="dxa" w:w="80"/>
              <w:left w:type="dxa" w:w="100"/>
              <w:bottom w:type="dxa" w:w="80"/>
              <w:right w:type="dxa" w:w="100"/>
            </w:tcMar>
          </w:tcPr>
          <w:p>
            <w:r>
              <w:rPr>
                <w:sz w:val="20"/>
                <w:szCs w:val="20"/>
              </w:rPr>
              <w:t xml:space="preserve">GEKS</w:t>
            </w:r>
          </w:p>
        </w:tc>
        <w:tc>
          <w:tcPr>
            <w:tcW w:type="dxa" w:w="2000"/>
            <w:shd w:fill="EAF1F8" w:color="auto" w:val="clear"/>
            <w:tcMar>
              <w:top w:type="dxa" w:w="80"/>
              <w:left w:type="dxa" w:w="100"/>
              <w:bottom w:type="dxa" w:w="80"/>
              <w:right w:type="dxa" w:w="100"/>
            </w:tcMar>
          </w:tcPr>
          <w:p>
            <w:r>
              <w:rPr>
                <w:sz w:val="20"/>
                <w:szCs w:val="20"/>
              </w:rPr>
              <w:t xml:space="preserve">Multilateral</w:t>
            </w:r>
          </w:p>
        </w:tc>
        <w:tc>
          <w:tcPr>
            <w:tcW w:type="dxa" w:w="2200"/>
            <w:shd w:fill="EAF1F8" w:color="auto" w:val="clear"/>
            <w:tcMar>
              <w:top w:type="dxa" w:w="80"/>
              <w:left w:type="dxa" w:w="100"/>
              <w:bottom w:type="dxa" w:w="80"/>
              <w:right w:type="dxa" w:w="100"/>
            </w:tcMar>
          </w:tcPr>
          <w:p>
            <w:r>
              <w:rPr>
                <w:sz w:val="20"/>
                <w:szCs w:val="20"/>
              </w:rPr>
              <w:t xml:space="preserve">Depends on base index chosen</w:t>
            </w:r>
          </w:p>
        </w:tc>
        <w:tc>
          <w:tcPr>
            <w:tcW w:type="dxa" w:w="1800"/>
            <w:shd w:fill="EAF1F8" w:color="auto" w:val="clear"/>
            <w:tcMar>
              <w:top w:type="dxa" w:w="80"/>
              <w:left w:type="dxa" w:w="100"/>
              <w:bottom w:type="dxa" w:w="80"/>
              <w:right w:type="dxa" w:w="100"/>
            </w:tcMar>
          </w:tcPr>
          <w:p>
            <w:r>
              <w:rPr>
                <w:sz w:val="20"/>
                <w:szCs w:val="20"/>
              </w:rPr>
              <w:t xml:space="preserve">Strong</w:t>
            </w:r>
          </w:p>
        </w:tc>
        <w:tc>
          <w:tcPr>
            <w:tcW w:type="dxa" w:w="2600"/>
            <w:shd w:fill="EAF1F8" w:color="auto" w:val="clear"/>
            <w:tcMar>
              <w:top w:type="dxa" w:w="80"/>
              <w:left w:type="dxa" w:w="100"/>
              <w:bottom w:type="dxa" w:w="80"/>
              <w:right w:type="dxa" w:w="100"/>
            </w:tcMar>
          </w:tcPr>
          <w:p>
            <w:r>
              <w:rPr>
                <w:sz w:val="20"/>
                <w:szCs w:val="20"/>
              </w:rPr>
              <w:t xml:space="preserve">Revisable within rolling window; heavier computation</w:t>
            </w:r>
          </w:p>
        </w:tc>
      </w:tr>
    </w:tbl>
    <w:p>
      <w:pPr>
        <w:spacing w:after="200"/>
      </w:pPr>
    </w:p>
    <w:p>
      <w:pPr>
        <w:pStyle w:val="Heading1"/>
        <w:spacing w:after="160" w:before="360"/>
      </w:pPr>
      <w:r>
        <w:t xml:space="preserve">5. Recommended Method for This Project</w:t>
      </w:r>
    </w:p>
    <w:p>
      <w:pPr>
        <w:spacing w:after="100"/>
      </w:pPr>
      <w:r>
        <w:rPr>
          <w:b/>
          <w:bCs/>
        </w:rPr>
        <w:t xml:space="preserve">Recommendation: </w:t>
      </w:r>
      <w:r>
        <w:t xml:space="preserve">Jevons at the elementary aggregate level, combined with Laspeyres for upper-level (COICOP division to headline) aggregation, as the production default — with GEKS-Jevons layered in as a targeted addition for categories with high product turnover.</w:t>
      </w:r>
    </w:p>
    <w:p>
      <w:pPr>
        <w:spacing w:after="160" w:line="276"/>
      </w:pPr>
      <w:r>
        <w:t xml:space="preserve">We are considering Jevons + Laspeyres as the primary approach because:</w:t>
      </w:r>
    </w:p>
    <w:p>
      <w:pPr>
        <w:pStyle w:val="ListParagraph"/>
        <w:numPr>
          <w:ilvl w:val="0"/>
          <w:numId w:val="2"/>
        </w:numPr>
        <w:spacing w:after="80"/>
      </w:pPr>
      <w:r>
        <w:t xml:space="preserve">Data availability: it only requires base-period expenditure weights, which we can source once from official household expenditure data; it does not require current-period quantities, which we do not reliably have from scraped marketplace listings.</w:t>
      </w:r>
    </w:p>
    <w:p>
      <w:pPr>
        <w:pStyle w:val="ListParagraph"/>
        <w:numPr>
          <w:ilvl w:val="0"/>
          <w:numId w:val="2"/>
        </w:numPr>
        <w:spacing w:after="80"/>
      </w:pPr>
      <w:r>
        <w:t xml:space="preserve">Comparability with the official benchmark: Cambodia's National Institute of Statistics uses the Laspeyres formula for the official CPI, so using the same formula family keeps our Phase 9 nowcasting validation meaningful — any divergence will trace to coverage or basket differences, not a formula mismatch.</w:t>
      </w:r>
    </w:p>
    <w:p>
      <w:pPr>
        <w:pStyle w:val="ListParagraph"/>
        <w:numPr>
          <w:ilvl w:val="0"/>
          <w:numId w:val="2"/>
        </w:numPr>
        <w:spacing w:after="80"/>
      </w:pPr>
      <w:r>
        <w:t xml:space="preserve">Computational simplicity and stability: it is a single-pass calculation per period with no revisions — once a period is published under our is_final gate, it stays final, which fits our existing Gold-layer write strategy without additional engineering.</w:t>
      </w:r>
    </w:p>
    <w:p>
      <w:pPr>
        <w:pStyle w:val="ListParagraph"/>
        <w:numPr>
          <w:ilvl w:val="0"/>
          <w:numId w:val="2"/>
        </w:numPr>
        <w:spacing w:after="80"/>
      </w:pPr>
      <w:r>
        <w:t xml:space="preserve">Jevons is the ILO/IMF-recommended default for elementary aggregation when item-level weights are unavailable, which matches our situation exactly at the item level within each COICOP class.</w:t>
      </w:r>
    </w:p>
    <w:p>
      <w:pPr>
        <w:spacing w:after="160" w:line="276"/>
      </w:pPr>
      <w:r>
        <w:t xml:space="preserve">Where this default is insufficient — specifically for high-churn categories such as general Khmer24 marketplace goods, where matched-item rates drop as listings turn over — we will layer in GEKS built on a Jevons bilateral base (GEKS-Jevons) for those categories only, since it solves chain drift without requiring quantity data we don't have. Fisher- or Törnqvist-based GEKS remains a documented future direction, contingent on developing a reliable current-period quantity proxy (e.g., estimated sales velocity from listing/relisting behavior), which our current scraping architecture does not yet capture.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2026-08-30T17:11:02.037Z</dcterms:created>
  <dcterms:modified xsi:type="dcterms:W3CDTF">2026-08-30T17:11:02.051Z</dcterms:modified>
</cp:coreProperties>
</file>

<file path=docProps/custom.xml><?xml version="1.0" encoding="utf-8"?>
<Properties xmlns="http://schemas.openxmlformats.org/officeDocument/2006/custom-properties" xmlns:vt="http://schemas.openxmlformats.org/officeDocument/2006/docPropsVTypes"/>
</file>