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B365D"/>
          <w:sz w:val="42"/>
        </w:rPr>
        <w:t>High-Frequency Inflation Nowcasting:</w:t>
        <w:br/>
        <w:t>Econometric Foundations, Mathematical Formulations, and Implementation Guide</w:t>
      </w:r>
    </w:p>
    <w:p>
      <w:pPr>
        <w:spacing w:after="280"/>
      </w:pPr>
      <w:r>
        <w:rPr>
          <w:rFonts w:ascii="Calibri" w:hAnsi="Calibri"/>
          <w:i/>
          <w:color w:val="5C768D"/>
          <w:sz w:val="23"/>
        </w:rPr>
        <w:t>Production Methodology for the Automated Cambodia Consumer Price Index (CPI) Platform</w:t>
        <w:br/>
        <w:t>Version 2.4 — Post-Audit Verified</w:t>
      </w:r>
    </w:p>
    <w:p>
      <w:pPr>
        <w:pStyle w:val="Heading2"/>
        <w:spacing w:before="260" w:after="80"/>
      </w:pPr>
      <w:r>
        <w:rPr>
          <w:rFonts w:ascii="Calibri" w:hAnsi="Calibri"/>
          <w:b/>
          <w:color w:val="2B547E"/>
          <w:sz w:val="25"/>
        </w:rPr>
        <w:t>Executive Summary</w:t>
      </w:r>
    </w:p>
    <w:p>
      <w:pPr>
        <w:spacing w:before="0" w:after="100" w:line="276" w:lineRule="auto"/>
      </w:pPr>
      <w:r>
        <w:rPr>
          <w:rFonts w:ascii="Calibri" w:hAnsi="Calibri"/>
          <w:color w:val="282828"/>
          <w:sz w:val="20"/>
        </w:rPr>
        <w:t xml:space="preserve">Official Consumer Price Index (CPI) releases published by national statistical authorities—such as the National Institute of Statistics (NIS) of the Ministry of Planning in Cambodia—are released with an inherent publication lag of </w:t>
      </w:r>
      <w:r>
        <w:rPr>
          <w:rFonts w:ascii="Calibri" w:hAnsi="Calibri"/>
          <w:b/>
          <w:color w:val="282828"/>
          <w:sz w:val="20"/>
        </w:rPr>
        <w:t>20 to 30 days</w:t>
      </w:r>
      <w:r>
        <w:rPr>
          <w:rFonts w:ascii="Calibri" w:hAnsi="Calibri"/>
          <w:color w:val="282828"/>
          <w:sz w:val="20"/>
        </w:rPr>
        <w:t xml:space="preserve"> following the end of each reference month. In periods of macroeconomic volatility, supply chain disruptions, currency fluctuations, or agricultural commodity shocks, monetary authorities and market participants operate under a significant information deficit.</w:t>
      </w:r>
    </w:p>
    <w:p>
      <w:pPr>
        <w:spacing w:before="0" w:after="100" w:line="276" w:lineRule="auto"/>
      </w:pPr>
      <w:r>
        <w:rPr>
          <w:rFonts w:ascii="Calibri" w:hAnsi="Calibri"/>
          <w:color w:val="282828"/>
          <w:sz w:val="20"/>
        </w:rPr>
        <w:t xml:space="preserve">The </w:t>
      </w:r>
      <w:r>
        <w:rPr>
          <w:rFonts w:ascii="Calibri" w:hAnsi="Calibri"/>
          <w:b/>
          <w:color w:val="282828"/>
          <w:sz w:val="20"/>
        </w:rPr>
        <w:t>Cambodia Daily CPI Pipeline</w:t>
      </w:r>
      <w:r>
        <w:rPr>
          <w:rFonts w:ascii="Calibri" w:hAnsi="Calibri"/>
          <w:color w:val="282828"/>
          <w:sz w:val="20"/>
        </w:rPr>
        <w:t xml:space="preserve"> resolves this structural delay by implementing a </w:t>
      </w:r>
      <w:r>
        <w:rPr>
          <w:rFonts w:ascii="Calibri" w:hAnsi="Calibri"/>
          <w:b/>
          <w:color w:val="282828"/>
          <w:sz w:val="20"/>
        </w:rPr>
        <w:t>High-Frequency Macroeconomic Nowcasting Engine</w:t>
      </w:r>
      <w:r>
        <w:rPr>
          <w:rFonts w:ascii="Calibri" w:hAnsi="Calibri"/>
          <w:color w:val="282828"/>
          <w:sz w:val="20"/>
        </w:rPr>
        <w:t xml:space="preserve"> ([</w:t>
      </w:r>
      <w:r>
        <w:rPr>
          <w:rFonts w:ascii="Consolas" w:hAnsi="Consolas"/>
          <w:color w:val="2B547E"/>
          <w:sz w:val="18"/>
        </w:rPr>
        <w:t>ml/nowcaster.py</w:t>
      </w:r>
      <w:r>
        <w:rPr>
          <w:rFonts w:ascii="Calibri" w:hAnsi="Calibri"/>
          <w:color w:val="282828"/>
          <w:sz w:val="20"/>
        </w:rPr>
        <w:t>](file:///D:/CPI%20PIPELINE/ml/nowcaster.py)). By ingesting daily web-scraped retail price microdata, official foreign exchange rates from the Ministry of Economy and Finance (MEF), and historical monthly NIS series, the pipeline generates real-time, daily updating predictions of the current month's headline and core inflation rates—complete with narrowing 95% Confidence Interval fan bands.</w:t>
      </w:r>
    </w:p>
    <w:p>
      <w:pPr>
        <w:pStyle w:val="Heading2"/>
        <w:spacing w:before="260" w:after="80"/>
      </w:pPr>
      <w:r>
        <w:rPr>
          <w:rFonts w:ascii="Calibri" w:hAnsi="Calibri"/>
          <w:b/>
          <w:color w:val="2B547E"/>
          <w:sz w:val="25"/>
        </w:rPr>
        <w:t>1. Methodological Foundation</w:t>
      </w:r>
    </w:p>
    <w:p>
      <w:pPr>
        <w:pStyle w:val="Heading3"/>
        <w:spacing w:before="180" w:after="40"/>
      </w:pPr>
      <w:r>
        <w:rPr>
          <w:rFonts w:ascii="Calibri" w:hAnsi="Calibri"/>
          <w:b/>
          <w:color w:val="282828"/>
          <w:sz w:val="22"/>
        </w:rPr>
        <w:t>1.1 The Scale Invariance Principle (Resolving Base Year Divergence)</w:t>
      </w:r>
    </w:p>
    <w:p>
      <w:pPr>
        <w:spacing w:before="0" w:after="100" w:line="276" w:lineRule="auto"/>
      </w:pPr>
      <w:r>
        <w:rPr>
          <w:rFonts w:ascii="Calibri" w:hAnsi="Calibri"/>
          <w:color w:val="282828"/>
          <w:sz w:val="20"/>
        </w:rPr>
        <w:t>A frequent question in applied price index econometrics is:</w:t>
      </w:r>
    </w:p>
    <w:tbl>
      <w:tblPr>
        <w:tblW w:type="auto" w:w="0"/>
        <w:jc w:val="center"/>
        <w:tblLayout w:type="fixed"/>
        <w:tblLook w:firstColumn="1" w:firstRow="1" w:lastColumn="0" w:lastRow="0" w:noHBand="0" w:noVBand="1" w:val="04A0"/>
      </w:tblPr>
      <w:tblGrid>
        <w:gridCol w:w="9360"/>
      </w:tblGrid>
      <w:tr>
        <w:tc>
          <w:tcPr>
            <w:tcW w:type="dxa" w:w="9360"/>
            <w:shd w:fill="EEF3F8"/>
            <w:tcMar>
              <w:top w:w="120" w:type="dxa"/>
              <w:bottom w:w="120" w:type="dxa"/>
              <w:left w:w="160" w:type="dxa"/>
              <w:right w:w="160" w:type="dxa"/>
            </w:tcMar>
            <w:tcBorders>
              <w:left w:val="single" w:sz="20" w:space="0" w:color="1B365D"/>
              <w:top w:val="none"/>
              <w:right w:val="none"/>
              <w:bottom w:val="none"/>
            </w:tcBorders>
          </w:tcPr>
          <w:p>
            <w:pPr>
              <w:spacing w:before="0" w:after="40"/>
            </w:pPr>
            <w:r>
              <w:rPr>
                <w:rFonts w:ascii="Calibri" w:hAnsi="Calibri"/>
                <w:b/>
                <w:color w:val="1B365D"/>
                <w:sz w:val="20"/>
              </w:rPr>
              <w:t>📌 KEY TAKEAWAY / PRINCIPLE</w:t>
              <w:br/>
            </w:r>
            <w:r>
              <w:rPr>
                <w:rFonts w:ascii="Calibri" w:hAnsi="Calibri"/>
                <w:color w:val="282828"/>
                <w:sz w:val="19"/>
              </w:rPr>
              <w:t>*"How can a recently established web-scraped pipeline (where the base period is e.g. August 2026 = 100) predict an official national index that uses a historical base period (e.g., NIS Oct–Dec 2006 = 100 where index levels exceed 190.0)?"*</w:t>
            </w:r>
          </w:p>
        </w:tc>
      </w:tr>
    </w:tbl>
    <w:p>
      <w:pPr>
        <w:spacing w:after="60"/>
      </w:pPr>
    </w:p>
    <w:p>
      <w:pPr>
        <w:spacing w:before="0" w:after="100" w:line="276" w:lineRule="auto"/>
      </w:pPr>
      <w:r>
        <w:rPr>
          <w:rFonts w:ascii="Calibri" w:hAnsi="Calibri"/>
          <w:color w:val="282828"/>
          <w:sz w:val="20"/>
        </w:rPr>
        <w:t xml:space="preserve">The econometric foundation rests on the </w:t>
      </w:r>
      <w:r>
        <w:rPr>
          <w:rFonts w:ascii="Calibri" w:hAnsi="Calibri"/>
          <w:b/>
          <w:color w:val="282828"/>
          <w:sz w:val="20"/>
        </w:rPr>
        <w:t>Axiom of Dimensional Invariance / Scale Homogeneity</w:t>
      </w:r>
      <w:r>
        <w:rPr>
          <w:rFonts w:ascii="Calibri" w:hAnsi="Calibri"/>
          <w:color w:val="282828"/>
          <w:sz w:val="20"/>
        </w:rPr>
        <w:t xml:space="preserve"> (IMF CPI Manual 2020, §10.24; Cavallo &amp; Rigobon 2016).</w:t>
      </w:r>
    </w:p>
    <w:p>
      <w:pPr>
        <w:spacing w:before="0" w:after="100" w:line="276" w:lineRule="auto"/>
      </w:pPr>
      <w:r>
        <w:rPr>
          <w:rFonts w:ascii="Calibri" w:hAnsi="Calibri"/>
          <w:color w:val="282828"/>
          <w:sz w:val="20"/>
        </w:rPr>
        <w:t xml:space="preserve">Consumer Price Index levels </w:t>
      </w:r>
      <w:r>
        <w:rPr>
          <w:rFonts w:ascii="Cambria Math" w:hAnsi="Cambria Math"/>
          <w:i/>
          <w:color w:val="1B365D"/>
          <w:sz w:val="20"/>
        </w:rPr>
        <w:t>P_t</w:t>
      </w:r>
      <w:r>
        <w:rPr>
          <w:rFonts w:ascii="Calibri" w:hAnsi="Calibri"/>
          <w:color w:val="282828"/>
          <w:sz w:val="20"/>
        </w:rPr>
        <w:t xml:space="preserve"> are non-stationary, integrated of order one (</w:t>
      </w:r>
      <w:r>
        <w:rPr>
          <w:rFonts w:ascii="Cambria Math" w:hAnsi="Cambria Math"/>
          <w:i/>
          <w:color w:val="1B365D"/>
          <w:sz w:val="20"/>
        </w:rPr>
        <w:t>I(1)</w:t>
      </w:r>
      <w:r>
        <w:rPr>
          <w:rFonts w:ascii="Calibri" w:hAnsi="Calibri"/>
          <w:color w:val="282828"/>
          <w:sz w:val="20"/>
        </w:rPr>
        <w:t xml:space="preserve">). Econometric and statistical models </w:t>
      </w:r>
      <w:r>
        <w:rPr>
          <w:rFonts w:ascii="Calibri" w:hAnsi="Calibri"/>
          <w:b/>
          <w:color w:val="282828"/>
          <w:sz w:val="20"/>
        </w:rPr>
        <w:t>never</w:t>
      </w:r>
      <w:r>
        <w:rPr>
          <w:rFonts w:ascii="Calibri" w:hAnsi="Calibri"/>
          <w:color w:val="282828"/>
          <w:sz w:val="20"/>
        </w:rPr>
        <w:t xml:space="preserve"> forecast raw index levels directly across disparate base years. Instead, they model the stationary, scale-invariant monthly rate of price change (</w:t>
      </w:r>
      <w:r>
        <w:rPr>
          <w:rFonts w:ascii="Cambria Math" w:hAnsi="Cambria Math"/>
          <w:i/>
          <w:color w:val="1B365D"/>
          <w:sz w:val="20"/>
        </w:rPr>
        <w:t>π_t</w:t>
      </w:r>
      <w:r>
        <w:rPr>
          <w:rFonts w:ascii="Calibri" w:hAnsi="Calibri"/>
          <w:color w:val="282828"/>
          <w:sz w:val="20"/>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 = (P_t - P_t-1))/(P_t-1)) × 100 ≈ Δ \ln P_t × 100</w:t>
            </w:r>
          </w:p>
        </w:tc>
      </w:tr>
    </w:tbl>
    <w:p>
      <w:pPr>
        <w:spacing w:after="60"/>
      </w:pPr>
    </w:p>
    <w:p>
      <w:pPr>
        <w:spacing w:before="0" w:after="100" w:line="276" w:lineRule="auto"/>
      </w:pPr>
      <w:r>
        <w:rPr>
          <w:rFonts w:ascii="Calibri" w:hAnsi="Calibri"/>
          <w:color w:val="282828"/>
          <w:sz w:val="20"/>
        </w:rPr>
        <w:t>#### Proof of Scale Invariance:</w:t>
      </w:r>
    </w:p>
    <w:p>
      <w:pPr>
        <w:spacing w:before="0" w:after="100" w:line="276" w:lineRule="auto"/>
      </w:pPr>
      <w:r>
        <w:rPr>
          <w:rFonts w:ascii="Calibri" w:hAnsi="Calibri"/>
          <w:color w:val="282828"/>
          <w:sz w:val="20"/>
        </w:rPr>
        <w:t xml:space="preserve">Let </w:t>
      </w:r>
      <w:r>
        <w:rPr>
          <w:rFonts w:ascii="Cambria Math" w:hAnsi="Cambria Math"/>
          <w:i/>
          <w:color w:val="1B365D"/>
          <w:sz w:val="20"/>
        </w:rPr>
        <w:t>P_t^scraped))</w:t>
      </w:r>
      <w:r>
        <w:rPr>
          <w:rFonts w:ascii="Calibri" w:hAnsi="Calibri"/>
          <w:color w:val="282828"/>
          <w:sz w:val="20"/>
        </w:rPr>
        <w:t xml:space="preserve"> be the price index computed under the 2026 scraped base (</w:t>
      </w:r>
      <w:r>
        <w:rPr>
          <w:rFonts w:ascii="Cambria Math" w:hAnsi="Cambria Math"/>
          <w:i/>
          <w:color w:val="1B365D"/>
          <w:sz w:val="20"/>
        </w:rPr>
        <w:t>P_0 = 100</w:t>
      </w:r>
      <w:r>
        <w:rPr>
          <w:rFonts w:ascii="Calibri" w:hAnsi="Calibri"/>
          <w:color w:val="282828"/>
          <w:sz w:val="20"/>
        </w:rPr>
        <w:t>).</w:t>
      </w:r>
    </w:p>
    <w:p>
      <w:pPr>
        <w:spacing w:before="0" w:after="100" w:line="276" w:lineRule="auto"/>
      </w:pPr>
      <w:r>
        <w:rPr>
          <w:rFonts w:ascii="Calibri" w:hAnsi="Calibri"/>
          <w:color w:val="282828"/>
          <w:sz w:val="20"/>
        </w:rPr>
        <w:t xml:space="preserve">Let </w:t>
      </w:r>
      <w:r>
        <w:rPr>
          <w:rFonts w:ascii="Cambria Math" w:hAnsi="Cambria Math"/>
          <w:i/>
          <w:color w:val="1B365D"/>
          <w:sz w:val="20"/>
        </w:rPr>
        <w:t>P_t^NIS))</w:t>
      </w:r>
      <w:r>
        <w:rPr>
          <w:rFonts w:ascii="Calibri" w:hAnsi="Calibri"/>
          <w:color w:val="282828"/>
          <w:sz w:val="20"/>
        </w:rPr>
        <w:t xml:space="preserve"> be the official price index under the 2006 base (</w:t>
      </w:r>
      <w:r>
        <w:rPr>
          <w:rFonts w:ascii="Cambria Math" w:hAnsi="Cambria Math"/>
          <w:i/>
          <w:color w:val="1B365D"/>
          <w:sz w:val="20"/>
        </w:rPr>
        <w:t>P_2006) = 100</w:t>
      </w:r>
      <w:r>
        <w:rPr>
          <w:rFonts w:ascii="Calibri" w:hAnsi="Calibri"/>
          <w:color w:val="282828"/>
          <w:sz w:val="20"/>
        </w:rPr>
        <w:t>).</w:t>
      </w:r>
    </w:p>
    <w:p>
      <w:pPr>
        <w:spacing w:before="0" w:after="100" w:line="276" w:lineRule="auto"/>
      </w:pPr>
      <w:r>
        <w:rPr>
          <w:rFonts w:ascii="Calibri" w:hAnsi="Calibri"/>
          <w:color w:val="282828"/>
          <w:sz w:val="20"/>
        </w:rPr>
        <w:t xml:space="preserve">Because both series measure the same underlying basket of goods and services, the price levels differ by an arbitrary positive scaling scalar </w:t>
      </w:r>
      <w:r>
        <w:rPr>
          <w:rFonts w:ascii="Cambria Math" w:hAnsi="Cambria Math"/>
          <w:i/>
          <w:color w:val="1B365D"/>
          <w:sz w:val="20"/>
        </w:rPr>
        <w:t>λ = (P_2006))/(P_2026))</w:t>
      </w:r>
      <w:r>
        <w:rPr>
          <w:rFonts w:ascii="Calibri" w:hAnsi="Calibri"/>
          <w:color w:val="282828"/>
          <w:sz w:val="20"/>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P_t^NIS)) = λ · P_t^scraped))</w:t>
            </w:r>
          </w:p>
        </w:tc>
      </w:tr>
    </w:tbl>
    <w:p>
      <w:pPr>
        <w:spacing w:after="60"/>
      </w:pPr>
    </w:p>
    <w:p>
      <w:pPr>
        <w:spacing w:before="0" w:after="100" w:line="276" w:lineRule="auto"/>
      </w:pPr>
      <w:r>
        <w:rPr>
          <w:rFonts w:ascii="Calibri" w:hAnsi="Calibri"/>
          <w:color w:val="282828"/>
          <w:sz w:val="20"/>
        </w:rPr>
        <w:t xml:space="preserve">When computing the percentage change (inflation rate </w:t>
      </w:r>
      <w:r>
        <w:rPr>
          <w:rFonts w:ascii="Cambria Math" w:hAnsi="Cambria Math"/>
          <w:i/>
          <w:color w:val="1B365D"/>
          <w:sz w:val="20"/>
        </w:rPr>
        <w:t>π_t</w:t>
      </w:r>
      <w:r>
        <w:rPr>
          <w:rFonts w:ascii="Calibri" w:hAnsi="Calibri"/>
          <w:color w:val="282828"/>
          <w:sz w:val="20"/>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π_t^NIS)) = (P_t^NIS)) - P_t-1)^NIS)))/(P_t-1)^NIS))) = (λ P_t^scraped)) - λ P_t-1)^scraped)))/(λ P_t-1)^scraped))) = (P_t^scraped)) - P_t-1)^scraped)))/(P_t-1)^scraped))) = π_t^scraped))</w:t>
            </w:r>
          </w:p>
        </w:tc>
      </w:tr>
    </w:tbl>
    <w:p>
      <w:pPr>
        <w:spacing w:after="60"/>
      </w:pPr>
    </w:p>
    <w:p>
      <w:pPr>
        <w:spacing w:before="0" w:after="100" w:line="276" w:lineRule="auto"/>
      </w:pPr>
      <w:r>
        <w:rPr>
          <w:rFonts w:ascii="Calibri" w:hAnsi="Calibri"/>
          <w:color w:val="282828"/>
          <w:sz w:val="20"/>
        </w:rPr>
        <w:t xml:space="preserve">Because </w:t>
      </w:r>
      <w:r>
        <w:rPr>
          <w:rFonts w:ascii="Cambria Math" w:hAnsi="Cambria Math"/>
          <w:i/>
          <w:color w:val="1B365D"/>
          <w:sz w:val="20"/>
        </w:rPr>
        <w:t>λ</w:t>
      </w:r>
      <w:r>
        <w:rPr>
          <w:rFonts w:ascii="Calibri" w:hAnsi="Calibri"/>
          <w:color w:val="282828"/>
          <w:sz w:val="20"/>
        </w:rPr>
        <w:t xml:space="preserve"> cancels out identically, </w:t>
      </w:r>
      <w:r>
        <w:rPr>
          <w:rFonts w:ascii="Calibri" w:hAnsi="Calibri"/>
          <w:b/>
          <w:color w:val="282828"/>
          <w:sz w:val="20"/>
        </w:rPr>
        <w:t>the rate of inflation is 100% invariant to the arbitrary choice of base period</w:t>
      </w:r>
      <w:r>
        <w:rPr>
          <w:rFonts w:ascii="Calibri" w:hAnsi="Calibri"/>
          <w:color w:val="282828"/>
          <w:sz w:val="20"/>
        </w:rPr>
        <w:t>. The high-frequency momentum signal extracted from daily scraped web prices directly informs the official month-over-month inflation trajectory.</w:t>
      </w:r>
    </w:p>
    <w:p>
      <w:pPr>
        <w:pStyle w:val="Heading3"/>
        <w:spacing w:before="180" w:after="40"/>
      </w:pPr>
      <w:r>
        <w:rPr>
          <w:rFonts w:ascii="Calibri" w:hAnsi="Calibri"/>
          <w:b/>
          <w:color w:val="282828"/>
          <w:sz w:val="22"/>
        </w:rPr>
        <w:t>1.2 Model A: Autoregressive Distributed Lag (ADL) Formulation</w:t>
      </w:r>
    </w:p>
    <w:p>
      <w:pPr>
        <w:spacing w:before="0" w:after="100" w:line="276" w:lineRule="auto"/>
      </w:pPr>
      <w:r>
        <w:rPr>
          <w:rFonts w:ascii="Calibri" w:hAnsi="Calibri"/>
          <w:color w:val="282828"/>
          <w:sz w:val="20"/>
        </w:rPr>
        <w:t xml:space="preserve">Following the empirical specification of </w:t>
      </w:r>
      <w:r>
        <w:rPr>
          <w:rFonts w:ascii="Calibri" w:hAnsi="Calibri"/>
          <w:b/>
          <w:color w:val="282828"/>
          <w:sz w:val="20"/>
        </w:rPr>
        <w:t>Macias, Stelmasiak, &amp; Szafranek (2023)</w:t>
      </w:r>
      <w:r>
        <w:rPr>
          <w:rFonts w:ascii="Calibri" w:hAnsi="Calibri"/>
          <w:color w:val="282828"/>
          <w:sz w:val="20"/>
        </w:rPr>
        <w:t xml:space="preserve"> developed at the National Bank of Poland, Model A combines low-frequency official inflation persistence with high-frequency intra-month momentum, dedicated sub-driver signals (Food &amp; Transport), and deterministic seasonal dummies: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^π)_t)^ADL)) = \beta · π_t-1) + \gamma_1 · Δ x_t^scraped)) + \gamma_2 · x_Food)) + \gamma_3 · x_Transport)) + \delta · S_t</w:t>
            </w:r>
          </w:p>
        </w:tc>
      </w:tr>
    </w:tbl>
    <w:p>
      <w:pPr>
        <w:spacing w:after="60"/>
      </w:pPr>
    </w:p>
    <w:p>
      <w:pPr>
        <w:spacing w:before="0" w:after="100" w:line="276" w:lineRule="auto"/>
      </w:pPr>
      <w:r>
        <w:rPr>
          <w:rFonts w:ascii="Calibri" w:hAnsi="Calibri"/>
          <w:color w:val="282828"/>
          <w:sz w:val="20"/>
        </w:rPr>
        <w:t>#### Components &amp; Parameters:</w:t>
      </w:r>
    </w:p>
    <w:p>
      <w:pPr>
        <w:spacing w:before="0" w:after="60" w:line="276" w:lineRule="auto"/>
        <w:ind w:left="360"/>
      </w:pPr>
      <w:r>
        <w:rPr>
          <w:rFonts w:ascii="Calibri" w:hAnsi="Calibri"/>
          <w:b/>
          <w:color w:val="1B365D"/>
          <w:sz w:val="20"/>
        </w:rPr>
        <w:t xml:space="preserve">1. </w:t>
      </w:r>
      <w:r>
        <w:rPr>
          <w:rFonts w:ascii="Calibri" w:hAnsi="Calibri"/>
          <w:b/>
          <w:color w:val="282828"/>
          <w:sz w:val="20"/>
        </w:rPr>
        <w:t>Autoregressive Lag ($\beta = 0.20$):</w:t>
      </w:r>
    </w:p>
    <w:p>
      <w:pPr>
        <w:spacing w:before="0" w:after="100" w:line="276" w:lineRule="auto"/>
      </w:pPr>
      <w:r>
        <w:rPr>
          <w:rFonts w:ascii="Cambria Math" w:hAnsi="Cambria Math"/>
          <w:i/>
          <w:color w:val="1B365D"/>
          <w:sz w:val="20"/>
        </w:rPr>
        <w:t>π_t-1)</w:t>
      </w:r>
      <w:r>
        <w:rPr>
          <w:rFonts w:ascii="Calibri" w:hAnsi="Calibri"/>
          <w:color w:val="282828"/>
          <w:sz w:val="20"/>
        </w:rPr>
        <w:t xml:space="preserve"> represents the official month-over-month inflation rate from the prior month. Macroeconomic inflation exhibits autocorrelation due to price stickiness and staggered wage/contract resets.</w:t>
      </w:r>
    </w:p>
    <w:p>
      <w:pPr>
        <w:spacing w:before="0" w:after="60" w:line="276" w:lineRule="auto"/>
        <w:ind w:left="360"/>
      </w:pPr>
      <w:r>
        <w:rPr>
          <w:rFonts w:ascii="Calibri" w:hAnsi="Calibri"/>
          <w:b/>
          <w:color w:val="1B365D"/>
          <w:sz w:val="20"/>
        </w:rPr>
        <w:t xml:space="preserve">2. </w:t>
      </w:r>
      <w:r>
        <w:rPr>
          <w:rFonts w:ascii="Calibri" w:hAnsi="Calibri"/>
          <w:b/>
          <w:color w:val="282828"/>
          <w:sz w:val="20"/>
        </w:rPr>
        <w:t>High-Frequency Scraped Momentum ($\gamma_1 = 0.40$):</w:t>
      </w:r>
    </w:p>
    <w:p>
      <w:pPr>
        <w:spacing w:before="0" w:after="100" w:line="276" w:lineRule="auto"/>
      </w:pPr>
      <w:r>
        <w:rPr>
          <w:rFonts w:ascii="Cambria Math" w:hAnsi="Cambria Math"/>
          <w:i/>
          <w:color w:val="1B365D"/>
          <w:sz w:val="20"/>
        </w:rPr>
        <w:t>Δ x_t^scraped))</w:t>
      </w:r>
      <w:r>
        <w:rPr>
          <w:rFonts w:ascii="Calibri" w:hAnsi="Calibri"/>
          <w:color w:val="282828"/>
          <w:sz w:val="20"/>
        </w:rPr>
        <w:t xml:space="preserve"> is the headline intra-month price movement signal derived from daily scraping:</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Δ x_t^scraped)) = (\barP)_t)^realized)) - P_t-1))/(P_t-1)) × 100</w:t>
            </w:r>
          </w:p>
        </w:tc>
      </w:tr>
    </w:tbl>
    <w:p>
      <w:pPr>
        <w:spacing w:after="60"/>
      </w:pPr>
    </w:p>
    <w:p>
      <w:pPr>
        <w:spacing w:before="0" w:after="100" w:line="276" w:lineRule="auto"/>
      </w:pPr>
      <w:r>
        <w:rPr>
          <w:rFonts w:ascii="Calibri" w:hAnsi="Calibri"/>
          <w:color w:val="282828"/>
          <w:sz w:val="20"/>
        </w:rPr>
        <w:t xml:space="preserve">where </w:t>
      </w:r>
      <w:r>
        <w:rPr>
          <w:rFonts w:ascii="Cambria Math" w:hAnsi="Cambria Math"/>
          <w:i/>
          <w:color w:val="1B365D"/>
          <w:sz w:val="20"/>
        </w:rPr>
        <w:t>\barP)_t)^realized))</w:t>
      </w:r>
      <w:r>
        <w:rPr>
          <w:rFonts w:ascii="Calibri" w:hAnsi="Calibri"/>
          <w:color w:val="282828"/>
          <w:sz w:val="20"/>
        </w:rPr>
        <w:t xml:space="preserve"> is the weighted average daily CPI observed in the current month up to target date </w:t>
      </w:r>
      <w:r>
        <w:rPr>
          <w:rFonts w:ascii="Cambria Math" w:hAnsi="Cambria Math"/>
          <w:i/>
          <w:color w:val="1B365D"/>
          <w:sz w:val="20"/>
        </w:rPr>
        <w:t>t</w:t>
      </w:r>
      <w:r>
        <w:rPr>
          <w:rFonts w:ascii="Calibri" w:hAnsi="Calibri"/>
          <w:color w:val="282828"/>
          <w:sz w:val="20"/>
        </w:rPr>
        <w:t>.</w:t>
      </w:r>
    </w:p>
    <w:p>
      <w:pPr>
        <w:spacing w:before="0" w:after="60" w:line="276" w:lineRule="auto"/>
        <w:ind w:left="360"/>
      </w:pPr>
      <w:r>
        <w:rPr>
          <w:rFonts w:ascii="Calibri" w:hAnsi="Calibri"/>
          <w:b/>
          <w:color w:val="1B365D"/>
          <w:sz w:val="20"/>
        </w:rPr>
        <w:t xml:space="preserve">3. </w:t>
      </w:r>
      <w:r>
        <w:rPr>
          <w:rFonts w:ascii="Calibri" w:hAnsi="Calibri"/>
          <w:b/>
          <w:color w:val="282828"/>
          <w:sz w:val="20"/>
        </w:rPr>
        <w:t>Dedicated Sub-Basket Drivers ($\gamma_2 = 0.25, \gamma_3 = 0.10$):</w:t>
      </w:r>
    </w:p>
    <w:p>
      <w:pPr>
        <w:spacing w:before="0" w:after="100" w:line="276" w:lineRule="auto"/>
      </w:pPr>
      <w:r>
        <w:rPr>
          <w:rFonts w:ascii="Calibri" w:hAnsi="Calibri"/>
          <w:color w:val="282828"/>
          <w:sz w:val="20"/>
        </w:rPr>
        <w:t xml:space="preserve">Food (Division 01: 44.775%) and Transport (Division 07: 12.228%) represent </w:t>
      </w:r>
      <w:r>
        <w:rPr>
          <w:rFonts w:ascii="Calibri" w:hAnsi="Calibri"/>
          <w:b/>
          <w:color w:val="282828"/>
          <w:sz w:val="20"/>
        </w:rPr>
        <w:t>&gt;57%</w:t>
      </w:r>
      <w:r>
        <w:rPr>
          <w:rFonts w:ascii="Calibri" w:hAnsi="Calibri"/>
          <w:color w:val="282828"/>
          <w:sz w:val="20"/>
        </w:rPr>
        <w:t xml:space="preserve"> of Cambodia's total CPI basket. Including their momentum signals directly captures the dominant inflation shocks.</w:t>
      </w:r>
    </w:p>
    <w:p>
      <w:pPr>
        <w:spacing w:before="0" w:after="60" w:line="276" w:lineRule="auto"/>
        <w:ind w:left="360"/>
      </w:pPr>
      <w:r>
        <w:rPr>
          <w:rFonts w:ascii="Calibri" w:hAnsi="Calibri"/>
          <w:b/>
          <w:color w:val="1B365D"/>
          <w:sz w:val="20"/>
        </w:rPr>
        <w:t xml:space="preserve">4. </w:t>
      </w:r>
      <w:r>
        <w:rPr>
          <w:rFonts w:ascii="Calibri" w:hAnsi="Calibri"/>
          <w:b/>
          <w:color w:val="282828"/>
          <w:sz w:val="20"/>
        </w:rPr>
        <w:t>Seasonal Calendar Drift ($\delta = 0.05$):</w:t>
      </w:r>
    </w:p>
    <w:p>
      <w:pPr>
        <w:spacing w:before="0" w:after="100" w:line="276" w:lineRule="auto"/>
      </w:pPr>
      <w:r>
        <w:rPr>
          <w:rFonts w:ascii="Cambria Math" w:hAnsi="Cambria Math"/>
          <w:i/>
          <w:color w:val="1B365D"/>
          <w:sz w:val="20"/>
        </w:rPr>
        <w:t>S_t</w:t>
      </w:r>
      <w:r>
        <w:rPr>
          <w:rFonts w:ascii="Calibri" w:hAnsi="Calibri"/>
          <w:color w:val="282828"/>
          <w:sz w:val="20"/>
        </w:rPr>
        <w:t xml:space="preserve"> is a seasonal adjustment dummy variable: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S_t = \begincases) +0.15 &amp; if ) month)(t) ∈ \4, 9, 10, 11\) \quad (Khmer New Year, Pchum Ben, Water Festival)) \\ -0.05 &amp; otherwise) \endcases)</w:t>
            </w:r>
          </w:p>
        </w:tc>
      </w:tr>
    </w:tbl>
    <w:p>
      <w:pPr>
        <w:spacing w:after="60"/>
      </w:pPr>
    </w:p>
    <w:p>
      <w:pPr>
        <w:pStyle w:val="Heading3"/>
        <w:spacing w:before="180" w:after="40"/>
      </w:pPr>
      <w:r>
        <w:rPr>
          <w:rFonts w:ascii="Calibri" w:hAnsi="Calibri"/>
          <w:b/>
          <w:color w:val="282828"/>
          <w:sz w:val="22"/>
        </w:rPr>
        <w:t>1.3 Model B: Non-Linear Gradient Boosted Decision Tree (GBRT) Formulation</w:t>
      </w:r>
    </w:p>
    <w:p>
      <w:pPr>
        <w:spacing w:before="0" w:after="100" w:line="276" w:lineRule="auto"/>
      </w:pPr>
      <w:r>
        <w:rPr>
          <w:rFonts w:ascii="Calibri" w:hAnsi="Calibri"/>
          <w:color w:val="282828"/>
          <w:sz w:val="20"/>
        </w:rPr>
        <w:t xml:space="preserve">Following </w:t>
      </w:r>
      <w:r>
        <w:rPr>
          <w:rFonts w:ascii="Calibri" w:hAnsi="Calibri"/>
          <w:b/>
          <w:color w:val="282828"/>
          <w:sz w:val="20"/>
        </w:rPr>
        <w:t>Medeiros, Vasconcelos, Veiga, &amp; Zilberman (2021)</w:t>
      </w:r>
      <w:r>
        <w:rPr>
          <w:rFonts w:ascii="Calibri" w:hAnsi="Calibri"/>
          <w:color w:val="282828"/>
          <w:sz w:val="20"/>
        </w:rPr>
        <w:t>, consumer price dynamics—especially in emerging economies—exhibit pronounced non-linearities:</w:t>
      </w:r>
    </w:p>
    <w:p>
      <w:pPr>
        <w:pStyle w:val="ListBullet"/>
        <w:spacing w:before="0" w:after="60" w:line="276" w:lineRule="auto"/>
      </w:pPr>
      <w:r>
        <w:rPr>
          <w:rFonts w:ascii="Calibri" w:hAnsi="Calibri"/>
          <w:color w:val="282828"/>
          <w:sz w:val="20"/>
        </w:rPr>
        <w:t>Asymmetric pass-through of exchange rate depreciations versus appreciations (prices rise when currency depreciates, but rarely decline symmetrically upon appreciation).</w:t>
      </w:r>
    </w:p>
    <w:p>
      <w:pPr>
        <w:pStyle w:val="ListBullet"/>
        <w:spacing w:before="0" w:after="60" w:line="276" w:lineRule="auto"/>
      </w:pPr>
      <w:r>
        <w:rPr>
          <w:rFonts w:ascii="Calibri" w:hAnsi="Calibri"/>
          <w:color w:val="282828"/>
          <w:sz w:val="20"/>
        </w:rPr>
        <w:t>Volatility clustering during international commodity price shocks.</w:t>
      </w:r>
    </w:p>
    <w:p>
      <w:pPr>
        <w:pStyle w:val="ListBullet"/>
        <w:spacing w:before="0" w:after="60" w:line="276" w:lineRule="auto"/>
      </w:pPr>
      <w:r>
        <w:rPr>
          <w:rFonts w:ascii="Calibri" w:hAnsi="Calibri"/>
          <w:color w:val="282828"/>
          <w:sz w:val="20"/>
        </w:rPr>
        <w:t>Expenditure surges during traditional religious and cultural festival windows.</w:t>
      </w:r>
    </w:p>
    <w:p>
      <w:pPr>
        <w:spacing w:before="0" w:after="100" w:line="276" w:lineRule="auto"/>
      </w:pPr>
      <w:r>
        <w:rPr>
          <w:rFonts w:ascii="Calibri" w:hAnsi="Calibri"/>
          <w:color w:val="282828"/>
          <w:sz w:val="20"/>
        </w:rPr>
        <w:t>The non-linear ensemble model formulation is expressed as: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^π)_t^Tree)) = 0.60 · Δ x_t^scraped)) + ≤ft(0.25 · x_Food)) + 0.15 · x_Transport))\right) + ψ_FX)) · Shock)_FX))(t) + θ_Holiday)) · I_Holiday))(t) + Adj)_Vol))(t)</w:t>
            </w:r>
          </w:p>
        </w:tc>
      </w:tr>
    </w:tbl>
    <w:p>
      <w:pPr>
        <w:spacing w:after="60"/>
      </w:pPr>
    </w:p>
    <w:p>
      <w:pPr>
        <w:spacing w:before="0" w:after="100" w:line="276" w:lineRule="auto"/>
      </w:pPr>
      <w:r>
        <w:rPr>
          <w:rFonts w:ascii="Calibri" w:hAnsi="Calibri"/>
          <w:color w:val="282828"/>
          <w:sz w:val="20"/>
        </w:rPr>
        <w:t>#### Formulation Mechanics:</w:t>
      </w:r>
    </w:p>
    <w:p>
      <w:pPr>
        <w:spacing w:before="0" w:after="60" w:line="276" w:lineRule="auto"/>
        <w:ind w:left="360"/>
      </w:pPr>
      <w:r>
        <w:rPr>
          <w:rFonts w:ascii="Calibri" w:hAnsi="Calibri"/>
          <w:b/>
          <w:color w:val="1B365D"/>
          <w:sz w:val="20"/>
        </w:rPr>
        <w:t xml:space="preserve">1. </w:t>
      </w:r>
      <w:r>
        <w:rPr>
          <w:rFonts w:ascii="Calibri" w:hAnsi="Calibri"/>
          <w:b/>
          <w:color w:val="282828"/>
          <w:sz w:val="20"/>
        </w:rPr>
        <w:t>Base Momentum &amp; Sub-Drivers: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Δ x_t^scraped)) = (\barP)_t)^realized)) - P_t-1))/(P_t-1)) × 100, \quad SubDriverEffect) = 0.25 · x_Food)) + 0.15 · x_Transport))</w:t>
            </w:r>
          </w:p>
        </w:tc>
      </w:tr>
    </w:tbl>
    <w:p>
      <w:pPr>
        <w:spacing w:after="60"/>
      </w:pPr>
    </w:p>
    <w:p>
      <w:pPr>
        <w:spacing w:before="0" w:after="60" w:line="276" w:lineRule="auto"/>
        <w:ind w:left="360"/>
      </w:pPr>
      <w:r>
        <w:rPr>
          <w:rFonts w:ascii="Calibri" w:hAnsi="Calibri"/>
          <w:b/>
          <w:color w:val="1B365D"/>
          <w:sz w:val="20"/>
        </w:rPr>
        <w:t xml:space="preserve">2. </w:t>
      </w:r>
      <w:r>
        <w:rPr>
          <w:rFonts w:ascii="Calibri" w:hAnsi="Calibri"/>
          <w:b/>
          <w:color w:val="282828"/>
          <w:sz w:val="20"/>
        </w:rPr>
        <w:t>Asymmetric Exchange Rate Pass-Through Shock:</w:t>
      </w:r>
    </w:p>
    <w:p>
      <w:pPr>
        <w:spacing w:before="0" w:after="100" w:line="276" w:lineRule="auto"/>
      </w:pPr>
      <w:r>
        <w:rPr>
          <w:rFonts w:ascii="Calibri" w:hAnsi="Calibri"/>
          <w:color w:val="282828"/>
          <w:sz w:val="20"/>
        </w:rPr>
        <w:t>In Cambodia's highly dollarized economy, domestic retail prices denominated in KHR react strongly to dollar appreciation: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Shock)_FX))(t) = \max≤ft(0, \; (FX)_t - FX)_t-7))/(FX)_t-7)) × 100\right)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ψ_FX)) = 0.20</w:t>
            </w:r>
          </w:p>
        </w:tc>
      </w:tr>
    </w:tbl>
    <w:p>
      <w:pPr>
        <w:spacing w:after="60"/>
      </w:pPr>
    </w:p>
    <w:p>
      <w:pPr>
        <w:spacing w:before="0" w:after="60" w:line="276" w:lineRule="auto"/>
        <w:ind w:left="360"/>
      </w:pPr>
      <w:r>
        <w:rPr>
          <w:rFonts w:ascii="Calibri" w:hAnsi="Calibri"/>
          <w:b/>
          <w:color w:val="1B365D"/>
          <w:sz w:val="20"/>
        </w:rPr>
        <w:t xml:space="preserve">3. </w:t>
      </w:r>
      <w:r>
        <w:rPr>
          <w:rFonts w:ascii="Calibri" w:hAnsi="Calibri"/>
          <w:b/>
          <w:color w:val="282828"/>
          <w:sz w:val="20"/>
        </w:rPr>
        <w:t>Festival Surge Premium:</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I_Holiday))(t) ∈ \0, 1\), \quad θ_Holiday)) = +0.35\%</w:t>
            </w:r>
          </w:p>
        </w:tc>
      </w:tr>
    </w:tbl>
    <w:p>
      <w:pPr>
        <w:spacing w:after="60"/>
      </w:pPr>
    </w:p>
    <w:p>
      <w:pPr>
        <w:spacing w:before="0" w:after="100" w:line="276" w:lineRule="auto"/>
      </w:pPr>
      <w:r>
        <w:rPr>
          <w:rFonts w:ascii="Calibri" w:hAnsi="Calibri"/>
          <w:color w:val="282828"/>
          <w:sz w:val="20"/>
        </w:rPr>
        <w:t>Active during the expenditure windows of Khmer New Year (April), Pchum Ben (September/October), and the Water Festival (November).</w:t>
      </w:r>
    </w:p>
    <w:p>
      <w:pPr>
        <w:spacing w:before="0" w:after="60" w:line="276" w:lineRule="auto"/>
        <w:ind w:left="360"/>
      </w:pPr>
      <w:r>
        <w:rPr>
          <w:rFonts w:ascii="Calibri" w:hAnsi="Calibri"/>
          <w:b/>
          <w:color w:val="1B365D"/>
          <w:sz w:val="20"/>
        </w:rPr>
        <w:t xml:space="preserve">4. </w:t>
      </w:r>
      <w:r>
        <w:rPr>
          <w:rFonts w:ascii="Calibri" w:hAnsi="Calibri"/>
          <w:b/>
          <w:color w:val="282828"/>
          <w:sz w:val="20"/>
        </w:rPr>
        <w:t>Food &amp; Commodity Volatility Expansion: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Adj)_Vol))(t) = sign)≤ft(Δ x_t^scraped))\right) · \min≤ft(0.30, \; 10.0 · σ_14)\right)</w:t>
            </w:r>
          </w:p>
        </w:tc>
      </w:tr>
    </w:tbl>
    <w:p>
      <w:pPr>
        <w:spacing w:after="60"/>
      </w:pPr>
    </w:p>
    <w:p>
      <w:pPr>
        <w:spacing w:before="0" w:after="100" w:line="276" w:lineRule="auto"/>
      </w:pPr>
      <w:r>
        <w:rPr>
          <w:rFonts w:ascii="Calibri" w:hAnsi="Calibri"/>
          <w:color w:val="282828"/>
          <w:sz w:val="20"/>
        </w:rPr>
        <w:t xml:space="preserve">where </w:t>
      </w:r>
      <w:r>
        <w:rPr>
          <w:rFonts w:ascii="Cambria Math" w:hAnsi="Cambria Math"/>
          <w:i/>
          <w:color w:val="1B365D"/>
          <w:sz w:val="20"/>
        </w:rPr>
        <w:t>σ_14)</w:t>
      </w:r>
      <w:r>
        <w:rPr>
          <w:rFonts w:ascii="Calibri" w:hAnsi="Calibri"/>
          <w:color w:val="282828"/>
          <w:sz w:val="20"/>
        </w:rPr>
        <w:t xml:space="preserve"> is the 14-day rolling standard deviation of daily headline price relatives.</w:t>
      </w:r>
    </w:p>
    <w:p>
      <w:pPr>
        <w:pStyle w:val="Heading3"/>
        <w:spacing w:before="180" w:after="40"/>
      </w:pPr>
      <w:r>
        <w:rPr>
          <w:rFonts w:ascii="Calibri" w:hAnsi="Calibri"/>
          <w:b/>
          <w:color w:val="282828"/>
          <w:sz w:val="22"/>
        </w:rPr>
        <w:t>1.4 Dual-Index Output &amp; Dynamic Chain-Linking (Inverse-RMSFE Blend)</w:t>
      </w:r>
    </w:p>
    <w:p>
      <w:pPr>
        <w:spacing w:before="0" w:after="100" w:line="276" w:lineRule="auto"/>
      </w:pPr>
      <w:r>
        <w:rPr>
          <w:rFonts w:ascii="Calibri" w:hAnsi="Calibri"/>
          <w:color w:val="282828"/>
          <w:sz w:val="20"/>
        </w:rPr>
        <w:t xml:space="preserve">Rather than relying on a single estimator, the pipeline blends Model A and Model B using </w:t>
      </w:r>
      <w:r>
        <w:rPr>
          <w:rFonts w:ascii="Calibri" w:hAnsi="Calibri"/>
          <w:b/>
          <w:color w:val="282828"/>
          <w:sz w:val="20"/>
        </w:rPr>
        <w:t>Inverse Root Mean Squared Forecast Error (RMSFE)</w:t>
      </w:r>
      <w:r>
        <w:rPr>
          <w:rFonts w:ascii="Calibri" w:hAnsi="Calibri"/>
          <w:color w:val="282828"/>
          <w:sz w:val="20"/>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w_ADL)) = 0.48, \quad w_Tree)) = 0.52</w:t>
            </w:r>
          </w:p>
        </w:tc>
      </w:tr>
    </w:tbl>
    <w:p>
      <w:pPr>
        <w:spacing w:after="60"/>
      </w:pPr>
    </w:p>
    <w:p>
      <w:pPr>
        <w:spacing w:before="0" w:after="100" w:line="276" w:lineRule="auto"/>
      </w:pPr>
      <w:r>
        <w:rPr>
          <w:rFonts w:ascii="Calibri" w:hAnsi="Calibri"/>
          <w:color w:val="282828"/>
          <w:sz w:val="20"/>
        </w:rPr>
        <w:t>The blended Month-over-Month (MoM) inflation nowcast is: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 = ≤ft(0.48 · ^π)_t)^ADL))\right) + ≤ft(0.52 · ^π)_t)^Tree))\right)</w:t>
            </w:r>
          </w:p>
        </w:tc>
      </w:tr>
    </w:tbl>
    <w:p>
      <w:pPr>
        <w:spacing w:after="60"/>
      </w:pPr>
    </w:p>
    <w:p>
      <w:pPr>
        <w:spacing w:before="0" w:after="100" w:line="276" w:lineRule="auto"/>
      </w:pPr>
      <w:r>
        <w:rPr>
          <w:rFonts w:ascii="Calibri" w:hAnsi="Calibri"/>
          <w:color w:val="282828"/>
          <w:sz w:val="20"/>
        </w:rPr>
        <w:t>#### Dual Reconstructed Indices:</w:t>
      </w:r>
    </w:p>
    <w:p>
      <w:pPr>
        <w:spacing w:before="0" w:after="60" w:line="276" w:lineRule="auto"/>
        <w:ind w:left="360"/>
      </w:pPr>
      <w:r>
        <w:rPr>
          <w:rFonts w:ascii="Calibri" w:hAnsi="Calibri"/>
          <w:b/>
          <w:color w:val="1B365D"/>
          <w:sz w:val="20"/>
        </w:rPr>
        <w:t xml:space="preserve">1. </w:t>
      </w:r>
      <w:r>
        <w:rPr>
          <w:rFonts w:ascii="Calibri" w:hAnsi="Calibri"/>
          <w:b/>
          <w:color w:val="282828"/>
          <w:sz w:val="20"/>
        </w:rPr>
        <w:t>Pipeline-Native CPI Index:</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^P)_t = P_t-1) × ≤ft(1 + (^π)_t)/(100)\right)</w:t>
            </w:r>
          </w:p>
        </w:tc>
      </w:tr>
    </w:tbl>
    <w:p>
      <w:pPr>
        <w:spacing w:after="60"/>
      </w:pPr>
    </w:p>
    <w:p>
      <w:pPr>
        <w:spacing w:before="0" w:after="60" w:line="276" w:lineRule="auto"/>
        <w:ind w:left="360"/>
      </w:pPr>
      <w:r>
        <w:rPr>
          <w:rFonts w:ascii="Calibri" w:hAnsi="Calibri"/>
          <w:b/>
          <w:color w:val="1B365D"/>
          <w:sz w:val="20"/>
        </w:rPr>
        <w:t xml:space="preserve">2. </w:t>
      </w:r>
      <w:r>
        <w:rPr>
          <w:rFonts w:ascii="Calibri" w:hAnsi="Calibri"/>
          <w:b/>
          <w:color w:val="282828"/>
          <w:sz w:val="20"/>
        </w:rPr>
        <w:t>Official NIS Chain-Linked CPI Index (Base Oct–Dec 2006 = 100):</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^P)_NIS), t) = P_NIS), t-1) × ≤ft(1 + (^π)_t)/(100)\right)</w:t>
            </w:r>
          </w:p>
        </w:tc>
      </w:tr>
    </w:tbl>
    <w:p>
      <w:pPr>
        <w:spacing w:after="60"/>
      </w:pPr>
    </w:p>
    <w:p>
      <w:pPr>
        <w:spacing w:before="0" w:after="100" w:line="276" w:lineRule="auto"/>
      </w:pPr>
      <w:r>
        <w:rPr>
          <w:rFonts w:ascii="Calibri" w:hAnsi="Calibri"/>
          <w:color w:val="282828"/>
          <w:sz w:val="20"/>
        </w:rPr>
        <w:t xml:space="preserve">where </w:t>
      </w:r>
      <w:r>
        <w:rPr>
          <w:rFonts w:ascii="Cambria Math" w:hAnsi="Cambria Math"/>
          <w:i/>
          <w:color w:val="1B365D"/>
          <w:sz w:val="20"/>
        </w:rPr>
        <w:t>P_NIS), t-1)</w:t>
      </w:r>
      <w:r>
        <w:rPr>
          <w:rFonts w:ascii="Calibri" w:hAnsi="Calibri"/>
          <w:color w:val="282828"/>
          <w:sz w:val="20"/>
        </w:rPr>
        <w:t xml:space="preserve"> is queried dynamically from </w:t>
      </w:r>
      <w:r>
        <w:rPr>
          <w:rFonts w:ascii="Consolas" w:hAnsi="Consolas"/>
          <w:color w:val="2B547E"/>
          <w:sz w:val="18"/>
        </w:rPr>
        <w:t>gold.dim_nis_official_cpi</w:t>
      </w:r>
      <w:r>
        <w:rPr>
          <w:rFonts w:ascii="Calibri" w:hAnsi="Calibri"/>
          <w:color w:val="282828"/>
          <w:sz w:val="20"/>
        </w:rPr>
        <w:t xml:space="preserve"> (e.g. July 2026: </w:t>
      </w:r>
      <w:r>
        <w:rPr>
          <w:rFonts w:ascii="Calibri" w:hAnsi="Calibri"/>
          <w:b/>
          <w:color w:val="282828"/>
          <w:sz w:val="20"/>
        </w:rPr>
        <w:t>219.1</w:t>
      </w:r>
      <w:r>
        <w:rPr>
          <w:rFonts w:ascii="Calibri" w:hAnsi="Calibri"/>
          <w:color w:val="282828"/>
          <w:sz w:val="20"/>
        </w:rPr>
        <w:t>).</w:t>
      </w:r>
    </w:p>
    <w:p>
      <w:pPr>
        <w:pStyle w:val="Heading3"/>
        <w:spacing w:before="180" w:after="40"/>
      </w:pPr>
      <w:r>
        <w:rPr>
          <w:rFonts w:ascii="Calibri" w:hAnsi="Calibri"/>
          <w:b/>
          <w:color w:val="282828"/>
          <w:sz w:val="22"/>
        </w:rPr>
        <w:t>1.5 Dynamic 95% Confidence Interval Fan Bands</w:t>
      </w:r>
    </w:p>
    <w:p>
      <w:pPr>
        <w:spacing w:before="0" w:after="100" w:line="276" w:lineRule="auto"/>
      </w:pPr>
      <w:r>
        <w:rPr>
          <w:rFonts w:ascii="Calibri" w:hAnsi="Calibri"/>
          <w:color w:val="282828"/>
          <w:sz w:val="20"/>
        </w:rPr>
        <w:t xml:space="preserve">Early in the reference month (e.g. Day 3), only </w:t>
      </w:r>
      <w:r>
        <w:rPr>
          <w:rFonts w:ascii="Cambria Math" w:hAnsi="Cambria Math"/>
          <w:i/>
          <w:color w:val="1B365D"/>
          <w:sz w:val="20"/>
        </w:rPr>
        <w:t>10\%</w:t>
      </w:r>
      <w:r>
        <w:rPr>
          <w:rFonts w:ascii="Calibri" w:hAnsi="Calibri"/>
          <w:color w:val="282828"/>
          <w:sz w:val="20"/>
        </w:rPr>
        <w:t xml:space="preserve"> of the month's trading days have been observed; uncertainty regarding the month-end outcome is at its maximum. By Day 28, with </w:t>
      </w:r>
      <w:r>
        <w:rPr>
          <w:rFonts w:ascii="Cambria Math" w:hAnsi="Cambria Math"/>
          <w:i/>
          <w:color w:val="1B365D"/>
          <w:sz w:val="20"/>
        </w:rPr>
        <w:t>&gt;93\%</w:t>
      </w:r>
      <w:r>
        <w:rPr>
          <w:rFonts w:ascii="Calibri" w:hAnsi="Calibri"/>
          <w:color w:val="282828"/>
          <w:sz w:val="20"/>
        </w:rPr>
        <w:t xml:space="preserve"> of days realized, uncertainty shrinks dramatically.</w:t>
      </w:r>
    </w:p>
    <w:p>
      <w:pPr>
        <w:spacing w:before="0" w:after="100" w:line="276" w:lineRule="auto"/>
      </w:pPr>
      <w:r>
        <w:rPr>
          <w:rFonts w:ascii="Calibri" w:hAnsi="Calibri"/>
          <w:color w:val="282828"/>
          <w:sz w:val="20"/>
        </w:rPr>
        <w:t>The Margin of Error (</w:t>
      </w:r>
      <w:r>
        <w:rPr>
          <w:rFonts w:ascii="Cambria Math" w:hAnsi="Cambria Math"/>
          <w:i/>
          <w:color w:val="1B365D"/>
          <w:sz w:val="20"/>
        </w:rPr>
        <w:t>MoE)_t</w:t>
      </w:r>
      <w:r>
        <w:rPr>
          <w:rFonts w:ascii="Calibri" w:hAnsi="Calibri"/>
          <w:color w:val="282828"/>
          <w:sz w:val="20"/>
        </w:rPr>
        <w:t>) contracts in direct proportion to the square root of the remaining unobserved month fraction: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Observed Ratio)_t = (d_t)/(T_t)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Uncertainty Factor)_t = √(\max≤ft(0.01, \; 1.0 - (d_t)/(T_t)\right)) = √((T_t - d_t)/(T_t))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MoE)_t = Z_0.975) · σ_base)) · Uncertainty Factor)_t</w:t>
            </w:r>
          </w:p>
        </w:tc>
      </w:tr>
    </w:tbl>
    <w:p>
      <w:pPr>
        <w:spacing w:after="60"/>
      </w:pPr>
    </w:p>
    <w:p>
      <w:pPr>
        <w:spacing w:before="0" w:after="100" w:line="276" w:lineRule="auto"/>
      </w:pPr>
      <w:r>
        <w:rPr>
          <w:rFonts w:ascii="Calibri" w:hAnsi="Calibri"/>
          <w:color w:val="282828"/>
          <w:sz w:val="20"/>
        </w:rPr>
        <w:t>Where:</w:t>
      </w:r>
    </w:p>
    <w:p>
      <w:pPr>
        <w:pStyle w:val="ListBullet"/>
        <w:spacing w:before="0" w:after="60" w:line="276" w:lineRule="auto"/>
      </w:pPr>
      <w:r>
        <w:rPr>
          <w:rFonts w:ascii="Cambria Math" w:hAnsi="Cambria Math"/>
          <w:i/>
          <w:color w:val="1B365D"/>
          <w:sz w:val="20"/>
        </w:rPr>
        <w:t>d_t</w:t>
      </w:r>
      <w:r>
        <w:rPr>
          <w:rFonts w:ascii="Calibri" w:hAnsi="Calibri"/>
          <w:color w:val="282828"/>
          <w:sz w:val="20"/>
        </w:rPr>
        <w:t>: Day of the month observed (e.g., 3).</w:t>
      </w:r>
    </w:p>
    <w:p>
      <w:pPr>
        <w:pStyle w:val="ListBullet"/>
        <w:spacing w:before="0" w:after="60" w:line="276" w:lineRule="auto"/>
      </w:pPr>
      <w:r>
        <w:rPr>
          <w:rFonts w:ascii="Cambria Math" w:hAnsi="Cambria Math"/>
          <w:i/>
          <w:color w:val="1B365D"/>
          <w:sz w:val="20"/>
        </w:rPr>
        <w:t>T_t</w:t>
      </w:r>
      <w:r>
        <w:rPr>
          <w:rFonts w:ascii="Calibri" w:hAnsi="Calibri"/>
          <w:color w:val="282828"/>
          <w:sz w:val="20"/>
        </w:rPr>
        <w:t>: Total days in the month (e.g., 30 for September).</w:t>
      </w:r>
    </w:p>
    <w:p>
      <w:pPr>
        <w:pStyle w:val="ListBullet"/>
        <w:spacing w:before="0" w:after="60" w:line="276" w:lineRule="auto"/>
      </w:pPr>
      <w:r>
        <w:rPr>
          <w:rFonts w:ascii="Cambria Math" w:hAnsi="Cambria Math"/>
          <w:i/>
          <w:color w:val="1B365D"/>
          <w:sz w:val="20"/>
        </w:rPr>
        <w:t>Z_0.975) = 1.95996</w:t>
      </w:r>
      <w:r>
        <w:rPr>
          <w:rFonts w:ascii="Calibri" w:hAnsi="Calibri"/>
          <w:color w:val="282828"/>
          <w:sz w:val="20"/>
        </w:rPr>
        <w:t xml:space="preserve"> (Standard normal distribution critical value for a 95% two-sided interval).</w:t>
      </w:r>
    </w:p>
    <w:p>
      <w:pPr>
        <w:pStyle w:val="ListBullet"/>
        <w:spacing w:before="0" w:after="60" w:line="276" w:lineRule="auto"/>
      </w:pPr>
      <w:r>
        <w:rPr>
          <w:rFonts w:ascii="Cambria Math" w:hAnsi="Cambria Math"/>
          <w:i/>
          <w:color w:val="1B365D"/>
          <w:sz w:val="20"/>
        </w:rPr>
        <w:t>σ_base)) = 0.45\%</w:t>
      </w:r>
      <w:r>
        <w:rPr>
          <w:rFonts w:ascii="Calibri" w:hAnsi="Calibri"/>
          <w:color w:val="282828"/>
          <w:sz w:val="20"/>
        </w:rPr>
        <w:t xml:space="preserve"> (Empirical monthly inflation standard deviation for Cambodia).</w:t>
      </w:r>
    </w:p>
    <w:p>
      <w:pPr>
        <w:spacing w:before="0" w:after="100" w:line="276" w:lineRule="auto"/>
      </w:pPr>
      <w:r>
        <w:rPr>
          <w:rFonts w:ascii="Calibri" w:hAnsi="Calibri"/>
          <w:color w:val="282828"/>
          <w:sz w:val="20"/>
        </w:rPr>
        <w:t>The 95% Confidence Interval is: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CI)_95)(t) = ≤ft[ ^P)_t - MoE)_t, \quad ^P)_t + MoE)_t \right]</w:t>
            </w:r>
          </w:p>
        </w:tc>
      </w:tr>
    </w:tbl>
    <w:p>
      <w:pPr>
        <w:spacing w:after="60"/>
      </w:pPr>
    </w:p>
    <w:p>
      <w:pPr>
        <w:pStyle w:val="Heading2"/>
        <w:spacing w:before="260" w:after="80"/>
      </w:pPr>
      <w:r>
        <w:rPr>
          <w:rFonts w:ascii="Calibri" w:hAnsi="Calibri"/>
          <w:b/>
          <w:color w:val="2B547E"/>
          <w:sz w:val="25"/>
        </w:rPr>
        <w:t>2. End-to-End System Architecture</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40" w:type="dxa"/>
              <w:right w:w="140" w:type="dxa"/>
            </w:tcMar>
          </w:tcPr>
          <w:p>
            <w:pPr>
              <w:spacing w:before="0" w:after="0"/>
            </w:pPr>
            <w:r>
              <w:rPr>
                <w:rFonts w:ascii="Consolas" w:hAnsi="Consolas"/>
                <w:color w:val="282828"/>
                <w:sz w:val="17"/>
              </w:rPr>
              <w:t>┌────────────────────────────────────────────────────────────────────────────────────────┐</w:t>
              <w:br/>
              <w:t>│                               BRONZE &amp; SILVER LAYERS                                   │</w:t>
              <w:br/>
              <w:t>│  Daily E-Commerce Scrapes (Aeon, Chip Mong, Grocerdel, Virak Buntham) + MEF Daily FX   │</w:t>
              <w:br/>
              <w:t>└───────────────────────────────────────────┬────────────────────────────────────────────┘</w:t>
              <w:br/>
              <w:t xml:space="preserve">                                            │</w:t>
              <w:br/>
              <w:t xml:space="preserve">                                            ▼</w:t>
              <w:br/>
              <w:t>┌────────────────────────────────────────────────────────────────────────────────────────┐</w:t>
              <w:br/>
              <w:t>│                                      GOLD LAYER                                        │</w:t>
              <w:br/>
              <w:t>│  1. Clean Store Prices (silver.clean_store_prices)                                     │</w:t>
              <w:br/>
              <w:t>│  2. Elementary Aggregation (Jevons Geometric Mean across 12 COICOP Divisions)          │</w:t>
              <w:br/>
              <w:t>│  3. Higher-Level Aggregation (Laspeyres Weighting via official NIS weights)            │</w:t>
              <w:br/>
              <w:t>│  4. Daily Headline Facts (gold.fct_cpi_daily)                                          │</w:t>
              <w:br/>
              <w:t>└───────────────────────────────────────────┬────────────────────────────────────────────┘</w:t>
              <w:br/>
              <w:t xml:space="preserve">                                            │</w:t>
              <w:br/>
              <w:t xml:space="preserve">                                            ▼</w:t>
              <w:br/>
              <w:t>┌────────────────────────────────────────────────────────────────────────────────────────┐</w:t>
              <w:br/>
              <w:t>│                        FEATURE ENGINEERING (ml/features.py)                            │</w:t>
              <w:br/>
              <w:t>│  • Intra-month Realized Headline &amp; Core Averages                                       │</w:t>
              <w:br/>
              <w:t>│  • Rolling Windows (MA7, MA14, MA30) &amp; Volatility (sigma14)                            │</w:t>
              <w:br/>
              <w:t>│  • High-Frequency Exchange Rate Momentum (DoD &amp; 7-Day Change %)                        │</w:t>
              <w:br/>
              <w:t>│  • Cambodian Annual Holiday Indicator Matrices (Khmer New Year, Pchum Ben, etc.)       │</w:t>
              <w:br/>
              <w:t>│  • Lagged Official Ground Truth (Prior month CPI, lag-1 MoM, lag-12 YoY)              │</w:t>
              <w:br/>
              <w:t>└───────────────────────────────────────────┬────────────────────────────────────────────┘</w:t>
              <w:br/>
              <w:t xml:space="preserve">                                            │</w:t>
              <w:br/>
              <w:t xml:space="preserve">                                            ▼</w:t>
              <w:br/>
              <w:t>┌────────────────────────────────────────────────────────────────────────────────────────┐</w:t>
              <w:br/>
              <w:t>│                         NOWCASTING ENGINE (ml/nowcaster.py)                            │</w:t>
              <w:br/>
              <w:t>│                                                                                        │</w:t>
              <w:br/>
              <w:t>│     ┌────────────────────────────────┐    ┌──────────────────────────────────┐         │</w:t>
              <w:br/>
              <w:t>│     │    Model A: Linear ADL         │    │    Model B: Non-Linear GBRT      │         │</w:t>
              <w:br/>
              <w:t>│     │    (Macias et al. 2023)        │    │    (Medeiros et al. 2021)        │         │</w:t>
              <w:br/>
              <w:t>│     └───────────────┬────────────────┘    └────────────────┬─────────────────┘         │</w:t>
              <w:br/>
              <w:t>│                     │ (Weight = 0.48)                      │ (Weight = 0.52)           │</w:t>
              <w:br/>
              <w:t>│                     └──────────────────────┬───────────────┘                           │</w:t>
              <w:br/>
              <w:t>│                                            │                                           │</w:t>
              <w:br/>
              <w:t>│                                            ▼                                           │</w:t>
              <w:br/>
              <w:t>│                       Inverse-RMSFE Blended MoM Projection                             │</w:t>
              <w:br/>
              <w:t>│                                      (pi_hat)                                          │</w:t>
              <w:br/>
              <w:t>│                                            │                                           │</w:t>
              <w:br/>
              <w:t>│                     ┌──────────────────────┴───────────────────────┐                   │</w:t>
              <w:br/>
              <w:t>│                     ▼                                              ▼                   │</w:t>
              <w:br/>
              <w:t>│         Projected Month-End CPI                     Dynamic 95% Confidence Fan         │</w:t>
              <w:br/>
              <w:t>│         P_hat = P_prior * (1 + pi_hat)              Width = f(sqrt(days_remaining))    │</w:t>
              <w:br/>
              <w:t>└───────────────────────────────────────────┬────────────────────────────────────────────┘</w:t>
              <w:br/>
              <w:t xml:space="preserve">                                            │</w:t>
              <w:br/>
              <w:t xml:space="preserve">                                            ▼</w:t>
              <w:br/>
              <w:t>┌────────────────────────────────────────────────────────────────────────────────────────┐</w:t>
              <w:br/>
              <w:t>│                         PERSISTENCE &amp; REPORTING LAYER                                  │</w:t>
              <w:br/>
              <w:t>│  • Upsert into PostgreSQL (gold.fct_cpi_nowcast)                                       │</w:t>
              <w:br/>
              <w:t>│  • Daily Automated Execution via Airflow DAG (orchestration/dags/cpi_nowcasting_dag.py)│</w:t>
              <w:br/>
              <w:t>│  • BI Visualizations &amp; Fan Band Charts in Metabase                                     │</w:t>
              <w:br/>
              <w:t>└────────────────────────────────────────────────────────────────────────────────────────┘</w:t>
            </w:r>
          </w:p>
        </w:tc>
      </w:tr>
    </w:tbl>
    <w:p>
      <w:pPr>
        <w:spacing w:after="60"/>
      </w:pPr>
    </w:p>
    <w:p>
      <w:pPr>
        <w:pStyle w:val="Heading2"/>
        <w:spacing w:before="260" w:after="80"/>
      </w:pPr>
      <w:r>
        <w:rPr>
          <w:rFonts w:ascii="Calibri" w:hAnsi="Calibri"/>
          <w:b/>
          <w:color w:val="2B547E"/>
          <w:sz w:val="25"/>
        </w:rPr>
        <w:t>3. Concrete Numerical Example</w:t>
      </w:r>
    </w:p>
    <w:p>
      <w:pPr>
        <w:spacing w:before="0" w:after="100" w:line="276" w:lineRule="auto"/>
      </w:pPr>
      <w:r>
        <w:rPr>
          <w:rFonts w:ascii="Calibri" w:hAnsi="Calibri"/>
          <w:color w:val="282828"/>
          <w:sz w:val="20"/>
        </w:rPr>
        <w:t xml:space="preserve">To understand the mathematics in practice, consider the following real-world scenario evaluated on </w:t>
      </w:r>
      <w:r>
        <w:rPr>
          <w:rFonts w:ascii="Calibri" w:hAnsi="Calibri"/>
          <w:b/>
          <w:color w:val="282828"/>
          <w:sz w:val="20"/>
        </w:rPr>
        <w:t>September 15, 2026</w:t>
      </w:r>
      <w:r>
        <w:rPr>
          <w:rFonts w:ascii="Calibri" w:hAnsi="Calibri"/>
          <w:color w:val="282828"/>
          <w:sz w:val="20"/>
        </w:rPr>
        <w:t>:</w:t>
      </w:r>
    </w:p>
    <w:p>
      <w:pPr>
        <w:pStyle w:val="Heading3"/>
        <w:spacing w:before="180" w:after="40"/>
      </w:pPr>
      <w:r>
        <w:rPr>
          <w:rFonts w:ascii="Calibri" w:hAnsi="Calibri"/>
          <w:b/>
          <w:color w:val="282828"/>
          <w:sz w:val="22"/>
        </w:rPr>
        <w:t>Scenario Input Parameters:</w:t>
      </w:r>
    </w:p>
    <w:p>
      <w:pPr>
        <w:pStyle w:val="ListBullet"/>
        <w:spacing w:before="0" w:after="60" w:line="276" w:lineRule="auto"/>
      </w:pPr>
      <w:r>
        <w:rPr>
          <w:rFonts w:ascii="Calibri" w:hAnsi="Calibri"/>
          <w:b/>
          <w:color w:val="282828"/>
          <w:sz w:val="20"/>
        </w:rPr>
        <w:t>Target Date ($t$):</w:t>
      </w:r>
      <w:r>
        <w:rPr>
          <w:rFonts w:ascii="Calibri" w:hAnsi="Calibri"/>
          <w:color w:val="282828"/>
          <w:sz w:val="20"/>
        </w:rPr>
        <w:t xml:space="preserve"> September 15, 2026 (</w:t>
      </w:r>
      <w:r>
        <w:rPr>
          <w:rFonts w:ascii="Cambria Math" w:hAnsi="Cambria Math"/>
          <w:i/>
          <w:color w:val="1B365D"/>
          <w:sz w:val="20"/>
        </w:rPr>
        <w:t>d_t = 15, \; T_t = 30</w:t>
      </w:r>
      <w:r>
        <w:rPr>
          <w:rFonts w:ascii="Calibri" w:hAnsi="Calibri"/>
          <w:color w:val="282828"/>
          <w:sz w:val="20"/>
        </w:rPr>
        <w:t>).</w:t>
      </w:r>
    </w:p>
    <w:p>
      <w:pPr>
        <w:pStyle w:val="ListBullet"/>
        <w:spacing w:before="0" w:after="60" w:line="276" w:lineRule="auto"/>
      </w:pPr>
      <w:r>
        <w:rPr>
          <w:rFonts w:ascii="Calibri" w:hAnsi="Calibri"/>
          <w:b/>
          <w:color w:val="282828"/>
          <w:sz w:val="20"/>
        </w:rPr>
        <w:t>Observed Days:</w:t>
      </w:r>
      <w:r>
        <w:rPr>
          <w:rFonts w:ascii="Calibri" w:hAnsi="Calibri"/>
          <w:color w:val="282828"/>
          <w:sz w:val="20"/>
        </w:rPr>
        <w:t xml:space="preserve"> 15 days; </w:t>
      </w:r>
      <w:r>
        <w:rPr>
          <w:rFonts w:ascii="Calibri" w:hAnsi="Calibri"/>
          <w:b/>
          <w:color w:val="282828"/>
          <w:sz w:val="20"/>
        </w:rPr>
        <w:t>Remaining Days:</w:t>
      </w:r>
      <w:r>
        <w:rPr>
          <w:rFonts w:ascii="Calibri" w:hAnsi="Calibri"/>
          <w:color w:val="282828"/>
          <w:sz w:val="20"/>
        </w:rPr>
        <w:t xml:space="preserve"> 15 days (</w:t>
      </w:r>
      <w:r>
        <w:rPr>
          <w:rFonts w:ascii="Cambria Math" w:hAnsi="Cambria Math"/>
          <w:i/>
          <w:color w:val="1B365D"/>
          <w:sz w:val="20"/>
        </w:rPr>
        <w:t>50\%</w:t>
      </w:r>
      <w:r>
        <w:rPr>
          <w:rFonts w:ascii="Calibri" w:hAnsi="Calibri"/>
          <w:color w:val="282828"/>
          <w:sz w:val="20"/>
        </w:rPr>
        <w:t xml:space="preserve"> elapsed).</w:t>
      </w:r>
    </w:p>
    <w:p>
      <w:pPr>
        <w:pStyle w:val="ListBullet"/>
        <w:spacing w:before="0" w:after="60" w:line="276" w:lineRule="auto"/>
      </w:pPr>
      <w:r>
        <w:rPr>
          <w:rFonts w:ascii="Calibri" w:hAnsi="Calibri"/>
          <w:b/>
          <w:color w:val="282828"/>
          <w:sz w:val="20"/>
        </w:rPr>
        <w:t>Prior Month CPI (August 2026, $P_{t-1}$):</w:t>
      </w:r>
      <w:r>
        <w:rPr>
          <w:rFonts w:ascii="Calibri" w:hAnsi="Calibri"/>
          <w:color w:val="282828"/>
          <w:sz w:val="20"/>
        </w:rPr>
        <w:t xml:space="preserve"> </w:t>
      </w:r>
      <w:r>
        <w:rPr>
          <w:rFonts w:ascii="Cambria Math" w:hAnsi="Cambria Math"/>
          <w:i/>
          <w:color w:val="1B365D"/>
          <w:sz w:val="20"/>
        </w:rPr>
        <w:t>102.0000</w:t>
      </w:r>
      <w:r>
        <w:rPr>
          <w:rFonts w:ascii="Calibri" w:hAnsi="Calibri"/>
          <w:color w:val="282828"/>
          <w:sz w:val="20"/>
        </w:rPr>
        <w:t>.</w:t>
      </w:r>
    </w:p>
    <w:p>
      <w:pPr>
        <w:pStyle w:val="ListBullet"/>
        <w:spacing w:before="0" w:after="60" w:line="276" w:lineRule="auto"/>
      </w:pPr>
      <w:r>
        <w:rPr>
          <w:rFonts w:ascii="Calibri" w:hAnsi="Calibri"/>
          <w:b/>
          <w:color w:val="282828"/>
          <w:sz w:val="20"/>
        </w:rPr>
        <w:t>Prior Month MoM Inflation ($\pi_{t-1}$):</w:t>
      </w:r>
      <w:r>
        <w:rPr>
          <w:rFonts w:ascii="Calibri" w:hAnsi="Calibri"/>
          <w:color w:val="282828"/>
          <w:sz w:val="20"/>
        </w:rPr>
        <w:t xml:space="preserve"> </w:t>
      </w:r>
      <w:r>
        <w:rPr>
          <w:rFonts w:ascii="Cambria Math" w:hAnsi="Cambria Math"/>
          <w:i/>
          <w:color w:val="1B365D"/>
          <w:sz w:val="20"/>
        </w:rPr>
        <w:t>+0.40\%</w:t>
      </w:r>
      <w:r>
        <w:rPr>
          <w:rFonts w:ascii="Calibri" w:hAnsi="Calibri"/>
          <w:color w:val="282828"/>
          <w:sz w:val="20"/>
        </w:rPr>
        <w:t>.</w:t>
      </w:r>
    </w:p>
    <w:p>
      <w:pPr>
        <w:pStyle w:val="ListBullet"/>
        <w:spacing w:before="0" w:after="60" w:line="276" w:lineRule="auto"/>
      </w:pPr>
      <w:r>
        <w:rPr>
          <w:rFonts w:ascii="Calibri" w:hAnsi="Calibri"/>
          <w:b/>
          <w:color w:val="282828"/>
          <w:sz w:val="20"/>
        </w:rPr>
        <w:t>Realized Daily Headline CPI in September so far ($\bar{P}_{t}^{\text{realized}}$):</w:t>
      </w:r>
      <w:r>
        <w:rPr>
          <w:rFonts w:ascii="Calibri" w:hAnsi="Calibri"/>
          <w:color w:val="282828"/>
          <w:sz w:val="20"/>
        </w:rPr>
        <w:t xml:space="preserve"> </w:t>
      </w:r>
      <w:r>
        <w:rPr>
          <w:rFonts w:ascii="Cambria Math" w:hAnsi="Cambria Math"/>
          <w:i/>
          <w:color w:val="1B365D"/>
          <w:sz w:val="20"/>
        </w:rPr>
        <w:t>102.5000</w:t>
      </w:r>
      <w:r>
        <w:rPr>
          <w:rFonts w:ascii="Calibri" w:hAnsi="Calibri"/>
          <w:color w:val="282828"/>
          <w:sz w:val="20"/>
        </w:rPr>
        <w:t>.</w:t>
      </w:r>
    </w:p>
    <w:p>
      <w:pPr>
        <w:pStyle w:val="ListBullet"/>
        <w:spacing w:before="0" w:after="60" w:line="276" w:lineRule="auto"/>
      </w:pPr>
      <w:r>
        <w:rPr>
          <w:rFonts w:ascii="Calibri" w:hAnsi="Calibri"/>
          <w:b/>
          <w:color w:val="282828"/>
          <w:sz w:val="20"/>
        </w:rPr>
        <w:t>Exchange Rate (MEF USD/KHR):</w:t>
      </w:r>
      <w:r>
        <w:rPr>
          <w:rFonts w:ascii="Calibri" w:hAnsi="Calibri"/>
          <w:color w:val="282828"/>
          <w:sz w:val="20"/>
        </w:rPr>
        <w:t xml:space="preserve"> </w:t>
      </w:r>
      <w:r>
        <w:rPr>
          <w:rFonts w:ascii="Cambria Math" w:hAnsi="Cambria Math"/>
          <w:i/>
          <w:color w:val="1B365D"/>
          <w:sz w:val="20"/>
        </w:rPr>
        <w:t>4,055</w:t>
      </w:r>
      <w:r>
        <w:rPr>
          <w:rFonts w:ascii="Calibri" w:hAnsi="Calibri"/>
          <w:color w:val="282828"/>
          <w:sz w:val="20"/>
        </w:rPr>
        <w:t xml:space="preserve"> KHR today vs </w:t>
      </w:r>
      <w:r>
        <w:rPr>
          <w:rFonts w:ascii="Cambria Math" w:hAnsi="Cambria Math"/>
          <w:i/>
          <w:color w:val="1B365D"/>
          <w:sz w:val="20"/>
        </w:rPr>
        <w:t>4,045</w:t>
      </w:r>
      <w:r>
        <w:rPr>
          <w:rFonts w:ascii="Calibri" w:hAnsi="Calibri"/>
          <w:color w:val="282828"/>
          <w:sz w:val="20"/>
        </w:rPr>
        <w:t xml:space="preserve"> KHR 7 days ago (</w:t>
      </w:r>
      <w:r>
        <w:rPr>
          <w:rFonts w:ascii="Cambria Math" w:hAnsi="Cambria Math"/>
          <w:i/>
          <w:color w:val="1B365D"/>
          <w:sz w:val="20"/>
        </w:rPr>
        <w:t>+0.247\%</w:t>
      </w:r>
      <w:r>
        <w:rPr>
          <w:rFonts w:ascii="Calibri" w:hAnsi="Calibri"/>
          <w:color w:val="282828"/>
          <w:sz w:val="20"/>
        </w:rPr>
        <w:t xml:space="preserve"> increase).</w:t>
      </w:r>
    </w:p>
    <w:p>
      <w:pPr>
        <w:pStyle w:val="ListBullet"/>
        <w:spacing w:before="0" w:after="60" w:line="276" w:lineRule="auto"/>
      </w:pPr>
      <w:r>
        <w:rPr>
          <w:rFonts w:ascii="Calibri" w:hAnsi="Calibri"/>
          <w:b/>
          <w:color w:val="282828"/>
          <w:sz w:val="20"/>
        </w:rPr>
        <w:t>14-day Price Relatives Volatility ($\sigma_{14}$):</w:t>
      </w:r>
      <w:r>
        <w:rPr>
          <w:rFonts w:ascii="Calibri" w:hAnsi="Calibri"/>
          <w:color w:val="282828"/>
          <w:sz w:val="20"/>
        </w:rPr>
        <w:t xml:space="preserve"> </w:t>
      </w:r>
      <w:r>
        <w:rPr>
          <w:rFonts w:ascii="Cambria Math" w:hAnsi="Cambria Math"/>
          <w:i/>
          <w:color w:val="1B365D"/>
          <w:sz w:val="20"/>
        </w:rPr>
        <w:t>0.008</w:t>
      </w:r>
      <w:r>
        <w:rPr>
          <w:rFonts w:ascii="Calibri" w:hAnsi="Calibri"/>
          <w:color w:val="282828"/>
          <w:sz w:val="20"/>
        </w:rPr>
        <w:t xml:space="preserve"> (</w:t>
      </w:r>
      <w:r>
        <w:rPr>
          <w:rFonts w:ascii="Cambria Math" w:hAnsi="Cambria Math"/>
          <w:i/>
          <w:color w:val="1B365D"/>
          <w:sz w:val="20"/>
        </w:rPr>
        <w:t>0.8\%</w:t>
      </w:r>
      <w:r>
        <w:rPr>
          <w:rFonts w:ascii="Calibri" w:hAnsi="Calibri"/>
          <w:color w:val="282828"/>
          <w:sz w:val="20"/>
        </w:rPr>
        <w:t>).</w:t>
      </w:r>
    </w:p>
    <w:p>
      <w:pPr>
        <w:pStyle w:val="ListBullet"/>
        <w:spacing w:before="0" w:after="60" w:line="276" w:lineRule="auto"/>
      </w:pPr>
      <w:r>
        <w:rPr>
          <w:rFonts w:ascii="Calibri" w:hAnsi="Calibri"/>
          <w:b/>
          <w:color w:val="282828"/>
          <w:sz w:val="20"/>
        </w:rPr>
        <w:t>Holiday Proximity:</w:t>
      </w:r>
      <w:r>
        <w:rPr>
          <w:rFonts w:ascii="Calibri" w:hAnsi="Calibri"/>
          <w:color w:val="282828"/>
          <w:sz w:val="20"/>
        </w:rPr>
        <w:t xml:space="preserve"> Pchum Ben window approaching (</w:t>
      </w:r>
      <w:r>
        <w:rPr>
          <w:rFonts w:ascii="Cambria Math" w:hAnsi="Cambria Math"/>
          <w:i/>
          <w:color w:val="1B365D"/>
          <w:sz w:val="20"/>
        </w:rPr>
        <w:t>I_Holiday)) = 1</w:t>
      </w:r>
      <w:r>
        <w:rPr>
          <w:rFonts w:ascii="Calibri" w:hAnsi="Calibri"/>
          <w:color w:val="282828"/>
          <w:sz w:val="20"/>
        </w:rPr>
        <w:t>).</w:t>
      </w:r>
    </w:p>
    <w:p>
      <w:pPr>
        <w:pStyle w:val="Heading3"/>
        <w:spacing w:before="180" w:after="40"/>
      </w:pPr>
      <w:r>
        <w:rPr>
          <w:rFonts w:ascii="Calibri" w:hAnsi="Calibri"/>
          <w:b/>
          <w:color w:val="282828"/>
          <w:sz w:val="22"/>
        </w:rPr>
        <w:t>Step 1: Feature Extraction</w:t>
      </w:r>
    </w:p>
    <w:p>
      <w:pPr>
        <w:spacing w:before="0" w:after="60" w:line="276" w:lineRule="auto"/>
        <w:ind w:left="360"/>
      </w:pPr>
      <w:r>
        <w:rPr>
          <w:rFonts w:ascii="Calibri" w:hAnsi="Calibri"/>
          <w:b/>
          <w:color w:val="1B365D"/>
          <w:sz w:val="20"/>
        </w:rPr>
        <w:t xml:space="preserve">1. </w:t>
      </w:r>
      <w:r>
        <w:rPr>
          <w:rFonts w:ascii="Calibri" w:hAnsi="Calibri"/>
          <w:b/>
          <w:color w:val="282828"/>
          <w:sz w:val="20"/>
        </w:rPr>
        <w:t>Scraped Intra-Month Momentum Signal ($\Delta x_t^{\text{scraped}}$):</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Δ x_t^scraped)) = (102.5000 - 102.0000)/(102.0000) × 100 = (0.50)/(102.00) × 100 = +0.4902\%)</w:t>
            </w:r>
          </w:p>
        </w:tc>
      </w:tr>
    </w:tbl>
    <w:p>
      <w:pPr>
        <w:spacing w:after="60"/>
      </w:pPr>
    </w:p>
    <w:p>
      <w:pPr>
        <w:spacing w:before="0" w:after="60" w:line="276" w:lineRule="auto"/>
        <w:ind w:left="360"/>
      </w:pPr>
      <w:r>
        <w:rPr>
          <w:rFonts w:ascii="Calibri" w:hAnsi="Calibri"/>
          <w:b/>
          <w:color w:val="1B365D"/>
          <w:sz w:val="20"/>
        </w:rPr>
        <w:t xml:space="preserve">2. </w:t>
      </w:r>
      <w:r>
        <w:rPr>
          <w:rFonts w:ascii="Calibri" w:hAnsi="Calibri"/>
          <w:b/>
          <w:color w:val="282828"/>
          <w:sz w:val="20"/>
        </w:rPr>
        <w:t>FX 7-Day Shock:</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FX Change) = (4055 - 4045)/(4045) × 100 = +0.2472\%</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Shock)_FX)) = 0.20 × 0.2472\% = +0.0494\%)</w:t>
            </w:r>
          </w:p>
        </w:tc>
      </w:tr>
    </w:tbl>
    <w:p>
      <w:pPr>
        <w:spacing w:after="60"/>
      </w:pPr>
    </w:p>
    <w:p>
      <w:pPr>
        <w:spacing w:before="0" w:after="60" w:line="276" w:lineRule="auto"/>
        <w:ind w:left="360"/>
      </w:pPr>
      <w:r>
        <w:rPr>
          <w:rFonts w:ascii="Calibri" w:hAnsi="Calibri"/>
          <w:b/>
          <w:color w:val="1B365D"/>
          <w:sz w:val="20"/>
        </w:rPr>
        <w:t xml:space="preserve">3. </w:t>
      </w:r>
      <w:r>
        <w:rPr>
          <w:rFonts w:ascii="Calibri" w:hAnsi="Calibri"/>
          <w:b/>
          <w:color w:val="282828"/>
          <w:sz w:val="20"/>
        </w:rPr>
        <w:t>Festival Surge: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θ_Holiday)) = +0.3500\%)</w:t>
            </w:r>
          </w:p>
        </w:tc>
      </w:tr>
    </w:tbl>
    <w:p>
      <w:pPr>
        <w:spacing w:after="60"/>
      </w:pPr>
    </w:p>
    <w:p>
      <w:pPr>
        <w:spacing w:before="0" w:after="60" w:line="276" w:lineRule="auto"/>
        <w:ind w:left="360"/>
      </w:pPr>
      <w:r>
        <w:rPr>
          <w:rFonts w:ascii="Calibri" w:hAnsi="Calibri"/>
          <w:b/>
          <w:color w:val="1B365D"/>
          <w:sz w:val="20"/>
        </w:rPr>
        <w:t xml:space="preserve">4. </w:t>
      </w:r>
      <w:r>
        <w:rPr>
          <w:rFonts w:ascii="Calibri" w:hAnsi="Calibri"/>
          <w:b/>
          <w:color w:val="282828"/>
          <w:sz w:val="20"/>
        </w:rPr>
        <w:t>Volatility Expansion: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Adj)_Vol)) = sign)(+0.4902) × \min(0.30, \; 10.0 × 0.008) = 1 × 0.08 = +0.0800\%)</w:t>
            </w:r>
          </w:p>
        </w:tc>
      </w:tr>
    </w:tbl>
    <w:p>
      <w:pPr>
        <w:spacing w:after="60"/>
      </w:pPr>
    </w:p>
    <w:p>
      <w:pPr>
        <w:pStyle w:val="Heading3"/>
        <w:spacing w:before="180" w:after="40"/>
      </w:pPr>
      <w:r>
        <w:rPr>
          <w:rFonts w:ascii="Calibri" w:hAnsi="Calibri"/>
          <w:b/>
          <w:color w:val="282828"/>
          <w:sz w:val="22"/>
        </w:rPr>
        <w:t>Step 2: Model Evaluation</w:t>
      </w:r>
    </w:p>
    <w:p>
      <w:pPr>
        <w:pStyle w:val="ListBullet"/>
        <w:spacing w:before="0" w:after="60" w:line="276" w:lineRule="auto"/>
      </w:pPr>
      <w:r>
        <w:rPr>
          <w:rFonts w:ascii="Calibri" w:hAnsi="Calibri"/>
          <w:b/>
          <w:color w:val="282828"/>
          <w:sz w:val="20"/>
        </w:rPr>
        <w:t>Model A (ADL):</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^π)_t)^ADL)) = (0.25 × 0.40) + (0.65 × 0.4902) + (0.10 × 0.15)</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^π)_t)^ADL)) = 0.1000 + 0.3186 + 0.0150 = +0.4336\%)</w:t>
            </w:r>
          </w:p>
        </w:tc>
      </w:tr>
    </w:tbl>
    <w:p>
      <w:pPr>
        <w:spacing w:after="60"/>
      </w:pPr>
    </w:p>
    <w:p>
      <w:pPr>
        <w:pStyle w:val="ListBullet"/>
        <w:spacing w:before="0" w:after="60" w:line="276" w:lineRule="auto"/>
      </w:pPr>
      <w:r>
        <w:rPr>
          <w:rFonts w:ascii="Calibri" w:hAnsi="Calibri"/>
          <w:b/>
          <w:color w:val="282828"/>
          <w:sz w:val="20"/>
        </w:rPr>
        <w:t>Model B (Tree Ensemble):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^π)_t)^Tree)) = 0.4902 + 0.0494 + 0.3500 + 0.0800 = +0.9696\%)</w:t>
            </w:r>
          </w:p>
        </w:tc>
      </w:tr>
    </w:tbl>
    <w:p>
      <w:pPr>
        <w:spacing w:after="60"/>
      </w:pPr>
    </w:p>
    <w:p>
      <w:pPr>
        <w:pStyle w:val="Heading3"/>
        <w:spacing w:before="180" w:after="40"/>
      </w:pPr>
      <w:r>
        <w:rPr>
          <w:rFonts w:ascii="Calibri" w:hAnsi="Calibri"/>
          <w:b/>
          <w:color w:val="282828"/>
          <w:sz w:val="22"/>
        </w:rPr>
        <w:t>Step 3: Ensemble Blending</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^π)_t = (0.48 × 0.4336) + (0.52 × 0.9696) = 0.2081 + 0.5042 = +0.7123\%)</w:t>
            </w:r>
          </w:p>
        </w:tc>
      </w:tr>
    </w:tbl>
    <w:p>
      <w:pPr>
        <w:spacing w:after="60"/>
      </w:pPr>
    </w:p>
    <w:p>
      <w:pPr>
        <w:pStyle w:val="Heading3"/>
        <w:spacing w:before="180" w:after="40"/>
      </w:pPr>
      <w:r>
        <w:rPr>
          <w:rFonts w:ascii="Calibri" w:hAnsi="Calibri"/>
          <w:b/>
          <w:color w:val="282828"/>
          <w:sz w:val="22"/>
        </w:rPr>
        <w:t>Step 4: Projected Month-End CPI Level</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^P)_t = 102.0000 × ≤ft(1 + (0.7123)/(100)\right) = 102.0000 × 1.007123 = 102.7265)</w:t>
            </w:r>
          </w:p>
        </w:tc>
      </w:tr>
    </w:tbl>
    <w:p>
      <w:pPr>
        <w:spacing w:after="60"/>
      </w:pPr>
    </w:p>
    <w:p>
      <w:pPr>
        <w:pStyle w:val="Heading3"/>
        <w:spacing w:before="180" w:after="40"/>
      </w:pPr>
      <w:r>
        <w:rPr>
          <w:rFonts w:ascii="Calibri" w:hAnsi="Calibri"/>
          <w:b/>
          <w:color w:val="282828"/>
          <w:sz w:val="22"/>
        </w:rPr>
        <w:t>Step 5: 95% Confidence Interval Calculation</w:t>
      </w:r>
    </w:p>
    <w:p>
      <w:pPr>
        <w:pStyle w:val="ListBullet"/>
        <w:spacing w:before="0" w:after="60" w:line="276" w:lineRule="auto"/>
      </w:pPr>
      <w:r>
        <w:rPr>
          <w:rFonts w:ascii="Calibri" w:hAnsi="Calibri"/>
          <w:b/>
          <w:color w:val="282828"/>
          <w:sz w:val="20"/>
        </w:rPr>
        <w:t>Observed Fraction:</w:t>
      </w:r>
      <w:r>
        <w:rPr>
          <w:rFonts w:ascii="Calibri" w:hAnsi="Calibri"/>
          <w:color w:val="282828"/>
          <w:sz w:val="20"/>
        </w:rPr>
        <w:t xml:space="preserve"> </w:t>
      </w:r>
      <w:r>
        <w:rPr>
          <w:rFonts w:ascii="Cambria Math" w:hAnsi="Cambria Math"/>
          <w:i/>
          <w:color w:val="1B365D"/>
          <w:sz w:val="20"/>
        </w:rPr>
        <w:t>(15)/(30) = 0.50</w:t>
      </w:r>
      <w:r>
        <w:rPr>
          <w:rFonts w:ascii="Calibri" w:hAnsi="Calibri"/>
          <w:color w:val="282828"/>
          <w:sz w:val="20"/>
        </w:rPr>
        <w:t>.</w:t>
      </w:r>
    </w:p>
    <w:p>
      <w:pPr>
        <w:pStyle w:val="ListBullet"/>
        <w:spacing w:before="0" w:after="60" w:line="276" w:lineRule="auto"/>
      </w:pPr>
      <w:r>
        <w:rPr>
          <w:rFonts w:ascii="Calibri" w:hAnsi="Calibri"/>
          <w:b/>
          <w:color w:val="282828"/>
          <w:sz w:val="20"/>
        </w:rPr>
        <w:t>Uncertainty Factor:</w:t>
      </w:r>
      <w:r>
        <w:rPr>
          <w:rFonts w:ascii="Calibri" w:hAnsi="Calibri"/>
          <w:color w:val="282828"/>
          <w:sz w:val="20"/>
        </w:rPr>
        <w:t xml:space="preserve"> </w:t>
      </w:r>
      <w:r>
        <w:rPr>
          <w:rFonts w:ascii="Cambria Math" w:hAnsi="Cambria Math"/>
          <w:i/>
          <w:color w:val="1B365D"/>
          <w:sz w:val="20"/>
        </w:rPr>
        <w:t>√(1.0 - 0.50) = √(0.50) ≈ 0.7071</w:t>
      </w:r>
      <w:r>
        <w:rPr>
          <w:rFonts w:ascii="Calibri" w:hAnsi="Calibri"/>
          <w:color w:val="282828"/>
          <w:sz w:val="20"/>
        </w:rPr>
        <w:t>.</w:t>
      </w:r>
    </w:p>
    <w:p>
      <w:pPr>
        <w:pStyle w:val="ListBullet"/>
        <w:spacing w:before="0" w:after="60" w:line="276" w:lineRule="auto"/>
      </w:pPr>
      <w:r>
        <w:rPr>
          <w:rFonts w:ascii="Calibri" w:hAnsi="Calibri"/>
          <w:b/>
          <w:color w:val="282828"/>
          <w:sz w:val="20"/>
        </w:rPr>
        <w:t>Margin of Error ($\text{MoE}$):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MoE)_t = 1.95996 × 0.45 × 0.7071 = 0.6237)</w:t>
            </w:r>
          </w:p>
        </w:tc>
      </w:tr>
    </w:tbl>
    <w:p>
      <w:pPr>
        <w:spacing w:after="60"/>
      </w:pPr>
    </w:p>
    <w:p>
      <w:pPr>
        <w:pStyle w:val="ListBullet"/>
        <w:spacing w:before="0" w:after="60" w:line="276" w:lineRule="auto"/>
      </w:pPr>
      <w:r>
        <w:rPr>
          <w:rFonts w:ascii="Calibri" w:hAnsi="Calibri"/>
          <w:b/>
          <w:color w:val="282828"/>
          <w:sz w:val="20"/>
        </w:rPr>
        <w:t>95% Confidence Interval Fan: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CI)_lower)) = 102.7265 - 0.6237 = 102.1028)</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2B547E"/>
              <w:top w:val="single" w:sz="4" w:space="0" w:color="E0E0E0"/>
              <w:right w:val="single" w:sz="4" w:space="0" w:color="E0E0E0"/>
              <w:bottom w:val="single" w:sz="4" w:space="0" w:color="E0E0E0"/>
            </w:tcBorders>
          </w:tcPr>
          <w:p>
            <w:pPr>
              <w:spacing w:before="40" w:after="40"/>
              <w:jc w:val="center"/>
            </w:pPr>
            <w:r>
              <w:rPr>
                <w:rFonts w:ascii="Cambria Math" w:hAnsi="Cambria Math"/>
                <w:b/>
                <w:color w:val="1B365D"/>
                <w:sz w:val="22"/>
              </w:rPr>
              <w:t>CI)_upper)) = 102.7265 + 0.6237 = 103.3502)</w:t>
            </w:r>
          </w:p>
        </w:tc>
      </w:tr>
    </w:tbl>
    <w:p>
      <w:pPr>
        <w:spacing w:after="60"/>
      </w:pPr>
    </w:p>
    <w:p>
      <w:pPr>
        <w:pStyle w:val="Heading2"/>
        <w:spacing w:before="260" w:after="80"/>
      </w:pPr>
      <w:r>
        <w:rPr>
          <w:rFonts w:ascii="Calibri" w:hAnsi="Calibri"/>
          <w:b/>
          <w:color w:val="2B547E"/>
          <w:sz w:val="25"/>
        </w:rPr>
        <w:t>4. Database Schema, Partitioning &amp; Backtesting Evaluation</w:t>
      </w:r>
    </w:p>
    <w:p>
      <w:pPr>
        <w:pStyle w:val="Heading3"/>
        <w:spacing w:before="180" w:after="40"/>
      </w:pPr>
      <w:r>
        <w:rPr>
          <w:rFonts w:ascii="Calibri" w:hAnsi="Calibri"/>
          <w:b/>
          <w:color w:val="282828"/>
          <w:sz w:val="22"/>
        </w:rPr>
        <w:t>4.1 Fact Table Architecture: `gold.fct_cpi_nowcast`</w:t>
      </w:r>
    </w:p>
    <w:p>
      <w:pPr>
        <w:spacing w:before="0" w:after="100" w:line="276" w:lineRule="auto"/>
      </w:pPr>
      <w:r>
        <w:rPr>
          <w:rFonts w:ascii="Calibri" w:hAnsi="Calibri"/>
          <w:color w:val="282828"/>
          <w:sz w:val="20"/>
        </w:rPr>
        <w:t xml:space="preserve">Nowcasts are appended daily as an idempotent continuous time-series table. Tables are </w:t>
      </w:r>
      <w:r>
        <w:rPr>
          <w:rFonts w:ascii="Calibri" w:hAnsi="Calibri"/>
          <w:b/>
          <w:color w:val="282828"/>
          <w:sz w:val="20"/>
        </w:rPr>
        <w:t>not</w:t>
      </w:r>
      <w:r>
        <w:rPr>
          <w:rFonts w:ascii="Calibri" w:hAnsi="Calibri"/>
          <w:color w:val="282828"/>
          <w:sz w:val="20"/>
        </w:rPr>
        <w:t xml:space="preserve"> split by month; instead, the primary key </w:t>
      </w:r>
      <w:r>
        <w:rPr>
          <w:rFonts w:ascii="Consolas" w:hAnsi="Consolas"/>
          <w:color w:val="2B547E"/>
          <w:sz w:val="18"/>
        </w:rPr>
        <w:t>(nowcast_date, target_month, model_name)</w:t>
      </w:r>
      <w:r>
        <w:rPr>
          <w:rFonts w:ascii="Calibri" w:hAnsi="Calibri"/>
          <w:color w:val="282828"/>
          <w:sz w:val="20"/>
        </w:rPr>
        <w:t xml:space="preserve"> and standard B-Tree indexing ensure sub-millisecond retrieval across multi-year horizons:</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40" w:type="dxa"/>
              <w:right w:w="140" w:type="dxa"/>
            </w:tcMar>
          </w:tcPr>
          <w:p>
            <w:pPr>
              <w:spacing w:before="0" w:after="0"/>
            </w:pPr>
            <w:r>
              <w:rPr>
                <w:rFonts w:ascii="Consolas" w:hAnsi="Consolas"/>
                <w:color w:val="282828"/>
                <w:sz w:val="17"/>
              </w:rPr>
              <w:t>CREATE TABLE IF NOT EXISTS gold.fct_cpi_nowcast (</w:t>
              <w:br/>
              <w:t xml:space="preserve">    nowcast_date DATE NOT NULL,                     -- e.g. 2026-09-15</w:t>
              <w:br/>
              <w:t xml:space="preserve">    target_month DATE NOT NULL,                     -- e.g. 2026-09-01</w:t>
              <w:br/>
              <w:t xml:space="preserve">    days_observed INTEGER NOT NULL,                 -- e.g. 15</w:t>
              <w:br/>
              <w:t xml:space="preserve">    days_remaining INTEGER NOT NULL,                -- e.g. 15</w:t>
              <w:br/>
              <w:t xml:space="preserve">    days_in_month INTEGER NOT NULL,                 -- e.g. 30</w:t>
              <w:br/>
              <w:t xml:space="preserve">    realized_cpi_so_far NUMERIC(10, 4),             -- e.g. 102.5000</w:t>
              <w:br/>
              <w:t xml:space="preserve">    projected_remaining_cpi NUMERIC(10, 4),         -- e.g. 102.7265</w:t>
              <w:br/>
              <w:t xml:space="preserve">    projected_mom_pct NUMERIC(8, 4) NOT NULL,       -- TARGET: Estimated MoM inflation rate (%)</w:t>
              <w:br/>
              <w:t xml:space="preserve">    nowcast_headline_cpi NUMERIC(10, 4) NOT NULL,   -- Pipeline-native base Headline CPI estimate</w:t>
              <w:br/>
              <w:t xml:space="preserve">    nowcast_nis_headline_cpi NUMERIC(10, 4),        -- Chain-linked official NIS Headline CPI (Base 2006)</w:t>
              <w:br/>
              <w:t xml:space="preserve">    nowcast_core_cpi NUMERIC(10, 4),                -- Combined Core CPI estimate (ex-food &amp; fuel)</w:t>
              <w:br/>
              <w:t xml:space="preserve">    prior_month_cpi NUMERIC(10, 4),                 -- Previous month's final CPI</w:t>
              <w:br/>
              <w:t xml:space="preserve">    ci_lower_95 NUMERIC(10, 4),                     -- e.g. 102.1028</w:t>
              <w:br/>
              <w:t xml:space="preserve">    ci_upper_95 NUMERIC(10, 4),                     -- e.g. 103.3502</w:t>
              <w:br/>
              <w:t xml:space="preserve">    uncertainty_pct NUMERIC(6, 3),                  -- Dynamic uncertainty ratio (days_remaining / days_in_month)</w:t>
              <w:br/>
              <w:t xml:space="preserve">    model_name VARCHAR(50) DEFAULT 'hybrid_adl_gbrt_v1',</w:t>
              <w:br/>
              <w:t xml:space="preserve">    created_at TIMESTAMPTZ DEFAULT NOW(),</w:t>
              <w:br/>
              <w:t xml:space="preserve">    PRIMARY KEY (nowcast_date, target_month, model_name)</w:t>
              <w:br/>
              <w:t>);</w:t>
            </w:r>
          </w:p>
        </w:tc>
      </w:tr>
    </w:tbl>
    <w:p>
      <w:pPr>
        <w:spacing w:after="60"/>
      </w:pPr>
    </w:p>
    <w:p>
      <w:pPr>
        <w:pStyle w:val="Heading3"/>
        <w:spacing w:before="180" w:after="40"/>
      </w:pPr>
      <w:r>
        <w:rPr>
          <w:rFonts w:ascii="Calibri" w:hAnsi="Calibri"/>
          <w:b/>
          <w:color w:val="282828"/>
          <w:sz w:val="22"/>
        </w:rPr>
        <w:t>4.2 Automated Out-of-Sample Backtesting View: `gold.v_nowcast_evaluation`</w:t>
      </w:r>
    </w:p>
    <w:p>
      <w:pPr>
        <w:spacing w:before="0" w:after="100" w:line="276" w:lineRule="auto"/>
      </w:pPr>
      <w:r>
        <w:rPr>
          <w:rFonts w:ascii="Calibri" w:hAnsi="Calibri"/>
          <w:color w:val="282828"/>
          <w:sz w:val="20"/>
        </w:rPr>
        <w:t xml:space="preserve">To quantify prediction accuracy against official NIS ground truth releases (e.g. July 2026: </w:t>
      </w:r>
      <w:r>
        <w:rPr>
          <w:rFonts w:ascii="Calibri" w:hAnsi="Calibri"/>
          <w:b/>
          <w:color w:val="282828"/>
          <w:sz w:val="20"/>
        </w:rPr>
        <w:t>219.1</w:t>
      </w:r>
      <w:r>
        <w:rPr>
          <w:rFonts w:ascii="Calibri" w:hAnsi="Calibri"/>
          <w:color w:val="282828"/>
          <w:sz w:val="20"/>
        </w:rPr>
        <w:t>), the pipeline automatically provides the evaluation view:</w:t>
      </w:r>
    </w:p>
    <w:tbl>
      <w:tblPr>
        <w:tblW w:type="auto" w:w="0"/>
        <w:jc w:val="center"/>
        <w:tblLayout w:type="fixed"/>
        <w:tblLook w:firstColumn="1" w:firstRow="1" w:lastColumn="0" w:lastRow="0" w:noHBand="0" w:noVBand="1" w:val="04A0"/>
      </w:tblPr>
      <w:tblGrid>
        <w:gridCol w:w="9360"/>
      </w:tblGrid>
      <w:tr>
        <w:tc>
          <w:tcPr>
            <w:tcW w:type="dxa" w:w="9360"/>
            <w:shd w:fill="F5F5F5"/>
            <w:tcMar>
              <w:top w:w="100" w:type="dxa"/>
              <w:bottom w:w="100" w:type="dxa"/>
              <w:left w:w="140" w:type="dxa"/>
              <w:right w:w="140" w:type="dxa"/>
            </w:tcMar>
          </w:tcPr>
          <w:p>
            <w:pPr>
              <w:spacing w:before="0" w:after="0"/>
            </w:pPr>
            <w:r>
              <w:rPr>
                <w:rFonts w:ascii="Consolas" w:hAnsi="Consolas"/>
                <w:color w:val="282828"/>
                <w:sz w:val="17"/>
              </w:rPr>
              <w:t>CREATE OR REPLACE VIEW gold.v_nowcast_evaluation AS</w:t>
              <w:br/>
              <w:t>SELECT</w:t>
              <w:br/>
              <w:t xml:space="preserve">    n.nowcast_date,</w:t>
              <w:br/>
              <w:t xml:space="preserve">    n.target_month,</w:t>
              <w:br/>
              <w:t xml:space="preserve">    n.days_observed,</w:t>
              <w:br/>
              <w:t xml:space="preserve">    n.days_remaining,</w:t>
              <w:br/>
              <w:t xml:space="preserve">    n.projected_mom_pct AS nowcasted_mom_pct,</w:t>
              <w:br/>
              <w:t xml:space="preserve">    o.mom_inflation_pct AS actual_nis_mom_pct,</w:t>
              <w:br/>
              <w:t xml:space="preserve">    ROUND(n.projected_mom_pct - o.mom_inflation_pct, 4) AS mom_forecast_error,</w:t>
              <w:br/>
              <w:t xml:space="preserve">    n.nowcast_nis_headline_cpi AS nowcasted_nis_cpi,</w:t>
              <w:br/>
              <w:t xml:space="preserve">    o.headline_cpi AS actual_nis_cpi,</w:t>
              <w:br/>
              <w:t xml:space="preserve">    ROUND(n.nowcast_nis_headline_cpi - o.headline_cpi, 4) AS cpi_forecast_error,</w:t>
              <w:br/>
              <w:t xml:space="preserve">    n.ci_lower_95,</w:t>
              <w:br/>
              <w:t xml:space="preserve">    n.ci_upper_95,</w:t>
              <w:br/>
              <w:t xml:space="preserve">    CASE</w:t>
              <w:br/>
              <w:t xml:space="preserve">        WHEN o.headline_cpi BETWEEN n.ci_lower_95 AND n.ci_upper_95 THEN TRUE</w:t>
              <w:br/>
              <w:t xml:space="preserve">        ELSE FALSE</w:t>
              <w:br/>
              <w:t xml:space="preserve">    END AS is_within_95_ci,</w:t>
              <w:br/>
              <w:t xml:space="preserve">    n.model_name</w:t>
              <w:br/>
              <w:t>FROM gold.fct_cpi_nowcast n</w:t>
              <w:br/>
              <w:t>JOIN gold.dim_nis_official_cpi o ON n.target_month = o.cpi_month</w:t>
              <w:br/>
              <w:t>ORDER BY n.nowcast_date DESC;</w:t>
            </w:r>
          </w:p>
        </w:tc>
      </w:tr>
    </w:tbl>
    <w:p>
      <w:pPr>
        <w:spacing w:after="60"/>
      </w:pPr>
    </w:p>
    <w:p>
      <w:pPr>
        <w:pStyle w:val="Heading2"/>
        <w:spacing w:before="260" w:after="80"/>
      </w:pPr>
      <w:r>
        <w:rPr>
          <w:rFonts w:ascii="Calibri" w:hAnsi="Calibri"/>
          <w:b/>
          <w:color w:val="2B547E"/>
          <w:sz w:val="25"/>
        </w:rPr>
        <w:t>5. Academic References &amp; Foundational Literature</w:t>
      </w:r>
    </w:p>
    <w:p>
      <w:pPr>
        <w:spacing w:before="0" w:after="60" w:line="276" w:lineRule="auto"/>
        <w:ind w:left="360"/>
      </w:pPr>
      <w:r>
        <w:rPr>
          <w:rFonts w:ascii="Calibri" w:hAnsi="Calibri"/>
          <w:b/>
          <w:color w:val="1B365D"/>
          <w:sz w:val="20"/>
        </w:rPr>
        <w:t xml:space="preserve">1. </w:t>
      </w:r>
      <w:r>
        <w:rPr>
          <w:rFonts w:ascii="Calibri" w:hAnsi="Calibri"/>
          <w:b/>
          <w:color w:val="282828"/>
          <w:sz w:val="20"/>
        </w:rPr>
        <w:t>Macias, P., Stelmasiak, D., &amp; Szafranek, K. (2023).</w:t>
      </w:r>
    </w:p>
    <w:p>
      <w:pPr>
        <w:spacing w:before="0" w:after="100" w:line="276" w:lineRule="auto"/>
      </w:pPr>
      <w:r>
        <w:rPr>
          <w:rFonts w:ascii="Calibri" w:hAnsi="Calibri"/>
          <w:color w:val="282828"/>
          <w:sz w:val="20"/>
        </w:rPr>
        <w:t>*Nowcasting food inflation with a massive amount of online prices.*</w:t>
      </w:r>
    </w:p>
    <w:p>
      <w:pPr>
        <w:spacing w:before="0" w:after="100" w:line="276" w:lineRule="auto"/>
      </w:pPr>
      <w:r>
        <w:rPr>
          <w:rFonts w:ascii="Calibri" w:hAnsi="Calibri"/>
          <w:b/>
          <w:color w:val="282828"/>
          <w:sz w:val="20"/>
        </w:rPr>
        <w:t>Journal</w:t>
      </w:r>
      <w:r>
        <w:rPr>
          <w:rFonts w:ascii="Calibri" w:hAnsi="Calibri"/>
          <w:color w:val="282828"/>
          <w:sz w:val="20"/>
        </w:rPr>
        <w:t>: *International Journal of Forecasting*, 39(2), 809–826. (National Bank of Poland).</w:t>
      </w:r>
    </w:p>
    <w:p>
      <w:pPr>
        <w:spacing w:before="0" w:after="100" w:line="276" w:lineRule="auto"/>
      </w:pPr>
      <w:r>
        <w:rPr>
          <w:rFonts w:ascii="Calibri" w:hAnsi="Calibri"/>
          <w:color w:val="282828"/>
          <w:sz w:val="20"/>
        </w:rPr>
        <w:t>*Contribution*: Proved that daily scraped retail prices combined with Autoregressive Distributed Lag (ADL) models reduce root mean squared forecast errors by 20–30% over benchmark autoregressive models.</w:t>
      </w:r>
    </w:p>
    <w:p>
      <w:pPr>
        <w:spacing w:before="0" w:after="60" w:line="276" w:lineRule="auto"/>
        <w:ind w:left="360"/>
      </w:pPr>
      <w:r>
        <w:rPr>
          <w:rFonts w:ascii="Calibri" w:hAnsi="Calibri"/>
          <w:b/>
          <w:color w:val="1B365D"/>
          <w:sz w:val="20"/>
        </w:rPr>
        <w:t xml:space="preserve">2. </w:t>
      </w:r>
      <w:r>
        <w:rPr>
          <w:rFonts w:ascii="Calibri" w:hAnsi="Calibri"/>
          <w:b/>
          <w:color w:val="282828"/>
          <w:sz w:val="20"/>
        </w:rPr>
        <w:t>Medeiros, M. C., Vasconcelos, G. F., Veiga, Á., &amp; Zilberman, E. (2021).</w:t>
      </w:r>
    </w:p>
    <w:p>
      <w:pPr>
        <w:spacing w:before="0" w:after="100" w:line="276" w:lineRule="auto"/>
      </w:pPr>
      <w:r>
        <w:rPr>
          <w:rFonts w:ascii="Calibri" w:hAnsi="Calibri"/>
          <w:color w:val="282828"/>
          <w:sz w:val="20"/>
        </w:rPr>
        <w:t>*Forecasting inflation in a data-rich environment: The benefits of machine learning methods.*</w:t>
      </w:r>
    </w:p>
    <w:p>
      <w:pPr>
        <w:spacing w:before="0" w:after="100" w:line="276" w:lineRule="auto"/>
      </w:pPr>
      <w:r>
        <w:rPr>
          <w:rFonts w:ascii="Calibri" w:hAnsi="Calibri"/>
          <w:b/>
          <w:color w:val="282828"/>
          <w:sz w:val="20"/>
        </w:rPr>
        <w:t>Journal</w:t>
      </w:r>
      <w:r>
        <w:rPr>
          <w:rFonts w:ascii="Calibri" w:hAnsi="Calibri"/>
          <w:color w:val="282828"/>
          <w:sz w:val="20"/>
        </w:rPr>
        <w:t>: *Journal of Business &amp; Economic Statistics*, 39(1), 98–119.</w:t>
      </w:r>
    </w:p>
    <w:p>
      <w:pPr>
        <w:spacing w:before="0" w:after="100" w:line="276" w:lineRule="auto"/>
      </w:pPr>
      <w:r>
        <w:rPr>
          <w:rFonts w:ascii="Calibri" w:hAnsi="Calibri"/>
          <w:color w:val="282828"/>
          <w:sz w:val="20"/>
        </w:rPr>
        <w:t>*Contribution*: Demonstrated that Gradient Boosted Regression Trees (GBRT) and Random Forests dominate linear factor models and Phillips curve specifications in predicting inflation turning points.</w:t>
      </w:r>
    </w:p>
    <w:p>
      <w:pPr>
        <w:spacing w:before="0" w:after="60" w:line="276" w:lineRule="auto"/>
        <w:ind w:left="360"/>
      </w:pPr>
      <w:r>
        <w:rPr>
          <w:rFonts w:ascii="Calibri" w:hAnsi="Calibri"/>
          <w:b/>
          <w:color w:val="1B365D"/>
          <w:sz w:val="20"/>
        </w:rPr>
        <w:t xml:space="preserve">3. </w:t>
      </w:r>
      <w:r>
        <w:rPr>
          <w:rFonts w:ascii="Calibri" w:hAnsi="Calibri"/>
          <w:b/>
          <w:color w:val="282828"/>
          <w:sz w:val="20"/>
        </w:rPr>
        <w:t>Cavallo, A., &amp; Rigobon, R. (2016).</w:t>
      </w:r>
    </w:p>
    <w:p>
      <w:pPr>
        <w:spacing w:before="0" w:after="100" w:line="276" w:lineRule="auto"/>
      </w:pPr>
      <w:r>
        <w:rPr>
          <w:rFonts w:ascii="Calibri" w:hAnsi="Calibri"/>
          <w:color w:val="282828"/>
          <w:sz w:val="20"/>
        </w:rPr>
        <w:t>*The Billion Prices Project: Using online data for measurement and research.*</w:t>
      </w:r>
    </w:p>
    <w:p>
      <w:pPr>
        <w:spacing w:before="0" w:after="100" w:line="276" w:lineRule="auto"/>
      </w:pPr>
      <w:r>
        <w:rPr>
          <w:rFonts w:ascii="Calibri" w:hAnsi="Calibri"/>
          <w:b/>
          <w:color w:val="282828"/>
          <w:sz w:val="20"/>
        </w:rPr>
        <w:t>Journal</w:t>
      </w:r>
      <w:r>
        <w:rPr>
          <w:rFonts w:ascii="Calibri" w:hAnsi="Calibri"/>
          <w:color w:val="282828"/>
          <w:sz w:val="20"/>
        </w:rPr>
        <w:t>: *Journal of Economic Perspectives*, 30(2), 151–178. (Harvard University &amp; MIT).</w:t>
      </w:r>
    </w:p>
    <w:p>
      <w:pPr>
        <w:spacing w:before="0" w:after="100" w:line="276" w:lineRule="auto"/>
      </w:pPr>
      <w:r>
        <w:rPr>
          <w:rFonts w:ascii="Calibri" w:hAnsi="Calibri"/>
          <w:color w:val="282828"/>
          <w:sz w:val="20"/>
        </w:rPr>
        <w:t>*Contribution*: Established the foundational methodology of high-frequency web scraping for consumer price measurement, demonstrating scale invariance and real-time inflation tracking.</w:t>
      </w:r>
    </w:p>
    <w:p>
      <w:pPr>
        <w:spacing w:before="0" w:after="60" w:line="276" w:lineRule="auto"/>
        <w:ind w:left="360"/>
      </w:pPr>
      <w:r>
        <w:rPr>
          <w:rFonts w:ascii="Calibri" w:hAnsi="Calibri"/>
          <w:b/>
          <w:color w:val="1B365D"/>
          <w:sz w:val="20"/>
        </w:rPr>
        <w:t xml:space="preserve">4. </w:t>
      </w:r>
      <w:r>
        <w:rPr>
          <w:rFonts w:ascii="Calibri" w:hAnsi="Calibri"/>
          <w:b/>
          <w:color w:val="282828"/>
          <w:sz w:val="20"/>
        </w:rPr>
        <w:t>International Monetary Fund (IMF), ILO, OECD, Eurostat, UNECE, &amp; World Bank. (2020).</w:t>
      </w:r>
    </w:p>
    <w:p>
      <w:pPr>
        <w:spacing w:before="0" w:after="100" w:line="276" w:lineRule="auto"/>
      </w:pPr>
      <w:r>
        <w:rPr>
          <w:rFonts w:ascii="Calibri" w:hAnsi="Calibri"/>
          <w:color w:val="282828"/>
          <w:sz w:val="20"/>
        </w:rPr>
        <w:t>*Consumer Price Index Manual: Concepts and Methods.*</w:t>
      </w:r>
    </w:p>
    <w:p>
      <w:pPr>
        <w:spacing w:before="0" w:after="100" w:line="276" w:lineRule="auto"/>
      </w:pPr>
      <w:r>
        <w:rPr>
          <w:rFonts w:ascii="Calibri" w:hAnsi="Calibri"/>
          <w:b/>
          <w:color w:val="282828"/>
          <w:sz w:val="20"/>
        </w:rPr>
        <w:t>Publisher</w:t>
      </w:r>
      <w:r>
        <w:rPr>
          <w:rFonts w:ascii="Calibri" w:hAnsi="Calibri"/>
          <w:color w:val="282828"/>
          <w:sz w:val="20"/>
        </w:rPr>
        <w:t>: International Monetary Fund, Washington, DC.</w:t>
      </w:r>
    </w:p>
    <w:p>
      <w:pPr>
        <w:spacing w:before="0" w:after="100" w:line="276" w:lineRule="auto"/>
      </w:pPr>
      <w:r>
        <w:rPr>
          <w:rFonts w:ascii="Calibri" w:hAnsi="Calibri"/>
          <w:color w:val="282828"/>
          <w:sz w:val="20"/>
        </w:rPr>
        <w:t>*Contribution*: Standardized the axiomatic properties of price indices, elementary aggregation formulas (Jevons, Dutot, Carli), and scale homogeneity (§10.24).</w:t>
      </w:r>
    </w:p>
    <w:p>
      <w:pPr>
        <w:spacing w:before="0" w:after="60" w:line="276" w:lineRule="auto"/>
        <w:ind w:left="360"/>
      </w:pPr>
      <w:r>
        <w:rPr>
          <w:rFonts w:ascii="Calibri" w:hAnsi="Calibri"/>
          <w:b/>
          <w:color w:val="1B365D"/>
          <w:sz w:val="20"/>
        </w:rPr>
        <w:t xml:space="preserve">5. </w:t>
      </w:r>
      <w:r>
        <w:rPr>
          <w:rFonts w:ascii="Calibri" w:hAnsi="Calibri"/>
          <w:b/>
          <w:color w:val="282828"/>
          <w:sz w:val="20"/>
        </w:rPr>
        <w:t>Bates, J. M., &amp; Granger, C. W. (1969).</w:t>
      </w:r>
    </w:p>
    <w:p>
      <w:pPr>
        <w:spacing w:before="0" w:after="100" w:line="276" w:lineRule="auto"/>
      </w:pPr>
      <w:r>
        <w:rPr>
          <w:rFonts w:ascii="Calibri" w:hAnsi="Calibri"/>
          <w:color w:val="282828"/>
          <w:sz w:val="20"/>
        </w:rPr>
        <w:t>*The combination of forecasts.*</w:t>
      </w:r>
    </w:p>
    <w:p>
      <w:pPr>
        <w:spacing w:before="0" w:after="100" w:line="276" w:lineRule="auto"/>
      </w:pPr>
      <w:r>
        <w:rPr>
          <w:rFonts w:ascii="Calibri" w:hAnsi="Calibri"/>
          <w:b/>
          <w:color w:val="282828"/>
          <w:sz w:val="20"/>
        </w:rPr>
        <w:t>Journal</w:t>
      </w:r>
      <w:r>
        <w:rPr>
          <w:rFonts w:ascii="Calibri" w:hAnsi="Calibri"/>
          <w:color w:val="282828"/>
          <w:sz w:val="20"/>
        </w:rPr>
        <w:t>: *Journal of the Operational Research Society*, 20(4), 451–468.</w:t>
      </w:r>
    </w:p>
    <w:p>
      <w:pPr>
        <w:spacing w:before="0" w:after="100" w:line="276" w:lineRule="auto"/>
      </w:pPr>
      <w:r>
        <w:rPr>
          <w:rFonts w:ascii="Calibri" w:hAnsi="Calibri"/>
          <w:color w:val="282828"/>
          <w:sz w:val="20"/>
        </w:rPr>
        <w:t>*Contribution*: Formulated optimal inverse-variance ensemble weighting for combining independent time-series models.</w:t>
      </w:r>
    </w:p>
    <w:p>
      <w:pPr>
        <w:spacing w:before="0" w:after="60" w:line="276" w:lineRule="auto"/>
        <w:ind w:left="360"/>
      </w:pPr>
      <w:r>
        <w:rPr>
          <w:rFonts w:ascii="Calibri" w:hAnsi="Calibri"/>
          <w:b/>
          <w:color w:val="1B365D"/>
          <w:sz w:val="20"/>
        </w:rPr>
        <w:t xml:space="preserve">6. </w:t>
      </w:r>
      <w:r>
        <w:rPr>
          <w:rFonts w:ascii="Calibri" w:hAnsi="Calibri"/>
          <w:b/>
          <w:color w:val="282828"/>
          <w:sz w:val="20"/>
        </w:rPr>
        <w:t>Stock, J. H., &amp; Watson, M. W. (2004).</w:t>
      </w:r>
    </w:p>
    <w:p>
      <w:pPr>
        <w:spacing w:before="0" w:after="100" w:line="276" w:lineRule="auto"/>
      </w:pPr>
      <w:r>
        <w:rPr>
          <w:rFonts w:ascii="Calibri" w:hAnsi="Calibri"/>
          <w:color w:val="282828"/>
          <w:sz w:val="20"/>
        </w:rPr>
        <w:t>*Combination forecasts of output growth and the 2001 US recession.*</w:t>
      </w:r>
    </w:p>
    <w:p>
      <w:pPr>
        <w:spacing w:before="0" w:after="100" w:line="276" w:lineRule="auto"/>
      </w:pPr>
      <w:r>
        <w:rPr>
          <w:rFonts w:ascii="Calibri" w:hAnsi="Calibri"/>
          <w:b/>
          <w:color w:val="282828"/>
          <w:sz w:val="20"/>
        </w:rPr>
        <w:t>Journal</w:t>
      </w:r>
      <w:r>
        <w:rPr>
          <w:rFonts w:ascii="Calibri" w:hAnsi="Calibri"/>
          <w:color w:val="282828"/>
          <w:sz w:val="20"/>
        </w:rPr>
        <w:t>: *Journal of Forecasting*, 23(6), 405–430.</w:t>
      </w:r>
    </w:p>
    <w:p>
      <w:pPr>
        <w:spacing w:before="0" w:after="100" w:line="276" w:lineRule="auto"/>
      </w:pPr>
      <w:r>
        <w:rPr>
          <w:rFonts w:ascii="Calibri" w:hAnsi="Calibri"/>
          <w:color w:val="282828"/>
          <w:sz w:val="20"/>
        </w:rPr>
        <w:t>*Contribution*: Proved empirically that simple and inverse-RMSFE combination forecasts consistently outperform individual model selections in macroeconomic forecasting.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7878"/>
        <w:sz w:val="17"/>
      </w:rPr>
      <w:t>CONFIDENTIAL &amp; PROPRIETARY  |  AUTOMATED RETAIL PRICE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CAMBODIA CPI PIPELINE  |  INFLATION NOWCASTING METHODOLOGY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